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27"/>
        <w:gridCol w:w="1520"/>
        <w:gridCol w:w="3047"/>
        <w:gridCol w:w="2511"/>
      </w:tblGrid>
      <w:tr>
        <w:trPr/>
        <w:tc>
          <w:tcPr>
            <w:tcW w:w="312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pPr>
                  <w:hyperlink r:id="rId2">
                    <w:r>
                      <w:rPr>
                        <w:rStyle w:val="InternetLink"/>
                      </w:rPr>
                      <w:t>WHITEBOX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3033 EXCELSIOR BLVD.</w:t>
                  </w:r>
                </w:p>
              </w:tc>
            </w:tr>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00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55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HORNBECK OFFSHORE SERVICES, INC.</w:t>
              </w:r>
            </w:hyperlink>
            <w:r>
              <w:rPr/>
              <w:t xml:space="preserve"> [ </w:t>
            </w:r>
            <w:r>
              <w:rPr>
                <w:rFonts w:ascii="Times;serif" w:hAnsi="Times;serif"/>
                <w:color w:val="0000FF"/>
                <w:sz w:val="24"/>
                <w:shd w:fill="FFFFFF" w:val="clear"/>
              </w:rPr>
              <w:t>HOS</w:t>
            </w:r>
            <w:r>
              <w:rPr/>
              <w:t xml:space="preserve"> ] </w:t>
              <w:br/>
            </w:r>
            <w:r>
              <w:rPr>
                <w:rFonts w:ascii="arial;helvetica;sans-serif" w:hAnsi="arial;helvetica;sans-serif"/>
                <w:sz w:val="20"/>
              </w:rPr>
              <w:t>Foreign Trading Symbol</w:t>
            </w:r>
          </w:p>
        </w:tc>
      </w:tr>
      <w:tr>
        <w:trPr/>
        <w:tc>
          <w:tcPr>
            <w:tcW w:w="3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4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5"/>
              <w:gridCol w:w="439"/>
              <w:gridCol w:w="1025"/>
            </w:tblGrid>
            <w:tr>
              <w:trPr/>
              <w:tc>
                <w:tcPr>
                  <w:tcW w:w="4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7"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1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2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4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7"/>
              <w:gridCol w:w="2034"/>
            </w:tblGrid>
            <w:tr>
              <w:trPr/>
              <w:tc>
                <w:tcPr>
                  <w:tcW w:w="35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8,239,303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5000" w:type="pct"/>
        <w:jc w:val="left"/>
        <w:tblInd w:w="-7" w:type="dxa"/>
        <w:tblLayout w:type="fixed"/>
        <w:tblCellMar>
          <w:top w:w="60" w:type="dxa"/>
          <w:left w:w="60" w:type="dxa"/>
          <w:bottom w:w="60" w:type="dxa"/>
          <w:right w:w="60" w:type="dxa"/>
        </w:tblCellMar>
      </w:tblPr>
      <w:tblGrid>
        <w:gridCol w:w="1516"/>
        <w:gridCol w:w="1221"/>
        <w:gridCol w:w="1121"/>
        <w:gridCol w:w="1262"/>
        <w:gridCol w:w="1306"/>
        <w:gridCol w:w="1249"/>
        <w:gridCol w:w="1206"/>
        <w:gridCol w:w="132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6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3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29,634,393</w:t>
            </w:r>
            <w:r>
              <w:rPr>
                <w:rFonts w:ascii="Times;serif" w:hAnsi="Times;serif"/>
                <w:color w:val="008000"/>
                <w:position w:val="7"/>
                <w:sz w:val="16"/>
                <w:sz w:val="20"/>
                <w:shd w:fill="FFFFFF" w:val="clear"/>
              </w:rPr>
              <w:t>(5)</w:t>
            </w:r>
          </w:p>
        </w:tc>
        <w:tc>
          <w:tcPr>
            <w:tcW w:w="12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WHITEBOX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3033 EXCELSIOR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WHITEBOX GENERAL PARTNER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3033 EXCELSIOR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directly owned by certain private investment funds (the "Private Funds") and may be deemed to be beneficially owned by (a) Whitebox Advisors LLC by virtue of its role as the investment manager of the Private Funds and (b) Whitebox General Partner LLC by virtue of its role as the general partner of the Private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Reporting Person disclaims beneficial ownership of the reported securities except to the extent of its pecuniary interest therein, and this report shall not be deemed an admission that such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warrants (the "Jones Act Warrants") are immediately exercisable, subject to certain restrictions on ownership of the Issuer's capital stock by non-U.S. citizens, including a beneficial ownership limitation (the "Beneficial Ownership Limitation") that prevents any holder that cannot establish to the Issuer's reasonable satisfaction that it is a "U.S. Citizen" within the meaning of the U.S. citizenship and cabotage laws commonly referred to as the "Jones Act" (principally 46 U.S.C. Section 50501(a), (b), and (d) and 46 U.S.C. Chapters 121 and 551) from exercising the Jones Act Warrants to the extent that, after giving effect to the issuance of shares of Common Stock upon such exercise, the holder would beneficially own more than 4.9% of the shares of Common Stock outstanding.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warrants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Private Funds own an aggregate 2,885,061 Jones Act Warrants, each exercisable for 10.27167 shares of Common Stock, without giving effect to the Beneficial Ownership Limitation. Based solely on the application of the Beneficial Ownership Limitation to each Private Fund individually, and based on 222,166,587 shares of Common Stock outstanding as of September 9, 2026, provided by the Issuer, the Jones Act Warrants held by the Private Funds would be exercisable for up to an aggregate 21,435,064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exercise price of these warrants is $0.00001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Whitebox Advisors LLC By: /s/ Muqu Karim, Chief Operating Officer &amp;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Whitebox General Partner LLC By: /s/ Muqu Karim,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57391" TargetMode="External"/><Relationship Id="rId3" Type="http://schemas.openxmlformats.org/officeDocument/2006/relationships/hyperlink" Target="http://www.sec.gov/cgi-bin/browse-edgar?action=getcompany&amp;CIK=00008668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257391" TargetMode="External"/><Relationship Id="rId7" Type="http://schemas.openxmlformats.org/officeDocument/2006/relationships/hyperlink" Target="http://www.sec.gov/cgi-bin/browse-edgar?action=getcompany&amp;CIK=0001650272"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815</Words>
  <Characters>4467</Characters>
  <CharactersWithSpaces>5191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