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65571ds1a.htm"/>
      <w:bookmarkStart w:id="1" w:name="ksd65571ds1a"/>
      <w:bookmarkEnd w:id="0"/>
      <w:bookmarkEnd w:id="1"/>
      <w:r>
        <w:rPr>
          <w:rFonts w:ascii="Times New Roman" w:hAnsi="Times New Roman"/>
          <w:b/>
          <w:sz w:val="20"/>
        </w:rPr>
        <w:t xml:space="preserve">As filed with the U.S. Securities and Exchange Commission on November 14, 2025. </w:t>
      </w:r>
    </w:p>
    <w:p>
      <w:pPr>
        <w:pStyle w:val="TextBody"/>
        <w:bidi w:val="0"/>
        <w:spacing w:before="40" w:after="0"/>
        <w:jc w:val="right"/>
        <w:rPr>
          <w:rFonts w:ascii="Times New Roman" w:hAnsi="Times New Roman"/>
          <w:b/>
          <w:sz w:val="20"/>
        </w:rPr>
      </w:pPr>
      <w:r>
        <w:rPr>
          <w:rFonts w:ascii="Times New Roman" w:hAnsi="Times New Roman"/>
          <w:b/>
          <w:sz w:val="20"/>
        </w:rPr>
        <w:t xml:space="preserve">Registration No. 333-275939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Amendment No. 4 to </w:t>
      </w:r>
    </w:p>
    <w:p>
      <w:pPr>
        <w:pStyle w:val="TextBody"/>
        <w:bidi w:val="0"/>
        <w:spacing w:before="0" w:after="0"/>
        <w:jc w:val="center"/>
        <w:rPr>
          <w:rFonts w:ascii="Times New Roman" w:hAnsi="Times New Roman"/>
          <w:b/>
          <w:sz w:val="36"/>
        </w:rPr>
      </w:pPr>
      <w:r>
        <w:rPr>
          <w:rFonts w:ascii="Times New Roman" w:hAnsi="Times New Roman"/>
          <w:b/>
          <w:sz w:val="36"/>
        </w:rPr>
        <w:t xml:space="preserve">FORM S-1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Hornbeck Offshore Services,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4424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72-1375844</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103 Northpark Boulevard, Suite 300 </w:t>
      </w:r>
    </w:p>
    <w:p>
      <w:pPr>
        <w:pStyle w:val="TextBody"/>
        <w:bidi w:val="0"/>
        <w:spacing w:before="0" w:after="0"/>
        <w:jc w:val="center"/>
        <w:rPr>
          <w:rFonts w:ascii="Times New Roman" w:hAnsi="Times New Roman"/>
          <w:b/>
          <w:sz w:val="18"/>
        </w:rPr>
      </w:pPr>
      <w:r>
        <w:rPr>
          <w:rFonts w:ascii="Times New Roman" w:hAnsi="Times New Roman"/>
          <w:b/>
          <w:sz w:val="18"/>
        </w:rPr>
        <w:t xml:space="preserve">Covington, Louisiana 70433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(985) 727-2000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Todd M. Hornbeck </w:t>
      </w:r>
    </w:p>
    <w:p>
      <w:pPr>
        <w:pStyle w:val="TextBody"/>
        <w:bidi w:val="0"/>
        <w:spacing w:before="0" w:after="0"/>
        <w:jc w:val="center"/>
        <w:rPr>
          <w:rFonts w:ascii="Times New Roman" w:hAnsi="Times New Roman"/>
          <w:b/>
          <w:sz w:val="18"/>
        </w:rPr>
      </w:pPr>
      <w:r>
        <w:rPr>
          <w:rFonts w:ascii="Times New Roman" w:hAnsi="Times New Roman"/>
          <w:b/>
          <w:sz w:val="18"/>
        </w:rPr>
        <w:t xml:space="preserve">Chairman of the Board, President and Chief Executive Officer 103 Northpark Boulevard, Suite 300 </w:t>
      </w:r>
    </w:p>
    <w:p>
      <w:pPr>
        <w:pStyle w:val="TextBody"/>
        <w:bidi w:val="0"/>
        <w:spacing w:before="0" w:after="0"/>
        <w:jc w:val="center"/>
        <w:rPr>
          <w:rFonts w:ascii="Times New Roman" w:hAnsi="Times New Roman"/>
          <w:b/>
          <w:sz w:val="18"/>
        </w:rPr>
      </w:pPr>
      <w:r>
        <w:rPr>
          <w:rFonts w:ascii="Times New Roman" w:hAnsi="Times New Roman"/>
          <w:b/>
          <w:sz w:val="18"/>
        </w:rPr>
        <w:t xml:space="preserve">Covington, Louisiana 70433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(985) 727-2000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Matthew R. Pacey, P.C.</w:t>
              <w:br/>
              <w:t>Ieuan A. List</w:t>
              <w:br/>
              <w:t>Kirkland &amp; Ellis LLP</w:t>
              <w:br/>
              <w:t>609 Main Street</w:t>
              <w:br/>
              <w:t>Houston, TX 77002</w:t>
              <w:br/>
              <w:t>(713) 836-3786</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T. Mark Kelly</w:t>
            </w:r>
          </w:p>
          <w:p>
            <w:pPr>
              <w:pStyle w:val="TableContents"/>
              <w:bidi w:val="0"/>
              <w:spacing w:before="0" w:after="0"/>
              <w:jc w:val="center"/>
              <w:rPr>
                <w:rFonts w:ascii="Times New Roman" w:hAnsi="Times New Roman"/>
                <w:b/>
                <w:sz w:val="18"/>
              </w:rPr>
            </w:pPr>
            <w:r>
              <w:rPr>
                <w:rFonts w:ascii="Times New Roman" w:hAnsi="Times New Roman"/>
                <w:b/>
                <w:sz w:val="18"/>
              </w:rPr>
              <w:t>E. Ramey Layne</w:t>
            </w:r>
          </w:p>
          <w:p>
            <w:pPr>
              <w:pStyle w:val="TableContents"/>
              <w:bidi w:val="0"/>
              <w:spacing w:before="0" w:after="20"/>
              <w:jc w:val="center"/>
              <w:rPr>
                <w:rFonts w:ascii="Times New Roman" w:hAnsi="Times New Roman"/>
                <w:b/>
                <w:sz w:val="18"/>
              </w:rPr>
            </w:pPr>
            <w:r>
              <w:rPr>
                <w:rFonts w:ascii="Times New Roman" w:hAnsi="Times New Roman"/>
                <w:b/>
                <w:sz w:val="18"/>
              </w:rPr>
              <w:t>Vinson &amp; Elkins LLP</w:t>
              <w:br/>
              <w:t>845 Texas Avenue</w:t>
              <w:br/>
              <w:t>Houston, TX 77002</w:t>
              <w:br/>
              <w:t>(713) 758-2222</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b/>
          <w:sz w:val="18"/>
        </w:rPr>
        <w:t xml:space="preserve">Approximate date of commencement of proposed sale to the public: </w:t>
      </w:r>
      <w:r>
        <w:rPr>
          <w:rFonts w:ascii="Times New Roman" w:hAnsi="Times New Roman"/>
          <w:sz w:val="18"/>
        </w:rPr>
        <w:t xml:space="preserve">As soon as practicable after this Registration Statement is declared effective.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6"/>
        <w:gridCol w:w="104"/>
        <w:gridCol w:w="4834"/>
        <w:gridCol w:w="133"/>
        <w:gridCol w:w="2607"/>
        <w:gridCol w:w="104"/>
        <w:gridCol w:w="267"/>
      </w:tblGrid>
      <w:tr>
        <w:trPr/>
        <w:tc>
          <w:tcPr>
            <w:tcW w:w="215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3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color w:val="CB2D5E"/>
          <w:sz w:val="20"/>
        </w:rPr>
      </w:pPr>
      <w:r>
        <w:rPr>
          <w:rFonts w:ascii="ARIAL" w:hAnsi="ARIAL"/>
          <w:b/>
          <w:color w:val="CB2D5E"/>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CB2D5E"/>
          <w:sz w:val="20"/>
        </w:rPr>
      </w:pPr>
      <w:r>
        <w:rPr>
          <w:rFonts w:ascii="Times New Roman" w:hAnsi="Times New Roman"/>
          <w:b/>
          <w:color w:val="CB2D5E"/>
          <w:sz w:val="20"/>
        </w:rPr>
        <w:t xml:space="preserve">Subject to Completion, dated    , 2026 </w:t>
      </w:r>
    </w:p>
    <w:p>
      <w:pPr>
        <w:pStyle w:val="TextBody"/>
        <w:bidi w:val="0"/>
        <w:spacing w:before="80" w:after="0"/>
        <w:jc w:val="left"/>
        <w:rPr>
          <w:rFonts w:ascii="arial" w:hAnsi="arial"/>
          <w:b/>
          <w:sz w:val="24"/>
        </w:rPr>
      </w:pPr>
      <w:r>
        <w:rPr>
          <w:rFonts w:ascii="arial" w:hAnsi="arial"/>
          <w:b/>
          <w:sz w:val="24"/>
        </w:rPr>
        <w:t xml:space="preserve">PROSPECTUS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center"/>
        <w:rPr/>
      </w:pPr>
      <w:r>
        <w:rPr/>
        <w:t>   </w:t>
      </w:r>
      <w:r>
        <w:rPr>
          <w:rFonts w:ascii="arial" w:hAnsi="arial"/>
          <w:b/>
          <w:sz w:val="32"/>
        </w:rPr>
        <w:t xml:space="preserve">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00012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1000125"/>
                    </a:xfrm>
                    <a:prstGeom prst="rect">
                      <a:avLst/>
                    </a:prstGeom>
                  </pic:spPr>
                </pic:pic>
              </a:graphicData>
            </a:graphic>
          </wp:inline>
        </w:drawing>
      </w:r>
      <w:r>
        <w:rPr/>
        <w:t xml:space="preserve"> </w:t>
      </w:r>
    </w:p>
    <w:p>
      <w:pPr>
        <w:pStyle w:val="TextBody"/>
        <w:bidi w:val="0"/>
        <w:spacing w:before="240" w:after="0"/>
        <w:jc w:val="center"/>
        <w:rPr>
          <w:rFonts w:ascii="arial" w:hAnsi="arial"/>
          <w:b/>
          <w:sz w:val="44"/>
        </w:rPr>
      </w:pPr>
      <w:r>
        <w:rPr>
          <w:rFonts w:ascii="arial" w:hAnsi="arial"/>
          <w:b/>
          <w:sz w:val="44"/>
        </w:rPr>
        <w:t xml:space="preserve">Hornbeck Offshore Services, Inc. </w:t>
      </w:r>
    </w:p>
    <w:p>
      <w:pPr>
        <w:pStyle w:val="TextBody"/>
        <w:bidi w:val="0"/>
        <w:spacing w:before="240" w:after="0"/>
        <w:jc w:val="center"/>
        <w:rPr>
          <w:rFonts w:ascii="arial" w:hAnsi="arial"/>
          <w:b/>
          <w:sz w:val="32"/>
        </w:rPr>
      </w:pPr>
      <w:r>
        <w:rPr>
          <w:rFonts w:ascii="arial" w:hAnsi="arial"/>
          <w:b/>
          <w:sz w:val="32"/>
        </w:rPr>
        <w:t xml:space="preserve">Common Stock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60" w:after="0"/>
        <w:jc w:val="left"/>
        <w:rPr>
          <w:rFonts w:ascii="Times New Roman" w:hAnsi="Times New Roman"/>
          <w:sz w:val="16"/>
        </w:rPr>
      </w:pPr>
      <w:r>
        <w:rPr>
          <w:rFonts w:ascii="Times New Roman" w:hAnsi="Times New Roman"/>
          <w:sz w:val="16"/>
        </w:rPr>
        <w:t xml:space="preserve">This is an initial public offering of shares of our common stock, $0.00001 par value per share. We are offering   shares of our common stock. Certain selling stockholders identified in this prospectus are offering    shares of our common stock. </w:t>
      </w:r>
    </w:p>
    <w:p>
      <w:pPr>
        <w:pStyle w:val="TextBody"/>
        <w:bidi w:val="0"/>
        <w:spacing w:before="120" w:after="0"/>
        <w:jc w:val="left"/>
        <w:rPr>
          <w:rFonts w:ascii="Times New Roman" w:hAnsi="Times New Roman"/>
          <w:sz w:val="16"/>
        </w:rPr>
      </w:pPr>
      <w:r>
        <w:rPr>
          <w:rFonts w:ascii="Times New Roman" w:hAnsi="Times New Roman"/>
          <w:sz w:val="16"/>
        </w:rPr>
        <w:t xml:space="preserve">Prior to this offering, there has been no public market for our common stock. We estimate that the initial public offering price per share will be between $    and $    . See “Underwriting (Conflicts of Interest)” for a discussion of the factors to be considered in determining the initial offering price. We have applied to list our common stock on the New York Stock Exchange (the “NYSE”) under the symbol “HOS.” </w:t>
      </w:r>
    </w:p>
    <w:p>
      <w:pPr>
        <w:pStyle w:val="TextBody"/>
        <w:bidi w:val="0"/>
        <w:spacing w:before="120" w:after="0"/>
        <w:jc w:val="left"/>
        <w:rPr/>
      </w:pPr>
      <w:r>
        <w:rPr>
          <w:rFonts w:ascii="Times New Roman" w:hAnsi="Times New Roman"/>
          <w:i/>
          <w:sz w:val="20"/>
        </w:rPr>
        <w:t>Investing in shares of our common stock involves significant risks. See “</w:t>
      </w:r>
      <w:hyperlink w:anchor="rom65571_3">
        <w:r>
          <w:rPr>
            <w:rStyle w:val="InternetLink"/>
            <w:rFonts w:ascii="Times New Roman" w:hAnsi="Times New Roman"/>
            <w:i/>
            <w:sz w:val="20"/>
          </w:rPr>
          <w:t>Risk Factors</w:t>
        </w:r>
      </w:hyperlink>
      <w:r>
        <w:rPr>
          <w:rFonts w:ascii="Times New Roman" w:hAnsi="Times New Roman"/>
          <w:i/>
          <w:sz w:val="20"/>
        </w:rPr>
        <w:t xml:space="preserve">” beginning on page 35. </w:t>
      </w:r>
    </w:p>
    <w:p>
      <w:pPr>
        <w:pStyle w:val="TextBody"/>
        <w:bidi w:val="0"/>
        <w:spacing w:before="120" w:after="0"/>
        <w:jc w:val="left"/>
        <w:rPr>
          <w:rFonts w:ascii="Times New Roman" w:hAnsi="Times New Roman"/>
          <w:i/>
          <w:sz w:val="16"/>
        </w:rPr>
      </w:pPr>
      <w:r>
        <w:rPr>
          <w:rFonts w:ascii="Times New Roman" w:hAnsi="Times New Roman"/>
          <w:i/>
          <w:sz w:val="16"/>
        </w:rPr>
        <w:t xml:space="preserve">By participating in this offering, you are representing that you are a citizen of the United States, as defined in the Jones Act (as defined herein). The Jones Act requires that at least 75% of the outstanding shares of each class or series of our capital stock must be owned and controlled by U.S. citizens and, in order to provide a reasonable margin for compliance with this requirement, our amended and restated certificate of incorporation will provide that all non-U.S. citizens in the aggregate may not own more than 21% of the outstanding shares of our common stock, with certain limited grandfathered circumstances allowing up to 24% of the outstanding shares of our common stock to be owned by non-U.S. citizens on and after the effective date of the initial public offering. Failure to comply with the Jones Act could cause us to lose the privilege of owning and operating vessels in the U.S. coastwise trade. Accordingly, our common stock is subject to limitations on foreign ownership and possible required divestiture by non-U.S. citizen stockholders. See “Description of Capital Stock and Warrants—Limitations on Ownership by Non-U.S. Citizens” and “Risk Factors—Our common stock is subject to restrictions on foreign ownership and possible required divestiture by non-U.S. citizen stockholders.”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nor any other regulatory body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85"/>
        <w:gridCol w:w="324"/>
        <w:gridCol w:w="154"/>
        <w:gridCol w:w="948"/>
        <w:gridCol w:w="60"/>
        <w:gridCol w:w="324"/>
        <w:gridCol w:w="140"/>
        <w:gridCol w:w="807"/>
        <w:gridCol w:w="63"/>
      </w:tblGrid>
      <w:tr>
        <w:trPr/>
        <w:tc>
          <w:tcPr>
            <w:tcW w:w="738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8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73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Initial public offering price</w:t>
            </w:r>
          </w:p>
        </w:tc>
        <w:tc>
          <w:tcPr>
            <w:tcW w:w="32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385"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discounts and commissions(1)</w:t>
            </w:r>
          </w:p>
        </w:tc>
        <w:tc>
          <w:tcPr>
            <w:tcW w:w="32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9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3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before expenses, to us</w:t>
            </w:r>
          </w:p>
        </w:tc>
        <w:tc>
          <w:tcPr>
            <w:tcW w:w="32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385" w:type="dxa"/>
            <w:tcBorders/>
          </w:tcPr>
          <w:p>
            <w:pPr>
              <w:pStyle w:val="TableContents"/>
              <w:bidi w:val="0"/>
              <w:spacing w:before="0" w:after="0"/>
              <w:jc w:val="left"/>
              <w:rPr>
                <w:rFonts w:ascii="Times New Roman" w:hAnsi="Times New Roman"/>
                <w:sz w:val="16"/>
              </w:rPr>
            </w:pPr>
            <w:r>
              <w:rPr>
                <w:rFonts w:ascii="Times New Roman" w:hAnsi="Times New Roman"/>
                <w:sz w:val="16"/>
              </w:rPr>
              <w:t>Proceeds, before expenses, to the selling stockholders</w:t>
            </w:r>
          </w:p>
        </w:tc>
        <w:tc>
          <w:tcPr>
            <w:tcW w:w="32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9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We have agreed to reimburse the underwriters for certain expenses. See “Underwriting (Conflicts of Interest).” </w:t>
            </w:r>
          </w:p>
        </w:tc>
      </w:tr>
    </w:tbl>
    <w:p>
      <w:pPr>
        <w:pStyle w:val="TextBody"/>
        <w:bidi w:val="0"/>
        <w:spacing w:before="120" w:after="0"/>
        <w:jc w:val="left"/>
        <w:rPr>
          <w:rFonts w:ascii="Times New Roman" w:hAnsi="Times New Roman"/>
          <w:sz w:val="16"/>
        </w:rPr>
      </w:pPr>
      <w:r>
        <w:rPr>
          <w:rFonts w:ascii="Times New Roman" w:hAnsi="Times New Roman"/>
          <w:sz w:val="16"/>
        </w:rPr>
        <w:t xml:space="preserve">At our request, the underwriters have reserved up to 5% of the shares of common stock offered by the prospectus for sale, at the initial public offering price, to certain individuals associated with us. See “Underwriting (Conflicts of Interest)—Directed Share Program.” </w:t>
      </w:r>
    </w:p>
    <w:p>
      <w:pPr>
        <w:pStyle w:val="TextBody"/>
        <w:bidi w:val="0"/>
        <w:spacing w:before="120" w:after="0"/>
        <w:jc w:val="left"/>
        <w:rPr>
          <w:rFonts w:ascii="Times New Roman" w:hAnsi="Times New Roman"/>
          <w:sz w:val="16"/>
        </w:rPr>
      </w:pPr>
      <w:r>
        <w:rPr>
          <w:rFonts w:ascii="Times New Roman" w:hAnsi="Times New Roman"/>
          <w:sz w:val="16"/>
        </w:rPr>
        <w:t xml:space="preserve">The selling stockholders have granted the underwriters an option for a period of 30 days from the date of this prospectus to purchase up to an additional    shares of our common stock at the initial public offering price, less the underwriting discounts and commissions. We will not receive any proceeds from the sale of shares of our common stock by the selling stockholders, including upon the sale of shares of our common stock by the selling stockholders if the underwriters exercise their option. </w:t>
      </w:r>
    </w:p>
    <w:p>
      <w:pPr>
        <w:pStyle w:val="TextBody"/>
        <w:bidi w:val="0"/>
        <w:spacing w:before="120" w:after="0"/>
        <w:jc w:val="left"/>
        <w:rPr>
          <w:rFonts w:ascii="Times New Roman" w:hAnsi="Times New Roman"/>
          <w:sz w:val="16"/>
        </w:rPr>
      </w:pPr>
      <w:r>
        <w:rPr>
          <w:rFonts w:ascii="Times New Roman" w:hAnsi="Times New Roman"/>
          <w:sz w:val="16"/>
        </w:rPr>
        <w:t xml:space="preserve">Highbridge Capital Management LLC, a holder of approximately 10.5% of the outstanding shares of our common stock, is an indirect subsidiary of J.P. Morgan Chase &amp; Co. and will receive greater than 5% of the net proceeds of this offering. Accordingly, J.P. Morgan Chase &amp; Co. is deemed to have a “conflict of interest” under Rule 5121 of the Financial Industry Regulatory Authority, or FINRA, and this offering is being conducted in accordance with the applicable provisions of FINRA Rule 5121, including the requirement that a “qualified independent underwriter” participate in the preparation of the prospectus and exercise the usual standards of due diligence in connection with such participation. Barclays Capital Inc. has agreed to serve as the qualified independent underwriter for this offering. See “Underwriting (Conflicts of Interest).” </w:t>
      </w:r>
    </w:p>
    <w:p>
      <w:pPr>
        <w:pStyle w:val="TextBody"/>
        <w:bidi w:val="0"/>
        <w:spacing w:before="120" w:after="0"/>
        <w:jc w:val="left"/>
        <w:rPr>
          <w:rFonts w:ascii="Times New Roman" w:hAnsi="Times New Roman"/>
          <w:sz w:val="16"/>
        </w:rPr>
      </w:pPr>
      <w:r>
        <w:rPr>
          <w:rFonts w:ascii="Times New Roman" w:hAnsi="Times New Roman"/>
          <w:sz w:val="16"/>
        </w:rPr>
        <w:t xml:space="preserve">The underwriters expect to deliver the shares of common stock to purchasers on or about    , 2026.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44"/>
        <w:gridCol w:w="286"/>
        <w:gridCol w:w="3146"/>
        <w:gridCol w:w="131"/>
        <w:gridCol w:w="3498"/>
      </w:tblGrid>
      <w:tr>
        <w:trPr/>
        <w:tc>
          <w:tcPr>
            <w:tcW w:w="3144"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498" w:type="dxa"/>
            <w:tcBorders/>
            <w:vAlign w:val="center"/>
          </w:tcPr>
          <w:p>
            <w:pPr>
              <w:pStyle w:val="TableContents"/>
              <w:bidi w:val="0"/>
              <w:spacing w:before="0" w:after="283"/>
              <w:jc w:val="left"/>
              <w:rPr>
                <w:sz w:val="4"/>
                <w:szCs w:val="4"/>
              </w:rPr>
            </w:pPr>
            <w:r>
              <w:rPr>
                <w:sz w:val="4"/>
                <w:szCs w:val="4"/>
              </w:rPr>
            </w:r>
          </w:p>
        </w:tc>
      </w:tr>
      <w:tr>
        <w:trPr/>
        <w:tc>
          <w:tcPr>
            <w:tcW w:w="6576" w:type="dxa"/>
            <w:gridSpan w:val="3"/>
            <w:tcBorders/>
          </w:tcPr>
          <w:p>
            <w:pPr>
              <w:pStyle w:val="TableContents"/>
              <w:bidi w:val="0"/>
              <w:spacing w:before="0" w:after="283"/>
              <w:jc w:val="left"/>
              <w:rPr>
                <w:rFonts w:ascii="Times New Roman" w:hAnsi="Times New Roman"/>
                <w:b/>
              </w:rPr>
            </w:pPr>
            <w:r>
              <w:rPr>
                <w:rFonts w:ascii="Times New Roman" w:hAnsi="Times New Roman"/>
                <w:b/>
              </w:rPr>
              <w:t>J.P. Morgan</w:t>
            </w:r>
          </w:p>
        </w:tc>
        <w:tc>
          <w:tcPr>
            <w:tcW w:w="131" w:type="dxa"/>
            <w:tcBorders/>
            <w:vAlign w:val="bottom"/>
          </w:tcPr>
          <w:p>
            <w:pPr>
              <w:pStyle w:val="TableContents"/>
              <w:bidi w:val="0"/>
              <w:spacing w:before="0" w:after="283"/>
              <w:jc w:val="left"/>
              <w:rPr/>
            </w:pPr>
            <w:r>
              <w:rPr/>
              <w:t> </w:t>
            </w:r>
          </w:p>
        </w:tc>
        <w:tc>
          <w:tcPr>
            <w:tcW w:w="3498" w:type="dxa"/>
            <w:tcBorders/>
            <w:vAlign w:val="bottom"/>
          </w:tcPr>
          <w:p>
            <w:pPr>
              <w:pStyle w:val="TableContents"/>
              <w:bidi w:val="0"/>
              <w:spacing w:before="0" w:after="283"/>
              <w:jc w:val="right"/>
              <w:rPr>
                <w:rFonts w:ascii="Times New Roman" w:hAnsi="Times New Roman"/>
                <w:b/>
              </w:rPr>
            </w:pPr>
            <w:r>
              <w:rPr>
                <w:rFonts w:ascii="Times New Roman" w:hAnsi="Times New Roman"/>
                <w:b/>
              </w:rPr>
              <w:t>Barclays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102"/>
        <w:gridCol w:w="2552"/>
        <w:gridCol w:w="102"/>
        <w:gridCol w:w="3469"/>
        <w:gridCol w:w="102"/>
        <w:gridCol w:w="2042"/>
      </w:tblGrid>
      <w:tr>
        <w:trPr/>
        <w:tc>
          <w:tcPr>
            <w:tcW w:w="18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DNB Carnegie</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pPr>
            <w:r>
              <w:rPr/>
              <w:t>Piper Sandler</w:t>
            </w:r>
          </w:p>
        </w:tc>
        <w:tc>
          <w:tcPr>
            <w:tcW w:w="102" w:type="dxa"/>
            <w:tcBorders/>
            <w:vAlign w:val="bottom"/>
          </w:tcPr>
          <w:p>
            <w:pPr>
              <w:pStyle w:val="TableContents"/>
              <w:bidi w:val="0"/>
              <w:spacing w:before="0" w:after="283"/>
              <w:jc w:val="left"/>
              <w:rPr/>
            </w:pPr>
            <w:r>
              <w:rPr/>
              <w:t> </w:t>
            </w:r>
          </w:p>
        </w:tc>
        <w:tc>
          <w:tcPr>
            <w:tcW w:w="3469" w:type="dxa"/>
            <w:tcBorders/>
          </w:tcPr>
          <w:p>
            <w:pPr>
              <w:pStyle w:val="TableContents"/>
              <w:bidi w:val="0"/>
              <w:spacing w:before="0" w:after="283"/>
              <w:jc w:val="center"/>
              <w:rPr/>
            </w:pPr>
            <w:r>
              <w:rPr/>
              <w:t>Guggenheim Securities</w:t>
            </w:r>
          </w:p>
        </w:tc>
        <w:tc>
          <w:tcPr>
            <w:tcW w:w="1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right"/>
              <w:rPr/>
            </w:pPr>
            <w:r>
              <w:rPr/>
              <w:t>Raymond James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5"/>
        <w:gridCol w:w="196"/>
        <w:gridCol w:w="198"/>
        <w:gridCol w:w="132"/>
        <w:gridCol w:w="3256"/>
        <w:gridCol w:w="132"/>
        <w:gridCol w:w="3231"/>
        <w:gridCol w:w="132"/>
        <w:gridCol w:w="2733"/>
      </w:tblGrid>
      <w:tr>
        <w:trPr/>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rPr/>
        <w:tc>
          <w:tcPr>
            <w:tcW w:w="589" w:type="dxa"/>
            <w:gridSpan w:val="3"/>
            <w:tcBorders/>
          </w:tcPr>
          <w:p>
            <w:pPr>
              <w:pStyle w:val="TableContents"/>
              <w:bidi w:val="0"/>
              <w:spacing w:before="0" w:after="283"/>
              <w:jc w:val="left"/>
              <w:rPr/>
            </w:pPr>
            <w:r>
              <w:rPr/>
              <w:t>BTIG</w:t>
            </w:r>
          </w:p>
        </w:tc>
        <w:tc>
          <w:tcPr>
            <w:tcW w:w="132"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center"/>
              <w:rPr/>
            </w:pPr>
            <w:r>
              <w:rPr/>
              <w:t>Johnson Rice &amp; Company</w:t>
            </w:r>
          </w:p>
        </w:tc>
        <w:tc>
          <w:tcPr>
            <w:tcW w:w="132" w:type="dxa"/>
            <w:tcBorders/>
            <w:vAlign w:val="bottom"/>
          </w:tcPr>
          <w:p>
            <w:pPr>
              <w:pStyle w:val="TableContents"/>
              <w:bidi w:val="0"/>
              <w:spacing w:before="0" w:after="283"/>
              <w:jc w:val="left"/>
              <w:rPr/>
            </w:pPr>
            <w:r>
              <w:rPr/>
              <w:t>  </w:t>
            </w:r>
          </w:p>
        </w:tc>
        <w:tc>
          <w:tcPr>
            <w:tcW w:w="3231" w:type="dxa"/>
            <w:tcBorders/>
          </w:tcPr>
          <w:p>
            <w:pPr>
              <w:pStyle w:val="TableContents"/>
              <w:bidi w:val="0"/>
              <w:spacing w:before="0" w:after="283"/>
              <w:jc w:val="center"/>
              <w:rPr/>
            </w:pPr>
            <w:r>
              <w:rPr/>
              <w:t>Pickering Energy Partners</w:t>
            </w:r>
          </w:p>
        </w:tc>
        <w:tc>
          <w:tcPr>
            <w:tcW w:w="132" w:type="dxa"/>
            <w:tcBorders/>
            <w:vAlign w:val="bottom"/>
          </w:tcPr>
          <w:p>
            <w:pPr>
              <w:pStyle w:val="TableContents"/>
              <w:bidi w:val="0"/>
              <w:spacing w:before="0" w:after="283"/>
              <w:jc w:val="left"/>
              <w:rPr/>
            </w:pPr>
            <w:r>
              <w:rPr/>
              <w:t>  </w:t>
            </w:r>
          </w:p>
        </w:tc>
        <w:tc>
          <w:tcPr>
            <w:tcW w:w="2733" w:type="dxa"/>
            <w:tcBorders/>
          </w:tcPr>
          <w:p>
            <w:pPr>
              <w:pStyle w:val="TableContents"/>
              <w:bidi w:val="0"/>
              <w:spacing w:before="0" w:after="283"/>
              <w:jc w:val="left"/>
              <w:rPr/>
            </w:pPr>
            <w:r>
              <w:rPr/>
              <w:t>Seaport Global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88"/>
        <w:gridCol w:w="131"/>
        <w:gridCol w:w="1964"/>
        <w:gridCol w:w="319"/>
        <w:gridCol w:w="1966"/>
        <w:gridCol w:w="131"/>
        <w:gridCol w:w="2409"/>
        <w:gridCol w:w="131"/>
        <w:gridCol w:w="1666"/>
      </w:tblGrid>
      <w:tr>
        <w:trPr/>
        <w:tc>
          <w:tcPr>
            <w:tcW w:w="148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488"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4249" w:type="dxa"/>
            <w:gridSpan w:val="3"/>
            <w:tcBorders/>
          </w:tcPr>
          <w:p>
            <w:pPr>
              <w:pStyle w:val="TableContents"/>
              <w:bidi w:val="0"/>
              <w:spacing w:before="0" w:after="283"/>
              <w:jc w:val="left"/>
              <w:rPr/>
            </w:pPr>
            <w:r>
              <w:rPr/>
              <w:t>Academy Securities</w:t>
            </w:r>
          </w:p>
        </w:tc>
        <w:tc>
          <w:tcPr>
            <w:tcW w:w="131" w:type="dxa"/>
            <w:tcBorders/>
            <w:vAlign w:val="bottom"/>
          </w:tcPr>
          <w:p>
            <w:pPr>
              <w:pStyle w:val="TableContents"/>
              <w:bidi w:val="0"/>
              <w:spacing w:before="0" w:after="283"/>
              <w:jc w:val="left"/>
              <w:rPr/>
            </w:pPr>
            <w:r>
              <w:rPr/>
              <w:t> </w:t>
            </w:r>
          </w:p>
        </w:tc>
        <w:tc>
          <w:tcPr>
            <w:tcW w:w="2409" w:type="dxa"/>
            <w:tcBorders/>
          </w:tcPr>
          <w:p>
            <w:pPr>
              <w:pStyle w:val="TableContents"/>
              <w:bidi w:val="0"/>
              <w:spacing w:before="0" w:after="283"/>
              <w:jc w:val="left"/>
              <w:rPr/>
            </w:pPr>
            <w:r>
              <w:rPr/>
              <w:t>Drexel Hamilton</w:t>
            </w:r>
          </w:p>
        </w:tc>
        <w:tc>
          <w:tcPr>
            <w:tcW w:w="131"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sz w:val="4"/>
                <w:szCs w:val="4"/>
              </w:rPr>
            </w:pPr>
            <w:r>
              <w:rPr>
                <w:sz w:val="4"/>
                <w:szCs w:val="4"/>
              </w:rPr>
            </w:r>
          </w:p>
        </w:tc>
      </w:tr>
    </w:tbl>
    <w:p>
      <w:pPr>
        <w:pStyle w:val="TextBody"/>
        <w:bidi w:val="0"/>
        <w:spacing w:before="120" w:after="0"/>
        <w:jc w:val="center"/>
        <w:rPr>
          <w:rFonts w:ascii="Times New Roman" w:hAnsi="Times New Roman"/>
          <w:sz w:val="16"/>
        </w:rPr>
      </w:pPr>
      <w:r>
        <w:rPr>
          <w:rFonts w:ascii="Times New Roman" w:hAnsi="Times New Roman"/>
          <w:sz w:val="16"/>
        </w:rPr>
        <w:t xml:space="preserve">Prospectus dated     ,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47"/>
        <w:gridCol w:w="70"/>
        <w:gridCol w:w="454"/>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
              <w:r>
                <w:rPr>
                  <w:rStyle w:val="InternetLink"/>
                  <w:rFonts w:ascii="Times New Roman" w:hAnsi="Times New Roman"/>
                  <w:sz w:val="20"/>
                </w:rPr>
                <w:t>SPECIAL NOTE REGARDING FORWARD-LOOKING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x</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2">
              <w:r>
                <w:rPr>
                  <w:rStyle w:val="InternetLink"/>
                  <w:rFonts w:ascii="Times New Roman" w:hAnsi="Times New Roman"/>
                  <w:sz w:val="20"/>
                </w:rPr>
                <w:t>SUMMARY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3">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4">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5">
              <w:r>
                <w:rPr>
                  <w:rStyle w:val="InternetLink"/>
                  <w:rFonts w:ascii="Times New Roman" w:hAnsi="Times New Roman"/>
                  <w:sz w:val="20"/>
                </w:rPr>
                <w:t>DIVIDEND POLICY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6">
              <w:r>
                <w:rPr>
                  <w:rStyle w:val="InternetLink"/>
                  <w:rFonts w:ascii="Times New Roman" w:hAnsi="Times New Roman"/>
                  <w:sz w:val="20"/>
                </w:rPr>
                <w:t>CAPITALIZATION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7">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8">
              <w:r>
                <w:rPr>
                  <w:rStyle w:val="InternetLink"/>
                  <w:rFonts w:ascii="Times New Roman" w:hAnsi="Times New Roman"/>
                  <w:sz w:val="20"/>
                </w:rPr>
                <w:t>MANAGEMENT’S DISCUSSION AND ANALYSIS OF FINANCIAL CONDITION AND RESULTS OF OPERATIONS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9">
              <w:r>
                <w:rPr>
                  <w:rStyle w:val="InternetLink"/>
                  <w:rFonts w:ascii="Times New Roman" w:hAnsi="Times New Roman"/>
                  <w:sz w:val="20"/>
                </w:rPr>
                <w:t>BUSINESS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0">
              <w:r>
                <w:rPr>
                  <w:rStyle w:val="InternetLink"/>
                  <w:rFonts w:ascii="Times New Roman" w:hAnsi="Times New Roman"/>
                  <w:sz w:val="20"/>
                </w:rPr>
                <w:t>MANAGEMENT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1">
              <w:r>
                <w:rPr>
                  <w:rStyle w:val="InternetLink"/>
                  <w:rFonts w:ascii="Times New Roman" w:hAnsi="Times New Roman"/>
                  <w:sz w:val="20"/>
                </w:rPr>
                <w:t>EXECUTIVE COMPENSATION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2">
              <w:r>
                <w:rPr>
                  <w:rStyle w:val="InternetLink"/>
                  <w:rFonts w:ascii="Times New Roman" w:hAnsi="Times New Roman"/>
                  <w:sz w:val="20"/>
                </w:rPr>
                <w:t>DESCRIPTION OF CAPITAL STOCK AND WARRANTS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3">
              <w:r>
                <w:rPr>
                  <w:rStyle w:val="InternetLink"/>
                  <w:rFonts w:ascii="Times New Roman" w:hAnsi="Times New Roman"/>
                  <w:sz w:val="20"/>
                </w:rPr>
                <w:t>SHARES ELIGIBLE FOR FUTURE SALE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4">
              <w:r>
                <w:rPr>
                  <w:rStyle w:val="InternetLink"/>
                  <w:rFonts w:ascii="Times New Roman" w:hAnsi="Times New Roman"/>
                  <w:sz w:val="20"/>
                </w:rPr>
                <w:t>MATERIAL U.S. FEDERAL INCOME TAX CONSIDERATIONS FOR NON-U.S. 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5">
              <w:r>
                <w:rPr>
                  <w:rStyle w:val="InternetLink"/>
                  <w:rFonts w:ascii="Times New Roman" w:hAnsi="Times New Roman"/>
                  <w:sz w:val="20"/>
                </w:rPr>
                <w:t>UNDERWRITING (CONFLICTS OF INTEREST)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6">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7">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8">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5571_19">
              <w:r>
                <w:rPr>
                  <w:rStyle w:val="InternetLink"/>
                  <w:rFonts w:ascii="Times New Roman" w:hAnsi="Times New Roman"/>
                  <w:sz w:val="20"/>
                </w:rPr>
                <w:t>INDEX TO FINANCIAL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Through and including    ,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240" w:after="0"/>
        <w:jc w:val="left"/>
        <w:rPr>
          <w:rFonts w:ascii="Times New Roman" w:hAnsi="Times New Roman"/>
          <w:sz w:val="20"/>
        </w:rPr>
      </w:pPr>
      <w:r>
        <w:rPr>
          <w:rFonts w:ascii="Times New Roman" w:hAnsi="Times New Roman"/>
          <w:sz w:val="20"/>
        </w:rPr>
        <w:t xml:space="preserve">Neither we, the selling stockholders, nor the underwriters (and any of our or their affiliates) have done anything that would permit this offering or possession or distribution of this prospectus in any jurisdiction where action for that purpose is required, other than in the United States. Persons outside the United States who obtain this prospectus must inform themselves about, and observe any restrictions relating to, the offering of the shares of common stock and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COMMONLY USED DEFINED TERMS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indicates or otherwise requires, the terms listed below have the following meanings: </w:t>
      </w:r>
    </w:p>
    <w:p>
      <w:pPr>
        <w:pStyle w:val="TextBody"/>
        <w:bidi w:val="0"/>
        <w:spacing w:before="240" w:after="0"/>
        <w:jc w:val="left"/>
        <w:rPr/>
      </w:pPr>
      <w:r>
        <w:rPr/>
        <w:t>“</w:t>
      </w:r>
      <w:r>
        <w:rPr>
          <w:rFonts w:ascii="Times New Roman" w:hAnsi="Times New Roman"/>
          <w:i/>
          <w:sz w:val="20"/>
        </w:rPr>
        <w:t>2026 Omnibus Incentive Plan</w:t>
      </w:r>
      <w:r>
        <w:rPr>
          <w:rFonts w:ascii="Times New Roman" w:hAnsi="Times New Roman"/>
          <w:sz w:val="20"/>
        </w:rPr>
        <w:t xml:space="preserve">” means Hornbeck Offshore Services, Inc. 2026 Omnibus Incentive Plan, the form of which is filed as an exhibit to the registration statement of which this prospectus forms a part; </w:t>
      </w:r>
    </w:p>
    <w:p>
      <w:pPr>
        <w:pStyle w:val="TextBody"/>
        <w:bidi w:val="0"/>
        <w:spacing w:before="240" w:after="0"/>
        <w:jc w:val="left"/>
        <w:rPr/>
      </w:pPr>
      <w:r>
        <w:rPr/>
        <w:t>“</w:t>
      </w:r>
      <w:r>
        <w:rPr>
          <w:rFonts w:ascii="Times New Roman" w:hAnsi="Times New Roman"/>
          <w:i/>
          <w:sz w:val="20"/>
        </w:rPr>
        <w:t>2020 Management Incentive Plan</w:t>
      </w:r>
      <w:r>
        <w:rPr>
          <w:rFonts w:ascii="Times New Roman" w:hAnsi="Times New Roman"/>
          <w:sz w:val="20"/>
        </w:rPr>
        <w:t xml:space="preserve">” means the 2020 Management Incentive Plan of Hornbeck Offshore Services, Inc., as amended by that certain First Amendment to 2020 Management Incentive Plan of Hornbeck Offshore Services, Inc., and as further amended by that certain Second Amendment to 2020 Management Incentive Plan of Hornbeck Offshore Services, Inc., copies of which are filed as exhibits to the registration statement of which this prospectus forms a part; </w:t>
      </w:r>
    </w:p>
    <w:p>
      <w:pPr>
        <w:pStyle w:val="TextBody"/>
        <w:bidi w:val="0"/>
        <w:spacing w:before="240" w:after="0"/>
        <w:jc w:val="left"/>
        <w:rPr/>
      </w:pPr>
      <w:r>
        <w:rPr/>
        <w:t>“</w:t>
      </w:r>
      <w:r>
        <w:rPr>
          <w:rFonts w:ascii="Times New Roman" w:hAnsi="Times New Roman"/>
          <w:i/>
          <w:sz w:val="20"/>
        </w:rPr>
        <w:t>Annual Financial Statements</w:t>
      </w:r>
      <w:r>
        <w:rPr>
          <w:rFonts w:ascii="Times New Roman" w:hAnsi="Times New Roman"/>
          <w:sz w:val="20"/>
        </w:rPr>
        <w:t xml:space="preserve">” means the audited consolidated financial statements of Hornbeck Offshore Services, Inc. at December 31, 2024 and 2023, and for the years ended December 31, 2024, 2023 and 2022; </w:t>
      </w:r>
    </w:p>
    <w:p>
      <w:pPr>
        <w:pStyle w:val="TextBody"/>
        <w:bidi w:val="0"/>
        <w:spacing w:before="240" w:after="0"/>
        <w:jc w:val="left"/>
        <w:rPr/>
      </w:pPr>
      <w:r>
        <w:rPr/>
        <w:t>“</w:t>
      </w:r>
      <w:r>
        <w:rPr>
          <w:rFonts w:ascii="Times New Roman" w:hAnsi="Times New Roman"/>
          <w:i/>
          <w:sz w:val="20"/>
        </w:rPr>
        <w:t>Ares</w:t>
      </w:r>
      <w:r>
        <w:rPr>
          <w:rFonts w:ascii="Times New Roman" w:hAnsi="Times New Roman"/>
          <w:sz w:val="20"/>
        </w:rPr>
        <w:t xml:space="preserve">” means Ares Management LLC; </w:t>
      </w:r>
    </w:p>
    <w:p>
      <w:pPr>
        <w:pStyle w:val="TextBody"/>
        <w:bidi w:val="0"/>
        <w:spacing w:before="240" w:after="0"/>
        <w:jc w:val="left"/>
        <w:rPr/>
      </w:pPr>
      <w:r>
        <w:rPr/>
        <w:t>“</w:t>
      </w:r>
      <w:r>
        <w:rPr>
          <w:rFonts w:ascii="Times New Roman" w:hAnsi="Times New Roman"/>
          <w:i/>
          <w:sz w:val="20"/>
        </w:rPr>
        <w:t>ASC</w:t>
      </w:r>
      <w:r>
        <w:rPr>
          <w:rFonts w:ascii="Times New Roman" w:hAnsi="Times New Roman"/>
          <w:sz w:val="20"/>
        </w:rPr>
        <w:t xml:space="preserve">” means Financial Accounting Standards Board Accounting Standards Codification; </w:t>
      </w:r>
    </w:p>
    <w:p>
      <w:pPr>
        <w:pStyle w:val="TextBody"/>
        <w:bidi w:val="0"/>
        <w:spacing w:before="240" w:after="0"/>
        <w:jc w:val="left"/>
        <w:rPr/>
      </w:pPr>
      <w:r>
        <w:rPr/>
        <w:t>“</w:t>
      </w:r>
      <w:r>
        <w:rPr>
          <w:rFonts w:ascii="Times New Roman" w:hAnsi="Times New Roman"/>
          <w:i/>
          <w:sz w:val="20"/>
        </w:rPr>
        <w:t>Chapter 11 Cases</w:t>
      </w:r>
      <w:r>
        <w:rPr>
          <w:rFonts w:ascii="Times New Roman" w:hAnsi="Times New Roman"/>
          <w:sz w:val="20"/>
        </w:rPr>
        <w:t xml:space="preserve">” means the Company’s Chapter 11 cases in the United States Bankruptcy Court for the Southern District of Texas, Houston Division, or the Bankruptcy Court, consummated September 4, 2020;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w:t>
      </w:r>
      <w:r>
        <w:rPr>
          <w:rFonts w:ascii="Times New Roman" w:hAnsi="Times New Roman"/>
          <w:i/>
          <w:sz w:val="20"/>
        </w:rPr>
        <w:t>Hornbeck</w:t>
      </w:r>
      <w:r>
        <w:rPr>
          <w:rFonts w:ascii="Times New Roman" w:hAnsi="Times New Roman"/>
          <w:sz w:val="20"/>
        </w:rPr>
        <w:t>,” “</w:t>
      </w:r>
      <w:r>
        <w:rPr>
          <w:rFonts w:ascii="Times New Roman" w:hAnsi="Times New Roman"/>
          <w:i/>
          <w:sz w:val="20"/>
        </w:rPr>
        <w:t>we</w:t>
      </w:r>
      <w:r>
        <w:rPr>
          <w:rFonts w:ascii="Times New Roman" w:hAnsi="Times New Roman"/>
          <w:sz w:val="20"/>
        </w:rPr>
        <w:t>,” “</w:t>
      </w:r>
      <w:r>
        <w:rPr>
          <w:rFonts w:ascii="Times New Roman" w:hAnsi="Times New Roman"/>
          <w:i/>
          <w:sz w:val="20"/>
        </w:rPr>
        <w:t>our</w:t>
      </w:r>
      <w:r>
        <w:rPr>
          <w:rFonts w:ascii="Times New Roman" w:hAnsi="Times New Roman"/>
          <w:sz w:val="20"/>
        </w:rPr>
        <w:t>” or “</w:t>
      </w:r>
      <w:r>
        <w:rPr>
          <w:rFonts w:ascii="Times New Roman" w:hAnsi="Times New Roman"/>
          <w:i/>
          <w:sz w:val="20"/>
        </w:rPr>
        <w:t>us</w:t>
      </w:r>
      <w:r>
        <w:rPr>
          <w:rFonts w:ascii="Times New Roman" w:hAnsi="Times New Roman"/>
          <w:sz w:val="20"/>
        </w:rPr>
        <w:t xml:space="preserve">” means, unless otherwise indicated or the context otherwise requires, Hornbeck Offshore Services, Inc., a Delaware corporation, and its consolidated subsidiaries; </w:t>
      </w:r>
    </w:p>
    <w:p>
      <w:pPr>
        <w:pStyle w:val="TextBody"/>
        <w:bidi w:val="0"/>
        <w:spacing w:before="240" w:after="0"/>
        <w:jc w:val="left"/>
        <w:rPr/>
      </w:pPr>
      <w:r>
        <w:rPr/>
        <w:t>“</w:t>
      </w:r>
      <w:r>
        <w:rPr>
          <w:rFonts w:ascii="Times New Roman" w:hAnsi="Times New Roman"/>
          <w:i/>
          <w:sz w:val="20"/>
        </w:rPr>
        <w:t>Credit Agreement Closing Date</w:t>
      </w:r>
      <w:r>
        <w:rPr>
          <w:rFonts w:ascii="Times New Roman" w:hAnsi="Times New Roman"/>
          <w:sz w:val="20"/>
        </w:rPr>
        <w:t xml:space="preserve">” means the closing date of the First Lien Credit Agreement; </w:t>
      </w:r>
    </w:p>
    <w:p>
      <w:pPr>
        <w:pStyle w:val="TextBody"/>
        <w:bidi w:val="0"/>
        <w:spacing w:before="240" w:after="0"/>
        <w:jc w:val="left"/>
        <w:rPr/>
      </w:pPr>
      <w:r>
        <w:rPr/>
        <w:t>“</w:t>
      </w:r>
      <w:r>
        <w:rPr>
          <w:rFonts w:ascii="Times New Roman" w:hAnsi="Times New Roman"/>
          <w:i/>
          <w:sz w:val="20"/>
        </w:rPr>
        <w:t>Creditor Warrants</w:t>
      </w:r>
      <w:r>
        <w:rPr>
          <w:rFonts w:ascii="Times New Roman" w:hAnsi="Times New Roman"/>
          <w:sz w:val="20"/>
        </w:rPr>
        <w:t xml:space="preserve">” means those certain warrants issued to certain claimants in settlement of certain pre-Chapter 11 Cases liabilities; </w:t>
      </w:r>
    </w:p>
    <w:p>
      <w:pPr>
        <w:pStyle w:val="TextBody"/>
        <w:bidi w:val="0"/>
        <w:spacing w:before="240" w:after="0"/>
        <w:jc w:val="left"/>
        <w:rPr/>
      </w:pPr>
      <w:r>
        <w:rPr/>
        <w:t>“</w:t>
      </w:r>
      <w:r>
        <w:rPr>
          <w:rFonts w:ascii="Times New Roman" w:hAnsi="Times New Roman"/>
          <w:i/>
          <w:sz w:val="20"/>
        </w:rPr>
        <w:t>Eastern</w:t>
      </w:r>
      <w:r>
        <w:rPr>
          <w:rFonts w:ascii="Times New Roman" w:hAnsi="Times New Roman"/>
          <w:sz w:val="20"/>
        </w:rPr>
        <w:t>” means Eastern Shipbuilding Group, Inc.; “</w:t>
      </w:r>
      <w:r>
        <w:rPr>
          <w:rFonts w:ascii="Times New Roman" w:hAnsi="Times New Roman"/>
          <w:i/>
          <w:sz w:val="20"/>
        </w:rPr>
        <w:t>ECO</w:t>
      </w:r>
      <w:r>
        <w:rPr>
          <w:rFonts w:ascii="Times New Roman" w:hAnsi="Times New Roman"/>
          <w:sz w:val="20"/>
        </w:rPr>
        <w:t xml:space="preserve">” means Edison Chouest Offshore; </w:t>
      </w:r>
    </w:p>
    <w:p>
      <w:pPr>
        <w:pStyle w:val="TextBody"/>
        <w:bidi w:val="0"/>
        <w:spacing w:before="240" w:after="0"/>
        <w:jc w:val="left"/>
        <w:rPr/>
      </w:pPr>
      <w:r>
        <w:rPr/>
        <w:t>“</w:t>
      </w:r>
      <w:r>
        <w:rPr>
          <w:rFonts w:ascii="Times New Roman" w:hAnsi="Times New Roman"/>
          <w:i/>
          <w:sz w:val="20"/>
        </w:rPr>
        <w:t>ECO Acquisitions</w:t>
      </w:r>
      <w:r>
        <w:rPr>
          <w:rFonts w:ascii="Times New Roman" w:hAnsi="Times New Roman"/>
          <w:sz w:val="20"/>
        </w:rPr>
        <w:t xml:space="preserve">” means the ECO Acquisitions #1 and the ECO Acquisitions #2; </w:t>
      </w:r>
    </w:p>
    <w:p>
      <w:pPr>
        <w:pStyle w:val="TextBody"/>
        <w:bidi w:val="0"/>
        <w:spacing w:before="240" w:after="0"/>
        <w:jc w:val="left"/>
        <w:rPr/>
      </w:pPr>
      <w:r>
        <w:rPr/>
        <w:t>“</w:t>
      </w:r>
      <w:r>
        <w:rPr>
          <w:rFonts w:ascii="Times New Roman" w:hAnsi="Times New Roman"/>
          <w:i/>
          <w:sz w:val="20"/>
        </w:rPr>
        <w:t>ECO Acquisitions #1</w:t>
      </w:r>
      <w:r>
        <w:rPr>
          <w:rFonts w:ascii="Times New Roman" w:hAnsi="Times New Roman"/>
          <w:sz w:val="20"/>
        </w:rPr>
        <w:t xml:space="preserve">” means the acquisition of six high-spec OSVs effected pursuant to the definitive purchase agreements the Company entered into with certain affiliates of ECO on January 10, 2022, as amended; </w:t>
      </w:r>
    </w:p>
    <w:p>
      <w:pPr>
        <w:pStyle w:val="TextBody"/>
        <w:bidi w:val="0"/>
        <w:spacing w:before="240" w:after="0"/>
        <w:jc w:val="left"/>
        <w:rPr/>
      </w:pPr>
      <w:r>
        <w:rPr/>
        <w:t>“</w:t>
      </w:r>
      <w:r>
        <w:rPr>
          <w:rFonts w:ascii="Times New Roman" w:hAnsi="Times New Roman"/>
          <w:i/>
          <w:sz w:val="20"/>
        </w:rPr>
        <w:t>ECO Acquisitions #2</w:t>
      </w:r>
      <w:r>
        <w:rPr>
          <w:rFonts w:ascii="Times New Roman" w:hAnsi="Times New Roman"/>
          <w:sz w:val="20"/>
        </w:rPr>
        <w:t xml:space="preserve">” means the acquisition of six high-spec OSVs effected as contemplated by the controlling purchase agreement the Company entered into with Nautical, an ECO affiliate, on December 22, 2022, as subsequently divided into separate agreements and as each was amended; </w:t>
      </w:r>
    </w:p>
    <w:p>
      <w:pPr>
        <w:pStyle w:val="TextBody"/>
        <w:bidi w:val="0"/>
        <w:spacing w:before="240" w:after="0"/>
        <w:jc w:val="left"/>
        <w:rPr/>
      </w:pPr>
      <w:r>
        <w:rPr/>
        <w:t>“</w:t>
      </w:r>
      <w:r>
        <w:rPr>
          <w:rFonts w:ascii="Times New Roman" w:hAnsi="Times New Roman"/>
          <w:i/>
          <w:sz w:val="20"/>
        </w:rPr>
        <w:t>Financial Statements</w:t>
      </w:r>
      <w:r>
        <w:rPr>
          <w:rFonts w:ascii="Times New Roman" w:hAnsi="Times New Roman"/>
          <w:sz w:val="20"/>
        </w:rPr>
        <w:t xml:space="preserve">” means our Annual Financial Statements and our Quarterly Financial Statements; </w:t>
      </w:r>
    </w:p>
    <w:p>
      <w:pPr>
        <w:pStyle w:val="TextBody"/>
        <w:bidi w:val="0"/>
        <w:spacing w:before="240" w:after="0"/>
        <w:jc w:val="left"/>
        <w:rPr/>
      </w:pPr>
      <w:r>
        <w:rPr/>
        <w:t>“</w:t>
      </w:r>
      <w:r>
        <w:rPr>
          <w:rFonts w:ascii="Times New Roman" w:hAnsi="Times New Roman"/>
          <w:i/>
          <w:sz w:val="20"/>
        </w:rPr>
        <w:t>First Lien Credit Agreement</w:t>
      </w:r>
      <w:r>
        <w:rPr>
          <w:rFonts w:ascii="Times New Roman" w:hAnsi="Times New Roman"/>
          <w:sz w:val="20"/>
        </w:rPr>
        <w:t xml:space="preserve">” means the Credit Agreement, dated as of August 13, 2024, as amended by that certain First Amendment to Credit Agreement, dated as of December 27, 2024, by and among the Company, DNB Bank ASA, New York Branch, as administrative agent, Wilmington Trust, National Association, as collateral agent and collateral trustee, and the lenders party thereto; </w:t>
      </w:r>
    </w:p>
    <w:p>
      <w:pPr>
        <w:pStyle w:val="TextBody"/>
        <w:bidi w:val="0"/>
        <w:spacing w:before="240" w:after="0"/>
        <w:jc w:val="left"/>
        <w:rPr/>
      </w:pPr>
      <w:r>
        <w:rPr/>
        <w:t>“</w:t>
      </w:r>
      <w:r>
        <w:rPr>
          <w:rFonts w:ascii="Times New Roman" w:hAnsi="Times New Roman"/>
          <w:i/>
          <w:sz w:val="20"/>
        </w:rPr>
        <w:t>First Lien Revolving Credit Facility</w:t>
      </w:r>
      <w:r>
        <w:rPr>
          <w:rFonts w:ascii="Times New Roman" w:hAnsi="Times New Roman"/>
          <w:sz w:val="20"/>
        </w:rPr>
        <w:t xml:space="preserve">” means the revolving credit facility established pursuant to the terms of the First Lien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i/>
          <w:sz w:val="20"/>
        </w:rPr>
        <w:t>Gulf Island</w:t>
      </w:r>
      <w:r>
        <w:rPr>
          <w:rFonts w:ascii="Times New Roman" w:hAnsi="Times New Roman"/>
          <w:sz w:val="20"/>
        </w:rPr>
        <w:t xml:space="preserve">” means Gulf Island Shipyards, LLC; </w:t>
      </w:r>
    </w:p>
    <w:p>
      <w:pPr>
        <w:pStyle w:val="TextBody"/>
        <w:bidi w:val="0"/>
        <w:spacing w:before="240" w:after="0"/>
        <w:jc w:val="left"/>
        <w:rPr/>
      </w:pPr>
      <w:r>
        <w:rPr/>
        <w:t>“</w:t>
      </w:r>
      <w:r>
        <w:rPr>
          <w:rFonts w:ascii="Times New Roman" w:hAnsi="Times New Roman"/>
          <w:i/>
          <w:sz w:val="20"/>
        </w:rPr>
        <w:t>high-specification</w:t>
      </w:r>
      <w:r>
        <w:rPr>
          <w:rFonts w:ascii="Times New Roman" w:hAnsi="Times New Roman"/>
          <w:sz w:val="20"/>
        </w:rPr>
        <w:t>” or “</w:t>
      </w:r>
      <w:r>
        <w:rPr>
          <w:rFonts w:ascii="Times New Roman" w:hAnsi="Times New Roman"/>
          <w:i/>
          <w:sz w:val="20"/>
        </w:rPr>
        <w:t>high-spec</w:t>
      </w:r>
      <w:r>
        <w:rPr>
          <w:rFonts w:ascii="Times New Roman" w:hAnsi="Times New Roman"/>
          <w:sz w:val="20"/>
        </w:rPr>
        <w:t xml:space="preserve">” means, when referring to OSVs, vessels with cargo-carrying capacity of between 3,500 and 5,000 DWT (i.e., primarily 265 to 280 class OSV notations), and dynamic-positioning systems with a DP-2 classification or higher; for the avoidance of doubt, any MPSV is a high-spec vessel (other than any MPSVs of greater than 5,000 DWT, which are ultra high-spec vessels); </w:t>
      </w:r>
    </w:p>
    <w:p>
      <w:pPr>
        <w:pStyle w:val="TextBody"/>
        <w:bidi w:val="0"/>
        <w:spacing w:before="240" w:after="0"/>
        <w:jc w:val="left"/>
        <w:rPr/>
      </w:pPr>
      <w:r>
        <w:rPr/>
        <w:t>“</w:t>
      </w:r>
      <w:r>
        <w:rPr>
          <w:rFonts w:ascii="Times New Roman" w:hAnsi="Times New Roman"/>
          <w:i/>
          <w:sz w:val="20"/>
        </w:rPr>
        <w:t>Highbridge</w:t>
      </w:r>
      <w:r>
        <w:rPr>
          <w:rFonts w:ascii="Times New Roman" w:hAnsi="Times New Roman"/>
          <w:sz w:val="20"/>
        </w:rPr>
        <w:t xml:space="preserve">” means Highbridge Capital Management LLC; </w:t>
      </w:r>
    </w:p>
    <w:p>
      <w:pPr>
        <w:pStyle w:val="TextBody"/>
        <w:bidi w:val="0"/>
        <w:spacing w:before="240" w:after="0"/>
        <w:jc w:val="left"/>
        <w:rPr/>
      </w:pPr>
      <w:r>
        <w:rPr/>
        <w:t>“</w:t>
      </w:r>
      <w:r>
        <w:rPr>
          <w:rFonts w:ascii="Times New Roman" w:hAnsi="Times New Roman"/>
          <w:i/>
          <w:sz w:val="20"/>
        </w:rPr>
        <w:t>HADR</w:t>
      </w:r>
      <w:r>
        <w:rPr>
          <w:rFonts w:ascii="Times New Roman" w:hAnsi="Times New Roman"/>
          <w:sz w:val="20"/>
        </w:rPr>
        <w:t xml:space="preserve">” means humanitarian aid and disaster relief; </w:t>
      </w:r>
    </w:p>
    <w:p>
      <w:pPr>
        <w:pStyle w:val="TextBody"/>
        <w:bidi w:val="0"/>
        <w:spacing w:before="240" w:after="0"/>
        <w:jc w:val="left"/>
        <w:rPr/>
      </w:pPr>
      <w:r>
        <w:rPr/>
        <w:t>“</w:t>
      </w:r>
      <w:r>
        <w:rPr>
          <w:rFonts w:ascii="Times New Roman" w:hAnsi="Times New Roman"/>
          <w:i/>
          <w:sz w:val="20"/>
        </w:rPr>
        <w:t>Jones Act Warrants</w:t>
      </w:r>
      <w:r>
        <w:rPr>
          <w:rFonts w:ascii="Times New Roman" w:hAnsi="Times New Roman"/>
          <w:sz w:val="20"/>
        </w:rPr>
        <w:t xml:space="preserve">” means those certain warrants issued to certain non-U.S. citizens in settlement of certain pre-Chapter 11 Cases liabilities and in connection with subsequent private offerings of the Company’s equity; </w:t>
      </w:r>
    </w:p>
    <w:p>
      <w:pPr>
        <w:pStyle w:val="TextBody"/>
        <w:bidi w:val="0"/>
        <w:spacing w:before="240" w:after="0"/>
        <w:jc w:val="left"/>
        <w:rPr/>
      </w:pPr>
      <w:r>
        <w:rPr/>
        <w:t>“</w:t>
      </w:r>
      <w:r>
        <w:rPr>
          <w:rFonts w:ascii="Times New Roman" w:hAnsi="Times New Roman"/>
          <w:i/>
          <w:sz w:val="20"/>
        </w:rPr>
        <w:t>Latin America</w:t>
      </w:r>
      <w:r>
        <w:rPr>
          <w:rFonts w:ascii="Times New Roman" w:hAnsi="Times New Roman"/>
          <w:sz w:val="20"/>
        </w:rPr>
        <w:t xml:space="preserve">” means the geographical areas of Mexico, Central America, South America and the Caribbean; </w:t>
      </w:r>
    </w:p>
    <w:p>
      <w:pPr>
        <w:pStyle w:val="TextBody"/>
        <w:bidi w:val="0"/>
        <w:spacing w:before="240" w:after="0"/>
        <w:jc w:val="left"/>
        <w:rPr/>
      </w:pPr>
      <w:r>
        <w:rPr/>
        <w:t>“</w:t>
      </w:r>
      <w:r>
        <w:rPr>
          <w:rFonts w:ascii="Times New Roman" w:hAnsi="Times New Roman"/>
          <w:i/>
          <w:sz w:val="20"/>
        </w:rPr>
        <w:t>low-specification</w:t>
      </w:r>
      <w:r>
        <w:rPr>
          <w:rFonts w:ascii="Times New Roman" w:hAnsi="Times New Roman"/>
          <w:sz w:val="20"/>
        </w:rPr>
        <w:t>” or “</w:t>
      </w:r>
      <w:r>
        <w:rPr>
          <w:rFonts w:ascii="Times New Roman" w:hAnsi="Times New Roman"/>
          <w:i/>
          <w:sz w:val="20"/>
        </w:rPr>
        <w:t>low-spec</w:t>
      </w:r>
      <w:r>
        <w:rPr>
          <w:rFonts w:ascii="Times New Roman" w:hAnsi="Times New Roman"/>
          <w:sz w:val="20"/>
        </w:rPr>
        <w:t xml:space="preserve">” means, when referring to OSVs, vessels with cargo-carrying capacity of less than 2,500 DWT (i.e., primarily 200 class OSV notations), and/or vessels with dynamic-positioning systems with a DP-1 classification or lower; </w:t>
      </w:r>
    </w:p>
    <w:p>
      <w:pPr>
        <w:pStyle w:val="TextBody"/>
        <w:bidi w:val="0"/>
        <w:spacing w:before="240" w:after="0"/>
        <w:jc w:val="left"/>
        <w:rPr/>
      </w:pPr>
      <w:r>
        <w:rPr/>
        <w:t>“</w:t>
      </w:r>
      <w:r>
        <w:rPr>
          <w:rFonts w:ascii="Times New Roman" w:hAnsi="Times New Roman"/>
          <w:i/>
          <w:sz w:val="20"/>
        </w:rPr>
        <w:t>mid-specification</w:t>
      </w:r>
      <w:r>
        <w:rPr>
          <w:rFonts w:ascii="Times New Roman" w:hAnsi="Times New Roman"/>
          <w:sz w:val="20"/>
        </w:rPr>
        <w:t>” or “</w:t>
      </w:r>
      <w:r>
        <w:rPr>
          <w:rFonts w:ascii="Times New Roman" w:hAnsi="Times New Roman"/>
          <w:i/>
          <w:sz w:val="20"/>
        </w:rPr>
        <w:t>mid-spec</w:t>
      </w:r>
      <w:r>
        <w:rPr>
          <w:rFonts w:ascii="Times New Roman" w:hAnsi="Times New Roman"/>
          <w:sz w:val="20"/>
        </w:rPr>
        <w:t xml:space="preserve">” means, when referring to OSVs, vessels with cargo-carrying capacity of between 2,500 and 3,500 DWT (i.e., primarily 240 class OSV notations), and dynamic positioning (“DP”) systems with a DP-2 classification or higher; </w:t>
      </w:r>
    </w:p>
    <w:p>
      <w:pPr>
        <w:pStyle w:val="TextBody"/>
        <w:bidi w:val="0"/>
        <w:spacing w:before="240" w:after="0"/>
        <w:jc w:val="left"/>
        <w:rPr/>
      </w:pPr>
      <w:r>
        <w:rPr/>
        <w:t>“</w:t>
      </w:r>
      <w:r>
        <w:rPr>
          <w:rFonts w:ascii="Times New Roman" w:hAnsi="Times New Roman"/>
          <w:i/>
          <w:sz w:val="20"/>
        </w:rPr>
        <w:t>Nautical</w:t>
      </w:r>
      <w:r>
        <w:rPr>
          <w:rFonts w:ascii="Times New Roman" w:hAnsi="Times New Roman"/>
          <w:sz w:val="20"/>
        </w:rPr>
        <w:t xml:space="preserve">” means Nautical Solutions, L.L.C., an ECO affiliate; </w:t>
      </w:r>
    </w:p>
    <w:p>
      <w:pPr>
        <w:pStyle w:val="TextBody"/>
        <w:bidi w:val="0"/>
        <w:spacing w:before="240" w:after="0"/>
        <w:jc w:val="left"/>
        <w:rPr/>
      </w:pPr>
      <w:r>
        <w:rPr/>
        <w:t>“</w:t>
      </w:r>
      <w:r>
        <w:rPr>
          <w:rFonts w:ascii="Times New Roman" w:hAnsi="Times New Roman"/>
          <w:i/>
          <w:sz w:val="20"/>
        </w:rPr>
        <w:t>PEMEX</w:t>
      </w:r>
      <w:r>
        <w:rPr>
          <w:rFonts w:ascii="Times New Roman" w:hAnsi="Times New Roman"/>
          <w:sz w:val="20"/>
        </w:rPr>
        <w:t xml:space="preserve">” means Petroleos Mexicanos; </w:t>
      </w:r>
    </w:p>
    <w:p>
      <w:pPr>
        <w:pStyle w:val="TextBody"/>
        <w:bidi w:val="0"/>
        <w:spacing w:before="240" w:after="0"/>
        <w:jc w:val="left"/>
        <w:rPr/>
      </w:pPr>
      <w:r>
        <w:rPr/>
        <w:t>“</w:t>
      </w:r>
      <w:r>
        <w:rPr>
          <w:rFonts w:ascii="Times New Roman" w:hAnsi="Times New Roman"/>
          <w:i/>
          <w:sz w:val="20"/>
        </w:rPr>
        <w:t>Petrobras</w:t>
      </w:r>
      <w:r>
        <w:rPr>
          <w:rFonts w:ascii="Times New Roman" w:hAnsi="Times New Roman"/>
          <w:sz w:val="20"/>
        </w:rPr>
        <w:t xml:space="preserve">” means Petroleo Brasileiro S.A.; </w:t>
      </w:r>
    </w:p>
    <w:p>
      <w:pPr>
        <w:pStyle w:val="TextBody"/>
        <w:bidi w:val="0"/>
        <w:spacing w:before="240" w:after="0"/>
        <w:jc w:val="left"/>
        <w:rPr/>
      </w:pPr>
      <w:r>
        <w:rPr/>
        <w:t>“</w:t>
      </w:r>
      <w:r>
        <w:rPr>
          <w:rFonts w:ascii="Times New Roman" w:hAnsi="Times New Roman"/>
          <w:i/>
          <w:sz w:val="20"/>
        </w:rPr>
        <w:t>principal stockholders</w:t>
      </w:r>
      <w:r>
        <w:rPr>
          <w:rFonts w:ascii="Times New Roman" w:hAnsi="Times New Roman"/>
          <w:sz w:val="20"/>
        </w:rPr>
        <w:t xml:space="preserve">” means funds, investment vehicles or accounts managed or advised by Ares, Whitebox or Highbridge or their respective affiliates, in each case, that own shares of our common stock; </w:t>
      </w:r>
    </w:p>
    <w:p>
      <w:pPr>
        <w:pStyle w:val="TextBody"/>
        <w:bidi w:val="0"/>
        <w:spacing w:before="240" w:after="0"/>
        <w:jc w:val="left"/>
        <w:rPr/>
      </w:pPr>
      <w:r>
        <w:rPr/>
        <w:t>“</w:t>
      </w:r>
      <w:r>
        <w:rPr>
          <w:rFonts w:ascii="Times New Roman" w:hAnsi="Times New Roman"/>
          <w:i/>
          <w:sz w:val="20"/>
        </w:rPr>
        <w:t>Prior Second Lien Credit Agreement</w:t>
      </w:r>
      <w:r>
        <w:rPr>
          <w:rFonts w:ascii="Times New Roman" w:hAnsi="Times New Roman"/>
          <w:sz w:val="20"/>
        </w:rPr>
        <w:t xml:space="preserve">” means that certain second lien term loan credit agreement, dated September 4, 2020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 all obligations under which were fully paid and terminated on December 27, 2024; </w:t>
      </w:r>
    </w:p>
    <w:p>
      <w:pPr>
        <w:pStyle w:val="TextBody"/>
        <w:bidi w:val="0"/>
        <w:spacing w:before="240" w:after="0"/>
        <w:jc w:val="left"/>
        <w:rPr/>
      </w:pPr>
      <w:r>
        <w:rPr/>
        <w:t>“</w:t>
      </w:r>
      <w:r>
        <w:rPr>
          <w:rFonts w:ascii="Times New Roman" w:hAnsi="Times New Roman"/>
          <w:i/>
          <w:sz w:val="20"/>
        </w:rPr>
        <w:t>Quarterly Financial Statements</w:t>
      </w:r>
      <w:r>
        <w:rPr>
          <w:rFonts w:ascii="Times New Roman" w:hAnsi="Times New Roman"/>
          <w:sz w:val="20"/>
        </w:rPr>
        <w:t xml:space="preserve">” means the unaudited consolidated financial statements for the three and nine months ended September 30, 2025 and 2024; </w:t>
      </w:r>
    </w:p>
    <w:p>
      <w:pPr>
        <w:pStyle w:val="TextBody"/>
        <w:bidi w:val="0"/>
        <w:spacing w:before="240" w:after="0"/>
        <w:jc w:val="left"/>
        <w:rPr/>
      </w:pPr>
      <w:r>
        <w:rPr/>
        <w:t>“</w:t>
      </w:r>
      <w:r>
        <w:rPr>
          <w:rFonts w:ascii="Times New Roman" w:hAnsi="Times New Roman"/>
          <w:i/>
          <w:sz w:val="20"/>
        </w:rPr>
        <w:t>Replacement First Lien Term Loans</w:t>
      </w:r>
      <w:r>
        <w:rPr>
          <w:rFonts w:ascii="Times New Roman" w:hAnsi="Times New Roman"/>
          <w:sz w:val="20"/>
        </w:rPr>
        <w:t xml:space="preserve">” means the first lien replacement term loans under that certain first lien term loan credit agreement, dated September 4, 2020 (as amended and restated pursuant to that certain Amendment No. 1 to First Lien Credit Agreement and Amendment No. 1 to the Effective Date Junior Lien Intercreditor Agreement, dated December 22, 2021, as further amended pursuant to that certain First Amendment to Restated First Lien Credit Agreement, dated June 6, 2022, as further amended pursuant to that certain Interest Rate Index Replacement Agreement and Second Amendment to First Lien Credit Agreement, dated July 27, 2023), by and among the Company, as parent borrower, Hornbeck Offshore Services, LLC, as co-borrower, Wilmington Trust, National Association, as administrative agent and collateral agent, and the lenders party thereto, all obligations under which were fully paid and terminated on August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Second Lien Credit Agreement</w:t>
      </w:r>
      <w:r>
        <w:rPr>
          <w:rFonts w:ascii="Times New Roman" w:hAnsi="Times New Roman"/>
          <w:sz w:val="20"/>
        </w:rPr>
        <w:t xml:space="preserve">” means that certain second lien term loan credit agreement, dated December 27, 2024 by and among the Company, as borrower, Stonebriar Commercial Finance, LLC, as administrative agent, Wilmington Trust, National Association, as collateral trustee, and the lenders party thereto; </w:t>
      </w:r>
    </w:p>
    <w:p>
      <w:pPr>
        <w:pStyle w:val="TextBody"/>
        <w:bidi w:val="0"/>
        <w:spacing w:before="240" w:after="0"/>
        <w:jc w:val="left"/>
        <w:rPr/>
      </w:pPr>
      <w:r>
        <w:rPr/>
        <w:t>“</w:t>
      </w:r>
      <w:r>
        <w:rPr>
          <w:rFonts w:ascii="Times New Roman" w:hAnsi="Times New Roman"/>
          <w:i/>
          <w:sz w:val="20"/>
        </w:rPr>
        <w:t>Second Lien Debt Refinancing</w:t>
      </w:r>
      <w:r>
        <w:rPr>
          <w:rFonts w:ascii="Times New Roman" w:hAnsi="Times New Roman"/>
          <w:sz w:val="20"/>
        </w:rPr>
        <w:t xml:space="preserve">” means our entry into the Second Lien Credit Agreement on December 27, 2024 and the draw thereunder of $450.0 million of Second Lien Term Loans due 2033, a portion of the net proceeds from which were utilized to repay in full the Second Lien Term Loans due 2026; </w:t>
      </w:r>
    </w:p>
    <w:p>
      <w:pPr>
        <w:pStyle w:val="TextBody"/>
        <w:bidi w:val="0"/>
        <w:spacing w:before="240" w:after="0"/>
        <w:jc w:val="left"/>
        <w:rPr/>
      </w:pPr>
      <w:r>
        <w:rPr/>
        <w:t>“</w:t>
      </w:r>
      <w:r>
        <w:rPr>
          <w:rFonts w:ascii="Times New Roman" w:hAnsi="Times New Roman"/>
          <w:i/>
          <w:sz w:val="20"/>
        </w:rPr>
        <w:t>Second Lien Term Loans due 2026</w:t>
      </w:r>
      <w:r>
        <w:rPr>
          <w:rFonts w:ascii="Times New Roman" w:hAnsi="Times New Roman"/>
          <w:sz w:val="20"/>
        </w:rPr>
        <w:t xml:space="preserve">” means the term loans issued under the Prior Second Lien Credit Agreement; </w:t>
      </w:r>
    </w:p>
    <w:p>
      <w:pPr>
        <w:pStyle w:val="TextBody"/>
        <w:bidi w:val="0"/>
        <w:spacing w:before="240" w:after="0"/>
        <w:jc w:val="left"/>
        <w:rPr/>
      </w:pPr>
      <w:r>
        <w:rPr/>
        <w:t>“</w:t>
      </w:r>
      <w:r>
        <w:rPr>
          <w:rFonts w:ascii="Times New Roman" w:hAnsi="Times New Roman"/>
          <w:i/>
          <w:sz w:val="20"/>
        </w:rPr>
        <w:t>Second Lien Term Loans due 2033</w:t>
      </w:r>
      <w:r>
        <w:rPr>
          <w:rFonts w:ascii="Times New Roman" w:hAnsi="Times New Roman"/>
          <w:sz w:val="20"/>
        </w:rPr>
        <w:t xml:space="preserve">” means our outstanding term loans under the Second Lien Credit Agreement;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i/>
          <w:sz w:val="20"/>
        </w:rPr>
        <w:t>Surety</w:t>
      </w:r>
      <w:r>
        <w:rPr>
          <w:rFonts w:ascii="Times New Roman" w:hAnsi="Times New Roman"/>
          <w:sz w:val="20"/>
        </w:rPr>
        <w:t xml:space="preserve">” means Zurich Insurance Company of America and Fidelity &amp; Deposit Company of Maryland; </w:t>
      </w:r>
    </w:p>
    <w:p>
      <w:pPr>
        <w:pStyle w:val="TextBody"/>
        <w:bidi w:val="0"/>
        <w:spacing w:before="240" w:after="0"/>
        <w:jc w:val="left"/>
        <w:rPr/>
      </w:pPr>
      <w:r>
        <w:rPr/>
        <w:t>“</w:t>
      </w:r>
      <w:r>
        <w:rPr>
          <w:rFonts w:ascii="Times New Roman" w:hAnsi="Times New Roman"/>
          <w:i/>
          <w:sz w:val="20"/>
        </w:rPr>
        <w:t>ultra high-specification</w:t>
      </w:r>
      <w:r>
        <w:rPr>
          <w:rFonts w:ascii="Times New Roman" w:hAnsi="Times New Roman"/>
          <w:sz w:val="20"/>
        </w:rPr>
        <w:t>” or “</w:t>
      </w:r>
      <w:r>
        <w:rPr>
          <w:rFonts w:ascii="Times New Roman" w:hAnsi="Times New Roman"/>
          <w:i/>
          <w:sz w:val="20"/>
        </w:rPr>
        <w:t>ultra high-spec</w:t>
      </w:r>
      <w:r>
        <w:rPr>
          <w:rFonts w:ascii="Times New Roman" w:hAnsi="Times New Roman"/>
          <w:sz w:val="20"/>
        </w:rPr>
        <w:t xml:space="preserve">” means, when referring to OSVs, vessels with cargo-carrying capacity of greater than 5,000 DWT (i.e., 300 class OSV notations or higher), and dynamic-positioning systems with a DP-2 classification or higher; for the avoidance of doubt, any MPSV of greater than 5,000 DWT is an ultra high-spec vessel; and </w:t>
      </w:r>
    </w:p>
    <w:p>
      <w:pPr>
        <w:pStyle w:val="TextBody"/>
        <w:bidi w:val="0"/>
        <w:spacing w:before="240" w:after="0"/>
        <w:jc w:val="left"/>
        <w:rPr/>
      </w:pPr>
      <w:r>
        <w:rPr/>
        <w:t>“</w:t>
      </w:r>
      <w:r>
        <w:rPr>
          <w:rFonts w:ascii="Times New Roman" w:hAnsi="Times New Roman"/>
          <w:i/>
          <w:sz w:val="20"/>
        </w:rPr>
        <w:t>Whitebox</w:t>
      </w:r>
      <w:r>
        <w:rPr>
          <w:rFonts w:ascii="Times New Roman" w:hAnsi="Times New Roman"/>
          <w:sz w:val="20"/>
        </w:rPr>
        <w:t xml:space="preserve">” means Whitebox Advisors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GLOSSARY OF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abbreviations and definitions of certain terms used in this document, which are commonly used in the offshore support vessel industry: </w:t>
      </w:r>
    </w:p>
    <w:p>
      <w:pPr>
        <w:pStyle w:val="TextBody"/>
        <w:bidi w:val="0"/>
        <w:spacing w:before="240" w:after="0"/>
        <w:jc w:val="left"/>
        <w:rPr/>
      </w:pPr>
      <w:r>
        <w:rPr/>
        <w:t>“</w:t>
      </w:r>
      <w:r>
        <w:rPr>
          <w:rFonts w:ascii="Times New Roman" w:hAnsi="Times New Roman"/>
          <w:i/>
          <w:sz w:val="20"/>
        </w:rPr>
        <w:t>active utilization</w:t>
      </w:r>
      <w:r>
        <w:rPr>
          <w:rFonts w:ascii="Times New Roman" w:hAnsi="Times New Roman"/>
          <w:sz w:val="20"/>
        </w:rPr>
        <w:t xml:space="preserve">” means, when referring to OSVs or MPSVs, the weighted-average rate that active vessels are utilized, or generating revenues, based on a denominator comprised only of vessel-days available for service by the active fleet, which excludes the impact of inactive or stacked vessel days; </w:t>
      </w:r>
    </w:p>
    <w:p>
      <w:pPr>
        <w:pStyle w:val="TextBody"/>
        <w:bidi w:val="0"/>
        <w:spacing w:before="240" w:after="0"/>
        <w:jc w:val="left"/>
        <w:rPr/>
      </w:pPr>
      <w:r>
        <w:rPr/>
        <w:t>“</w:t>
      </w:r>
      <w:r>
        <w:rPr>
          <w:rFonts w:ascii="Times New Roman" w:hAnsi="Times New Roman"/>
          <w:i/>
          <w:sz w:val="20"/>
        </w:rPr>
        <w:t>average dayrate</w:t>
      </w:r>
      <w:r>
        <w:rPr>
          <w:rFonts w:ascii="Times New Roman" w:hAnsi="Times New Roman"/>
          <w:sz w:val="20"/>
        </w:rPr>
        <w:t xml:space="preserve">” means, when referring to OSVs or MPSVs, average revenue per day, which includes charter hire, crewing services and net brokerage revenues, based on the number of days during the period that the OSVs or MPSVs, as applicable, generated revenue. For purposes of vessel brokerage arrangements, this calculation excludes that portion of revenue that is equal to the cost of in-chartering third-party equipment paid by customers; </w:t>
      </w:r>
    </w:p>
    <w:p>
      <w:pPr>
        <w:pStyle w:val="TextBody"/>
        <w:bidi w:val="0"/>
        <w:spacing w:before="240" w:after="0"/>
        <w:jc w:val="left"/>
        <w:rPr/>
      </w:pPr>
      <w:r>
        <w:rPr/>
        <w:t>“</w:t>
      </w:r>
      <w:r>
        <w:rPr>
          <w:rFonts w:ascii="Times New Roman" w:hAnsi="Times New Roman"/>
          <w:i/>
          <w:sz w:val="20"/>
        </w:rPr>
        <w:t>average utilization</w:t>
      </w:r>
      <w:r>
        <w:rPr>
          <w:rFonts w:ascii="Times New Roman" w:hAnsi="Times New Roman"/>
          <w:sz w:val="20"/>
        </w:rPr>
        <w:t xml:space="preserve">” means, when referring to OSVs or MPSVs, the weighted-average rate that vessels are utilized, or generating revenues, based on a 365-day year; </w:t>
      </w:r>
    </w:p>
    <w:p>
      <w:pPr>
        <w:pStyle w:val="TextBody"/>
        <w:bidi w:val="0"/>
        <w:spacing w:before="240" w:after="0"/>
        <w:jc w:val="left"/>
        <w:rPr/>
      </w:pPr>
      <w:r>
        <w:rPr/>
        <w:t>“</w:t>
      </w:r>
      <w:r>
        <w:rPr>
          <w:rFonts w:ascii="Times New Roman" w:hAnsi="Times New Roman"/>
          <w:i/>
          <w:sz w:val="20"/>
        </w:rPr>
        <w:t>BOEM</w:t>
      </w:r>
      <w:r>
        <w:rPr>
          <w:rFonts w:ascii="Times New Roman" w:hAnsi="Times New Roman"/>
          <w:sz w:val="20"/>
        </w:rPr>
        <w:t xml:space="preserve">” means the Bureau of Ocean Energy Management; </w:t>
      </w:r>
    </w:p>
    <w:p>
      <w:pPr>
        <w:pStyle w:val="TextBody"/>
        <w:bidi w:val="0"/>
        <w:spacing w:before="240" w:after="0"/>
        <w:jc w:val="left"/>
        <w:rPr/>
      </w:pPr>
      <w:r>
        <w:rPr/>
        <w:t>“</w:t>
      </w:r>
      <w:r>
        <w:rPr>
          <w:rFonts w:ascii="Times New Roman" w:hAnsi="Times New Roman"/>
          <w:i/>
          <w:sz w:val="20"/>
        </w:rPr>
        <w:t>cabotage laws</w:t>
      </w:r>
      <w:r>
        <w:rPr>
          <w:rFonts w:ascii="Times New Roman" w:hAnsi="Times New Roman"/>
          <w:sz w:val="20"/>
        </w:rPr>
        <w:t xml:space="preserve">” means laws pertaining to the privilege of owning and operating vessels in the navigable, territorial waters of a nation; </w:t>
      </w:r>
    </w:p>
    <w:p>
      <w:pPr>
        <w:pStyle w:val="TextBody"/>
        <w:bidi w:val="0"/>
        <w:spacing w:before="240" w:after="0"/>
        <w:jc w:val="left"/>
        <w:rPr/>
      </w:pPr>
      <w:r>
        <w:rPr/>
        <w:t>“</w:t>
      </w:r>
      <w:r>
        <w:rPr>
          <w:rFonts w:ascii="Times New Roman" w:hAnsi="Times New Roman"/>
          <w:i/>
          <w:sz w:val="20"/>
        </w:rPr>
        <w:t>coastwise trade</w:t>
      </w:r>
      <w:r>
        <w:rPr>
          <w:rFonts w:ascii="Times New Roman" w:hAnsi="Times New Roman"/>
          <w:sz w:val="20"/>
        </w:rPr>
        <w:t xml:space="preserve">” means the transportation of merchandise or passengers by water, or by land and water, between points in the United States, either directly or via a foreign port within the meaning of 46 U.S.C. Chapter 551 and any successor statutes thereto, as amended or supplemented from time to time; </w:t>
      </w:r>
    </w:p>
    <w:p>
      <w:pPr>
        <w:pStyle w:val="TextBody"/>
        <w:bidi w:val="0"/>
        <w:spacing w:before="240" w:after="0"/>
        <w:jc w:val="left"/>
        <w:rPr/>
      </w:pPr>
      <w:r>
        <w:rPr/>
        <w:t>“</w:t>
      </w:r>
      <w:r>
        <w:rPr>
          <w:rFonts w:ascii="Times New Roman" w:hAnsi="Times New Roman"/>
          <w:i/>
          <w:sz w:val="20"/>
        </w:rPr>
        <w:t>CO2e/kboe</w:t>
      </w:r>
      <w:r>
        <w:rPr>
          <w:rFonts w:ascii="Times New Roman" w:hAnsi="Times New Roman"/>
          <w:sz w:val="20"/>
        </w:rPr>
        <w:t xml:space="preserve">” means carbon dioxide equivalent per thousand barrels of oil equivalent; </w:t>
      </w:r>
    </w:p>
    <w:p>
      <w:pPr>
        <w:pStyle w:val="TextBody"/>
        <w:bidi w:val="0"/>
        <w:spacing w:before="240" w:after="0"/>
        <w:jc w:val="left"/>
        <w:rPr/>
      </w:pPr>
      <w:r>
        <w:rPr/>
        <w:t>“</w:t>
      </w:r>
      <w:r>
        <w:rPr>
          <w:rFonts w:ascii="Times New Roman" w:hAnsi="Times New Roman"/>
          <w:i/>
          <w:sz w:val="20"/>
        </w:rPr>
        <w:t>C/SOV</w:t>
      </w:r>
      <w:r>
        <w:rPr>
          <w:rFonts w:ascii="Times New Roman" w:hAnsi="Times New Roman"/>
          <w:sz w:val="20"/>
        </w:rPr>
        <w:t xml:space="preserve">” means a multi-purpose service vessel that can be utilized in the offshore wind market as either a CSOV or an SOV. A CSOV is a Commissioning Service Operation Vessel, typically serving during the commissioning and installation phases of an offshore wind farm, under contracts that are usually less than one year in duration. A SOV is a Service Operation Vessel, typically performing operations and maintenance services during the life of an offshore wind farm, under contracts that can be for multi-year terms; </w:t>
      </w:r>
    </w:p>
    <w:p>
      <w:pPr>
        <w:pStyle w:val="TextBody"/>
        <w:bidi w:val="0"/>
        <w:spacing w:before="240" w:after="0"/>
        <w:jc w:val="left"/>
        <w:rPr/>
      </w:pPr>
      <w:r>
        <w:rPr/>
        <w:t>“</w:t>
      </w:r>
      <w:r>
        <w:rPr>
          <w:rFonts w:ascii="Times New Roman" w:hAnsi="Times New Roman"/>
          <w:i/>
          <w:sz w:val="20"/>
        </w:rPr>
        <w:t>deep-well</w:t>
      </w:r>
      <w:r>
        <w:rPr>
          <w:rFonts w:ascii="Times New Roman" w:hAnsi="Times New Roman"/>
          <w:sz w:val="20"/>
        </w:rPr>
        <w:t xml:space="preserve">” means a well drilled to a true vertical depth of 15,000’ or greater, regardless of whether the well was drilled in the shallow water of the Outer Continental Shelf or in the deepwater or ultra-deepwater; </w:t>
      </w:r>
    </w:p>
    <w:p>
      <w:pPr>
        <w:pStyle w:val="TextBody"/>
        <w:bidi w:val="0"/>
        <w:spacing w:before="240" w:after="0"/>
        <w:jc w:val="left"/>
        <w:rPr/>
      </w:pPr>
      <w:r>
        <w:rPr/>
        <w:t>“</w:t>
      </w:r>
      <w:r>
        <w:rPr>
          <w:rFonts w:ascii="Times New Roman" w:hAnsi="Times New Roman"/>
          <w:i/>
          <w:sz w:val="20"/>
        </w:rPr>
        <w:t>deepwater</w:t>
      </w:r>
      <w:r>
        <w:rPr>
          <w:rFonts w:ascii="Times New Roman" w:hAnsi="Times New Roman"/>
          <w:sz w:val="20"/>
        </w:rPr>
        <w:t>” means offshore areas, generally 1,000’ to 5,000’ in depth; “</w:t>
      </w:r>
      <w:r>
        <w:rPr>
          <w:rFonts w:ascii="Times New Roman" w:hAnsi="Times New Roman"/>
          <w:i/>
          <w:sz w:val="20"/>
        </w:rPr>
        <w:t>D-FARs</w:t>
      </w:r>
      <w:r>
        <w:rPr>
          <w:rFonts w:ascii="Times New Roman" w:hAnsi="Times New Roman"/>
          <w:sz w:val="20"/>
        </w:rPr>
        <w:t xml:space="preserve">” means Defense Federal Acquisition Regulations; </w:t>
      </w:r>
    </w:p>
    <w:p>
      <w:pPr>
        <w:pStyle w:val="TextBody"/>
        <w:bidi w:val="0"/>
        <w:spacing w:before="240" w:after="0"/>
        <w:jc w:val="left"/>
        <w:rPr/>
      </w:pPr>
      <w:r>
        <w:rPr/>
        <w:t>“</w:t>
      </w:r>
      <w:r>
        <w:rPr>
          <w:rFonts w:ascii="Times New Roman" w:hAnsi="Times New Roman"/>
          <w:i/>
          <w:sz w:val="20"/>
        </w:rPr>
        <w:t>DP-1</w:t>
      </w:r>
      <w:r>
        <w:rPr>
          <w:rFonts w:ascii="Times New Roman" w:hAnsi="Times New Roman"/>
          <w:sz w:val="20"/>
        </w:rPr>
        <w:t>,” “</w:t>
      </w:r>
      <w:r>
        <w:rPr>
          <w:rFonts w:ascii="Times New Roman" w:hAnsi="Times New Roman"/>
          <w:i/>
          <w:sz w:val="20"/>
        </w:rPr>
        <w:t>DP-2</w:t>
      </w:r>
      <w:r>
        <w:rPr>
          <w:rFonts w:ascii="Times New Roman" w:hAnsi="Times New Roman"/>
          <w:sz w:val="20"/>
        </w:rPr>
        <w:t>” and “</w:t>
      </w:r>
      <w:r>
        <w:rPr>
          <w:rFonts w:ascii="Times New Roman" w:hAnsi="Times New Roman"/>
          <w:i/>
          <w:sz w:val="20"/>
        </w:rPr>
        <w:t>DP-3</w:t>
      </w:r>
      <w:r>
        <w:rPr>
          <w:rFonts w:ascii="Times New Roman" w:hAnsi="Times New Roman"/>
          <w:sz w:val="20"/>
        </w:rPr>
        <w:t xml:space="preserve">” mean various classifications of DP systems on vessels to automatically maintain a vessel’s position and heading through anchor-less station-keeping; </w:t>
      </w:r>
    </w:p>
    <w:p>
      <w:pPr>
        <w:pStyle w:val="TextBody"/>
        <w:bidi w:val="0"/>
        <w:spacing w:before="240" w:after="0"/>
        <w:jc w:val="left"/>
        <w:rPr/>
      </w:pPr>
      <w:r>
        <w:rPr/>
        <w:t>“</w:t>
      </w:r>
      <w:r>
        <w:rPr>
          <w:rFonts w:ascii="Times New Roman" w:hAnsi="Times New Roman"/>
          <w:i/>
          <w:sz w:val="20"/>
        </w:rPr>
        <w:t>DWT</w:t>
      </w:r>
      <w:r>
        <w:rPr>
          <w:rFonts w:ascii="Times New Roman" w:hAnsi="Times New Roman"/>
          <w:sz w:val="20"/>
        </w:rPr>
        <w:t xml:space="preserve">” means deadweight tons; </w:t>
      </w:r>
    </w:p>
    <w:p>
      <w:pPr>
        <w:pStyle w:val="TextBody"/>
        <w:bidi w:val="0"/>
        <w:spacing w:before="240" w:after="0"/>
        <w:jc w:val="left"/>
        <w:rPr/>
      </w:pPr>
      <w:r>
        <w:rPr/>
        <w:t>“</w:t>
      </w:r>
      <w:r>
        <w:rPr>
          <w:rFonts w:ascii="Times New Roman" w:hAnsi="Times New Roman"/>
          <w:i/>
          <w:sz w:val="20"/>
        </w:rPr>
        <w:t>effective dayrate</w:t>
      </w:r>
      <w:r>
        <w:rPr>
          <w:rFonts w:ascii="Times New Roman" w:hAnsi="Times New Roman"/>
          <w:sz w:val="20"/>
        </w:rPr>
        <w:t>” means the average dayrate multiplied by the average utilization rate; “</w:t>
      </w:r>
      <w:r>
        <w:rPr>
          <w:rFonts w:ascii="Times New Roman" w:hAnsi="Times New Roman"/>
          <w:i/>
          <w:sz w:val="20"/>
        </w:rPr>
        <w:t>FARs</w:t>
      </w:r>
      <w:r>
        <w:rPr>
          <w:rFonts w:ascii="Times New Roman" w:hAnsi="Times New Roman"/>
          <w:sz w:val="20"/>
        </w:rPr>
        <w:t xml:space="preserve">” means Federal Acquisition Regulations; </w:t>
      </w:r>
    </w:p>
    <w:p>
      <w:pPr>
        <w:pStyle w:val="TextBody"/>
        <w:bidi w:val="0"/>
        <w:spacing w:before="240" w:after="0"/>
        <w:jc w:val="left"/>
        <w:rPr/>
      </w:pPr>
      <w:r>
        <w:rPr/>
        <w:t>“</w:t>
      </w:r>
      <w:r>
        <w:rPr>
          <w:rFonts w:ascii="Times New Roman" w:hAnsi="Times New Roman"/>
          <w:i/>
          <w:sz w:val="20"/>
        </w:rPr>
        <w:t>flotel</w:t>
      </w:r>
      <w:r>
        <w:rPr>
          <w:rFonts w:ascii="Times New Roman" w:hAnsi="Times New Roman"/>
          <w:sz w:val="20"/>
        </w:rPr>
        <w:t xml:space="preserve">” means on-vessel accommodations services, such as lodging, meals and office space; </w:t>
      </w:r>
    </w:p>
    <w:p>
      <w:pPr>
        <w:pStyle w:val="TextBody"/>
        <w:bidi w:val="0"/>
        <w:spacing w:before="240" w:after="0"/>
        <w:jc w:val="left"/>
        <w:rPr/>
      </w:pPr>
      <w:r>
        <w:rPr/>
        <w:t>“</w:t>
      </w:r>
      <w:r>
        <w:rPr>
          <w:rFonts w:ascii="Times New Roman" w:hAnsi="Times New Roman"/>
          <w:i/>
          <w:sz w:val="20"/>
        </w:rPr>
        <w:t>GoA</w:t>
      </w:r>
      <w:r>
        <w:rPr>
          <w:rFonts w:ascii="Times New Roman" w:hAnsi="Times New Roman"/>
          <w:sz w:val="20"/>
        </w:rPr>
        <w:t xml:space="preserve">” means the U.S. GoA and the Mexico GoA;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HFR</w:t>
      </w:r>
      <w:r>
        <w:rPr>
          <w:rFonts w:ascii="Times New Roman" w:hAnsi="Times New Roman"/>
          <w:sz w:val="20"/>
        </w:rPr>
        <w:t xml:space="preserve">” means HFR, LLC; </w:t>
      </w:r>
    </w:p>
    <w:p>
      <w:pPr>
        <w:pStyle w:val="TextBody"/>
        <w:bidi w:val="0"/>
        <w:spacing w:before="240" w:after="0"/>
        <w:jc w:val="left"/>
        <w:rPr/>
      </w:pPr>
      <w:r>
        <w:rPr/>
        <w:t>“</w:t>
      </w:r>
      <w:r>
        <w:rPr>
          <w:rFonts w:ascii="Times New Roman" w:hAnsi="Times New Roman"/>
          <w:i/>
          <w:sz w:val="20"/>
        </w:rPr>
        <w:t>IRM</w:t>
      </w:r>
      <w:r>
        <w:rPr>
          <w:rFonts w:ascii="Times New Roman" w:hAnsi="Times New Roman"/>
          <w:sz w:val="20"/>
        </w:rPr>
        <w:t xml:space="preserve">” means inspection, repair and maintenance, also known as “IMR,” or inspection, maintenance and repair, depending on regional preference; </w:t>
      </w:r>
    </w:p>
    <w:p>
      <w:pPr>
        <w:pStyle w:val="TextBody"/>
        <w:bidi w:val="0"/>
        <w:spacing w:before="240" w:after="0"/>
        <w:jc w:val="left"/>
        <w:rPr/>
      </w:pPr>
      <w:r>
        <w:rPr/>
        <w:t>“</w:t>
      </w:r>
      <w:r>
        <w:rPr>
          <w:rFonts w:ascii="Times New Roman" w:hAnsi="Times New Roman"/>
          <w:i/>
          <w:sz w:val="20"/>
        </w:rPr>
        <w:t>Jones Act</w:t>
      </w:r>
      <w:r>
        <w:rPr>
          <w:rFonts w:ascii="Times New Roman" w:hAnsi="Times New Roman"/>
          <w:sz w:val="20"/>
        </w:rPr>
        <w:t xml:space="preserve">” means the U.S. citizenship and cabotage laws principally contained in 46 U.S.C. § 50501(a), (b) and (d) and 46 U.S.C. Chapters 121 and 551 and any successor statutes thereto, together with the rules and regulations promulgated thereunder by the USCG and the U.S. Department of Transportation’s Maritime Administration and their practices enforcing, administering and interpreting such laws, statutes, rules and regulations, in each case as amended or supplemented from time to time, relating to the ownership and operation of U.S.-flag vessels in the coastwise trade; </w:t>
      </w:r>
    </w:p>
    <w:p>
      <w:pPr>
        <w:pStyle w:val="TextBody"/>
        <w:bidi w:val="0"/>
        <w:spacing w:before="240" w:after="0"/>
        <w:jc w:val="left"/>
        <w:rPr/>
      </w:pPr>
      <w:r>
        <w:rPr/>
        <w:t>“</w:t>
      </w:r>
      <w:r>
        <w:rPr>
          <w:rFonts w:ascii="Times New Roman" w:hAnsi="Times New Roman"/>
          <w:i/>
          <w:sz w:val="20"/>
        </w:rPr>
        <w:t>Jones Act-qualified</w:t>
      </w:r>
      <w:r>
        <w:rPr>
          <w:rFonts w:ascii="Times New Roman" w:hAnsi="Times New Roman"/>
          <w:sz w:val="20"/>
        </w:rPr>
        <w:t xml:space="preserve">” means, when referring to a vessel, a U.S.-flagged vessel qualified to engage in domestic coastwise trade under the Jones Act; </w:t>
      </w:r>
    </w:p>
    <w:p>
      <w:pPr>
        <w:pStyle w:val="TextBody"/>
        <w:bidi w:val="0"/>
        <w:spacing w:before="240" w:after="0"/>
        <w:jc w:val="left"/>
        <w:rPr/>
      </w:pPr>
      <w:r>
        <w:rPr/>
        <w:t>“</w:t>
      </w:r>
      <w:r>
        <w:rPr>
          <w:rFonts w:ascii="Times New Roman" w:hAnsi="Times New Roman"/>
          <w:i/>
          <w:sz w:val="20"/>
        </w:rPr>
        <w:t>long-term contract</w:t>
      </w:r>
      <w:r>
        <w:rPr>
          <w:rFonts w:ascii="Times New Roman" w:hAnsi="Times New Roman"/>
          <w:sz w:val="20"/>
        </w:rPr>
        <w:t xml:space="preserve">” means a time charter of one year or longer in duration; </w:t>
      </w:r>
    </w:p>
    <w:p>
      <w:pPr>
        <w:pStyle w:val="TextBody"/>
        <w:bidi w:val="0"/>
        <w:spacing w:before="240" w:after="0"/>
        <w:jc w:val="left"/>
        <w:rPr/>
      </w:pPr>
      <w:r>
        <w:rPr/>
        <w:t>“</w:t>
      </w:r>
      <w:r>
        <w:rPr>
          <w:rFonts w:ascii="Times New Roman" w:hAnsi="Times New Roman"/>
          <w:i/>
          <w:sz w:val="20"/>
        </w:rPr>
        <w:t>Mexico GoA</w:t>
      </w:r>
      <w:r>
        <w:rPr>
          <w:rFonts w:ascii="Times New Roman" w:hAnsi="Times New Roman"/>
          <w:sz w:val="20"/>
        </w:rPr>
        <w:t xml:space="preserve">” means the territorial waters of Mexico in the Gulf of America; </w:t>
      </w:r>
    </w:p>
    <w:p>
      <w:pPr>
        <w:pStyle w:val="TextBody"/>
        <w:bidi w:val="0"/>
        <w:spacing w:before="240" w:after="0"/>
        <w:jc w:val="left"/>
        <w:rPr/>
      </w:pPr>
      <w:r>
        <w:rPr/>
        <w:t>“</w:t>
      </w:r>
      <w:r>
        <w:rPr>
          <w:rFonts w:ascii="Times New Roman" w:hAnsi="Times New Roman"/>
          <w:i/>
          <w:sz w:val="20"/>
        </w:rPr>
        <w:t>MPSV</w:t>
      </w:r>
      <w:r>
        <w:rPr>
          <w:rFonts w:ascii="Times New Roman" w:hAnsi="Times New Roman"/>
          <w:sz w:val="20"/>
        </w:rPr>
        <w:t xml:space="preserve">” means a multi-purpose support vessel, and we consider all of our MPSVs to be high-spec or ultra high-spec; </w:t>
      </w:r>
    </w:p>
    <w:p>
      <w:pPr>
        <w:pStyle w:val="TextBody"/>
        <w:bidi w:val="0"/>
        <w:spacing w:before="240" w:after="0"/>
        <w:jc w:val="left"/>
        <w:rPr/>
      </w:pPr>
      <w:r>
        <w:rPr/>
        <w:t>“</w:t>
      </w:r>
      <w:r>
        <w:rPr>
          <w:rFonts w:ascii="Times New Roman" w:hAnsi="Times New Roman"/>
          <w:i/>
          <w:sz w:val="20"/>
        </w:rPr>
        <w:t>MSC</w:t>
      </w:r>
      <w:r>
        <w:rPr>
          <w:rFonts w:ascii="Times New Roman" w:hAnsi="Times New Roman"/>
          <w:sz w:val="20"/>
        </w:rPr>
        <w:t xml:space="preserve">” means the Military Sealift Command; </w:t>
      </w:r>
    </w:p>
    <w:p>
      <w:pPr>
        <w:pStyle w:val="TextBody"/>
        <w:bidi w:val="0"/>
        <w:spacing w:before="240" w:after="0"/>
        <w:jc w:val="left"/>
        <w:rPr/>
      </w:pPr>
      <w:r>
        <w:rPr/>
        <w:t>“</w:t>
      </w:r>
      <w:r>
        <w:rPr>
          <w:rFonts w:ascii="Times New Roman" w:hAnsi="Times New Roman"/>
          <w:i/>
          <w:sz w:val="20"/>
        </w:rPr>
        <w:t>Naviera</w:t>
      </w:r>
      <w:r>
        <w:rPr>
          <w:rFonts w:ascii="Times New Roman" w:hAnsi="Times New Roman"/>
          <w:sz w:val="20"/>
        </w:rPr>
        <w:t xml:space="preserve">” means a Mexican company authorized by Mexican law to engage in shipping activities, including Mexican cabotage and international shipping under Mexican flag; </w:t>
      </w:r>
    </w:p>
    <w:p>
      <w:pPr>
        <w:pStyle w:val="TextBody"/>
        <w:bidi w:val="0"/>
        <w:spacing w:before="240" w:after="0"/>
        <w:jc w:val="left"/>
        <w:rPr/>
      </w:pPr>
      <w:r>
        <w:rPr/>
        <w:t>“</w:t>
      </w:r>
      <w:r>
        <w:rPr>
          <w:rFonts w:ascii="Times New Roman" w:hAnsi="Times New Roman"/>
          <w:i/>
          <w:sz w:val="20"/>
        </w:rPr>
        <w:t>O&amp;M</w:t>
      </w:r>
      <w:r>
        <w:rPr>
          <w:rFonts w:ascii="Times New Roman" w:hAnsi="Times New Roman"/>
          <w:sz w:val="20"/>
        </w:rPr>
        <w:t xml:space="preserve">” means Operations &amp; Maintenance; </w:t>
      </w:r>
    </w:p>
    <w:p>
      <w:pPr>
        <w:pStyle w:val="TextBody"/>
        <w:bidi w:val="0"/>
        <w:spacing w:before="240" w:after="0"/>
        <w:jc w:val="left"/>
        <w:rPr/>
      </w:pPr>
      <w:r>
        <w:rPr/>
        <w:t>“</w:t>
      </w:r>
      <w:r>
        <w:rPr>
          <w:rFonts w:ascii="Times New Roman" w:hAnsi="Times New Roman"/>
          <w:i/>
          <w:sz w:val="20"/>
        </w:rPr>
        <w:t>OSV</w:t>
      </w:r>
      <w:r>
        <w:rPr>
          <w:rFonts w:ascii="Times New Roman" w:hAnsi="Times New Roman"/>
          <w:sz w:val="20"/>
        </w:rPr>
        <w:t xml:space="preserve">” means an offshore supply vessel, also known as a “PSV,” or platform supply vessel, depending on regional preference; </w:t>
      </w:r>
    </w:p>
    <w:p>
      <w:pPr>
        <w:pStyle w:val="TextBody"/>
        <w:bidi w:val="0"/>
        <w:spacing w:before="240" w:after="0"/>
        <w:jc w:val="left"/>
        <w:rPr/>
      </w:pPr>
      <w:r>
        <w:rPr/>
        <w:t>“</w:t>
      </w:r>
      <w:r>
        <w:rPr>
          <w:rFonts w:ascii="Times New Roman" w:hAnsi="Times New Roman"/>
          <w:i/>
          <w:sz w:val="20"/>
        </w:rPr>
        <w:t>ROV</w:t>
      </w:r>
      <w:r>
        <w:rPr>
          <w:rFonts w:ascii="Times New Roman" w:hAnsi="Times New Roman"/>
          <w:sz w:val="20"/>
        </w:rPr>
        <w:t xml:space="preserve">” means a remotely operated vehicle, which is a tethered submersible vehicle remotely operated from the surface; </w:t>
      </w:r>
    </w:p>
    <w:p>
      <w:pPr>
        <w:pStyle w:val="TextBody"/>
        <w:bidi w:val="0"/>
        <w:spacing w:before="240" w:after="0"/>
        <w:jc w:val="left"/>
        <w:rPr/>
      </w:pPr>
      <w:r>
        <w:rPr/>
        <w:t>“</w:t>
      </w:r>
      <w:r>
        <w:rPr>
          <w:rFonts w:ascii="Times New Roman" w:hAnsi="Times New Roman"/>
          <w:i/>
          <w:sz w:val="20"/>
        </w:rPr>
        <w:t>SEMAR</w:t>
      </w:r>
      <w:r>
        <w:rPr>
          <w:rFonts w:ascii="Times New Roman" w:hAnsi="Times New Roman"/>
          <w:sz w:val="20"/>
        </w:rPr>
        <w:t xml:space="preserve">” means Secretaría de Marina, the government agency responsible for, among other things, administering Mexico’s territorial sea and exclusive economic zone; </w:t>
      </w:r>
    </w:p>
    <w:p>
      <w:pPr>
        <w:pStyle w:val="TextBody"/>
        <w:bidi w:val="0"/>
        <w:spacing w:before="240" w:after="0"/>
        <w:jc w:val="left"/>
        <w:rPr/>
      </w:pPr>
      <w:r>
        <w:rPr/>
        <w:t>“</w:t>
      </w:r>
      <w:r>
        <w:rPr>
          <w:rFonts w:ascii="Times New Roman" w:hAnsi="Times New Roman"/>
          <w:i/>
          <w:sz w:val="20"/>
        </w:rPr>
        <w:t>TRIR</w:t>
      </w:r>
      <w:r>
        <w:rPr>
          <w:rFonts w:ascii="Times New Roman" w:hAnsi="Times New Roman"/>
          <w:sz w:val="20"/>
        </w:rPr>
        <w:t xml:space="preserve">,” means the total recordable incident rate, which is measured as the number of recordable incidents, multiplied by 200,000, then divided by the total number of exposure hours worked in a year; </w:t>
      </w:r>
    </w:p>
    <w:p>
      <w:pPr>
        <w:pStyle w:val="TextBody"/>
        <w:bidi w:val="0"/>
        <w:spacing w:before="240" w:after="0"/>
        <w:jc w:val="left"/>
        <w:rPr/>
      </w:pPr>
      <w:r>
        <w:rPr/>
        <w:t>“</w:t>
      </w:r>
      <w:r>
        <w:rPr>
          <w:rFonts w:ascii="Times New Roman" w:hAnsi="Times New Roman"/>
          <w:i/>
          <w:sz w:val="20"/>
        </w:rPr>
        <w:t>ultra-deepwater</w:t>
      </w:r>
      <w:r>
        <w:rPr>
          <w:rFonts w:ascii="Times New Roman" w:hAnsi="Times New Roman"/>
          <w:sz w:val="20"/>
        </w:rPr>
        <w:t xml:space="preserve">” means offshore areas, generally more than 5,000’ in depth; </w:t>
      </w:r>
    </w:p>
    <w:p>
      <w:pPr>
        <w:pStyle w:val="TextBody"/>
        <w:bidi w:val="0"/>
        <w:spacing w:before="240" w:after="0"/>
        <w:jc w:val="left"/>
        <w:rPr/>
      </w:pPr>
      <w:r>
        <w:rPr/>
        <w:t>“</w:t>
      </w:r>
      <w:r>
        <w:rPr>
          <w:rFonts w:ascii="Times New Roman" w:hAnsi="Times New Roman"/>
          <w:i/>
          <w:sz w:val="20"/>
        </w:rPr>
        <w:t>U.S. GoA</w:t>
      </w:r>
      <w:r>
        <w:rPr>
          <w:rFonts w:ascii="Times New Roman" w:hAnsi="Times New Roman"/>
          <w:sz w:val="20"/>
        </w:rPr>
        <w:t xml:space="preserve">” means the territorial waters of the United States in the Gulf of America; and </w:t>
      </w:r>
    </w:p>
    <w:p>
      <w:pPr>
        <w:pStyle w:val="TextBody"/>
        <w:bidi w:val="0"/>
        <w:spacing w:before="240" w:after="0"/>
        <w:jc w:val="left"/>
        <w:rPr/>
      </w:pPr>
      <w:r>
        <w:rPr/>
        <w:t>“</w:t>
      </w:r>
      <w:r>
        <w:rPr>
          <w:rFonts w:ascii="Times New Roman" w:hAnsi="Times New Roman"/>
          <w:i/>
          <w:sz w:val="20"/>
        </w:rPr>
        <w:t>USCG</w:t>
      </w:r>
      <w:r>
        <w:rPr>
          <w:rFonts w:ascii="Times New Roman" w:hAnsi="Times New Roman"/>
          <w:sz w:val="20"/>
        </w:rPr>
        <w:t xml:space="preserve">” means United States Coast Guard.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market and industry data and forecasts that we have derived from publicly available information, various industry publications, other published industry sources and our internal data and estimates.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internal data and estimates are based upon information obtained from trade and business organizations and other contacts in the markets in which we operate. Although we believe these third-party sources are reliable as of their respective dates, we have not had this information further verified by any other independent sources. These sources include industry data from Wood Mackenzie’s Emissions Benchmarking Tool, a report titled “Short-Term Energy Outlook,” dated October 2025, by the U.S. Energy Information Administration (the “2025 EIA Outlook”), a report titled “Macro and OSV Demand Drivers Outlook,” dated September 2025, by Rystad Energy Consultants, and a report titled “OSV Market Study,” dated October 2025, by Fearnley Offshore Supply. Similarly, our internal research is based upon our understanding of industry conditions. The industry in which we operate is subject to a high degree of uncertainty and risk due to a variety of factors, including those described in the sections entitled “Risk Factors” and “Special Note Regarding Forward-Looking Statements.” These and other factors could cause results to differ materially from those expressed in our estimates and these third-party sources. </w:t>
      </w:r>
    </w:p>
    <w:p>
      <w:pPr>
        <w:pStyle w:val="TextBody"/>
        <w:bidi w:val="0"/>
        <w:spacing w:before="240" w:after="0"/>
        <w:jc w:val="left"/>
        <w:rPr>
          <w:rFonts w:ascii="Times New Roman" w:hAnsi="Times New Roman"/>
          <w:sz w:val="20"/>
        </w:rPr>
      </w:pPr>
      <w:r>
        <w:rPr>
          <w:rFonts w:ascii="Times New Roman" w:hAnsi="Times New Roman"/>
          <w:sz w:val="20"/>
        </w:rPr>
        <w:t xml:space="preserve">Certain valuation information included in this prospectus is an aggregation based on reports prepared by VesselsValueTM, a Veson Nautical company, which is an independent online valuation and market intelligence provider for the maritime industry (“VesselsValueTM”). None of such reports were commissioned by or on behalf of Hornbeck, and none of the information contained therein was prepared in connection with, or specifically for use in, this prospectus. The VesselsValueTM market value data presented in this prospectus is an estimate of the fair market price and newbuild, or replacement cost, of our vessels, in U.S. dollars, as at the valuation date only, and is based on the price VesselsValueTM estimates in good faith that the vessels would obtain in a hypothetical transaction between a willing buyer and a willing seller on the basis of prompt charter-free delivery at an acceptable worldwide delivery port, for cash payment on standard sale terms. For the purposes of those estimates, it is assumed that the particulars of the vessels are correct, and that the vessels are in good, sound and seaworthy condition, free of maritime liens and all debts whatsoever, fully classed to the requirements of present classification society, free of class recommendations, with clean and valid trading certificates, and where relevant to type and age of each vessel with full oil majors vetting approval, “Rightship” satisfactory inspection/safety score and any other relevant approvals in place. It should be noted that these market valuations are not based on a physical inspection of the vessel nor an inspection of the class records of the vessels by VesselsValueTM. The estimated market values are for the valuation date only and no assurance is given that any such value will be sustained or is realizable in an actual transaction. The two MPSVs under construction (as discussed in this prospectus) are valued as though completed, in accordance with VesselsValueTM criteria. </w:t>
      </w:r>
    </w:p>
    <w:p>
      <w:pPr>
        <w:pStyle w:val="TextBody"/>
        <w:bidi w:val="0"/>
        <w:spacing w:before="480" w:after="0"/>
        <w:jc w:val="center"/>
        <w:rPr>
          <w:rFonts w:ascii="Times New Roman" w:hAnsi="Times New Roman"/>
          <w:b/>
          <w:sz w:val="20"/>
        </w:rPr>
      </w:pPr>
      <w:r>
        <w:rPr>
          <w:rFonts w:ascii="Times New Roman" w:hAnsi="Times New Roman"/>
          <w:b/>
          <w:sz w:val="20"/>
        </w:rPr>
        <w:t xml:space="preserve">TRADEMARKS, TRADENAMES AND SERVICE MARKS </w:t>
      </w:r>
    </w:p>
    <w:p>
      <w:pPr>
        <w:pStyle w:val="TextBody"/>
        <w:bidi w:val="0"/>
        <w:spacing w:before="240" w:after="0"/>
        <w:jc w:val="left"/>
        <w:rPr>
          <w:rFonts w:ascii="Times New Roman" w:hAnsi="Times New Roman"/>
          <w:sz w:val="20"/>
        </w:rPr>
      </w:pPr>
      <w:r>
        <w:rPr>
          <w:rFonts w:ascii="Times New Roman" w:hAnsi="Times New Roman"/>
          <w:sz w:val="20"/>
        </w:rPr>
        <w:t xml:space="preserve">We own or have rights to trademarks or trade names that we use in conjunction with the operation of our business and that appear in this prospectus. For more information about our license to use certain trademarks and trade names, see “Risk Factors—We do not own the Hornbeck Brands, but may use the Hornbeck Brands pursuant to the terms of a license granted by HFR, and our business may be materially harmed if we breach our license agreement or it is terminated.” This prospectus also contains trademarks, service marks, trade names and copyrights of other companies which, to our knowledge, are the property of their respective owners. Solely for convenience, trademarks and trade names referred to in this prospectus may appear without the ® or  symbols, but the absence of such symbols does not indicate the registration status of the trademarks and is not intended to indicate, in any way, that we will not assert, to the fullest extent under applicable law, our rights or the right of the applicable licensor to such trademarks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the “Company,” “Hornbeck,” “we,” “us” and “our” refer to Hornbeck Offshore Services, Inc.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Unless otherwise stated, discussions surrounding our vessels are as of October 31, 2025. Such discussions include two partially constructed Jones Act-qualified MPSV newbuilds to be completed pursuant to our settlement with the Surety, as further discussed in “Management’s Discussion and Analysis of Financial Condition and Results of Operations—Recent Developments—</w:t>
      </w:r>
      <w:r>
        <w:rPr>
          <w:rFonts w:ascii="Times New Roman" w:hAnsi="Times New Roman"/>
          <w:strike/>
          <w:sz w:val="20"/>
        </w:rPr>
        <w:t xml:space="preserve"> </w:t>
      </w:r>
      <w:r>
        <w:rPr>
          <w:rFonts w:ascii="Times New Roman" w:hAnsi="Times New Roman"/>
          <w:sz w:val="20"/>
        </w:rPr>
        <w:t xml:space="preserve">MPSV Newbuild Construction.” Our vessels exclude four OSVs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consummation of this offering and after the effectiveness of the registration statement of which this prospectus forms a part, we will effect a      -for-one forward stock split with respect to our common stock (the “stock split”). In this prospectus, we include certain metrics on an “as adjusted” basis to give effect to the stock split. Further, unless otherwise indicated, all references in this prospectus to the number of shares issuable upon exercise of Creditor Warrants assume such Creditor Warrants are exercised for cash. </w:t>
      </w:r>
    </w:p>
    <w:p>
      <w:pPr>
        <w:pStyle w:val="TextBody"/>
        <w:bidi w:val="0"/>
        <w:spacing w:before="480" w:after="0"/>
        <w:jc w:val="center"/>
        <w:rPr>
          <w:rFonts w:ascii="Times New Roman" w:hAnsi="Times New Roman"/>
          <w:b/>
          <w:sz w:val="20"/>
        </w:rPr>
      </w:pPr>
      <w:r>
        <w:rPr>
          <w:rFonts w:ascii="Times New Roman" w:hAnsi="Times New Roman"/>
          <w:b/>
          <w:sz w:val="20"/>
        </w:rPr>
        <w:t xml:space="preserve">PRESENTATION OF CERTAIN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We disclose and discuss EBITDA, Adjusted EBITDA and Adjusted Free Cash Flow as non-GAAP financial measures in this prospectus. We define EBITDA as earnings (net income or loss) before interest, income taxes,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reflects certain adjustments to EBITDA for gains or losses on early extinguishment of debt, postponed offering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 </w:t>
      </w:r>
    </w:p>
    <w:p>
      <w:pPr>
        <w:pStyle w:val="TextBody"/>
        <w:bidi w:val="0"/>
        <w:spacing w:before="240" w:after="0"/>
        <w:jc w:val="left"/>
        <w:rPr>
          <w:rFonts w:ascii="Times New Roman" w:hAnsi="Times New Roman"/>
          <w:sz w:val="20"/>
        </w:rPr>
      </w:pPr>
      <w:r>
        <w:rPr>
          <w:rFonts w:ascii="Times New Roman" w:hAnsi="Times New Roman"/>
          <w:sz w:val="20"/>
        </w:rPr>
        <w:t xml:space="preserve">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 </w:t>
      </w:r>
    </w:p>
    <w:p>
      <w:pPr>
        <w:pStyle w:val="TextBody"/>
        <w:bidi w:val="0"/>
        <w:spacing w:before="240" w:after="0"/>
        <w:jc w:val="left"/>
        <w:rPr>
          <w:rFonts w:ascii="Times New Roman" w:hAnsi="Times New Roman"/>
          <w:sz w:val="20"/>
        </w:rPr>
      </w:pPr>
      <w:r>
        <w:rPr>
          <w:rFonts w:ascii="Times New Roman" w:hAnsi="Times New Roman"/>
          <w:sz w:val="20"/>
        </w:rPr>
        <w:t xml:space="preserve">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These ratios are calculated using certain adjustments to EBITDA defined by our credit agreements, which adjustments are consistent with those reflected in Adjusted EBITDA in this prospectus. In addition, we believe that, based on covenants in prior and existing credit facilities, future debt arrangements may require compliance with certain ratios that will likely include EBITDA or Adjusted EBITDA in the computations. Adjusted EBITDA is also currently utilized in connection with our short-term cash bonus incentive compensation programs. </w:t>
      </w:r>
    </w:p>
    <w:p>
      <w:pPr>
        <w:pStyle w:val="TextBody"/>
        <w:bidi w:val="0"/>
        <w:spacing w:before="240" w:after="0"/>
        <w:jc w:val="left"/>
        <w:rPr>
          <w:rFonts w:ascii="Times New Roman" w:hAnsi="Times New Roman"/>
          <w:sz w:val="20"/>
        </w:rPr>
      </w:pPr>
      <w:r>
        <w:rPr>
          <w:rFonts w:ascii="Times New Roman" w:hAnsi="Times New Roman"/>
          <w:sz w:val="20"/>
        </w:rPr>
        <w:t xml:space="preserve">For reconciliations of EBITDA, Adjusted EBITDA and Adjusted Free Cash Flow to the most directly comparable measure under GAAP, see “Summary—Summary Historical Financial and Other Data” and “Management’s Discussion and Analysis of Financial Condition and Results of Operations—Non-GAAP Financial Measures.” </w:t>
      </w:r>
    </w:p>
    <w:p>
      <w:pPr>
        <w:pStyle w:val="TextBody"/>
        <w:bidi w:val="0"/>
        <w:spacing w:before="480" w:after="0"/>
        <w:jc w:val="center"/>
        <w:rPr>
          <w:rFonts w:ascii="Times New Roman" w:hAnsi="Times New Roman"/>
          <w:b/>
          <w:sz w:val="20"/>
        </w:rPr>
      </w:pPr>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None of the selling stockholders, the underwriters or us have authorized anyone to provide you with information or make any representations other than those contained in this prospectus. We, the selling stockholders and the underwriters take no responsibility for, and provide no assurance as to the reliability of, any other information that others may give you. This prospectus is an offer to sell only the shares offered hereby, and only under circumstances and in jurisdictions where it is lawful to do so. You should assume that the information appearing in this prospectus is accurate as of the date on the front cover of this prospectus only. Our business, financial condition, results of operations and prospects may have changed since that date. We will update this prospectus as required by law, including with respect to any material change affecting us or our business prior to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prospectus have been subject to rounding adjustments. </w:t>
      </w:r>
    </w:p>
    <w:p>
      <w:pPr>
        <w:pStyle w:val="TextBody"/>
        <w:bidi w:val="0"/>
        <w:spacing w:before="240" w:after="0"/>
        <w:jc w:val="left"/>
        <w:rPr>
          <w:rFonts w:ascii="Times New Roman" w:hAnsi="Times New Roman"/>
          <w:sz w:val="20"/>
        </w:rPr>
      </w:pPr>
      <w:r>
        <w:rPr>
          <w:rFonts w:ascii="Times New Roman" w:hAnsi="Times New Roman"/>
          <w:sz w:val="20"/>
        </w:rPr>
        <w:t xml:space="preserve">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rom65571_1"/>
      <w:bookmarkEnd w:id="2"/>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Many statements included in this prospectus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and our expectations, beliefs, plans, strategies, objectives, prospects, assumptions or future events or performance contained in this prospectus under the headings “Summary,” “Risk Factors,” “Management’s Discussion and Analysis of Financial Condition and Results of Operations,” and “Business” are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market opportunity and the potential growth of that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strategy, outcomes, and growth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trends in our industry and service-offerings;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environment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that could cause actual results to differ materially from those expressed or implied by such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impacts from changes in oil and natural gas prices in the United States and worldwide;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decisions and capital spending by customers in the energy industry and the industry expectations for offshore exploration, field development and production across our various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decisions or plans or delays for offshore wind development in the United States, including stop work orders or cancellation of certain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global financial market conditions and potential constraints in accessing capital or credit if and when needed with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tariff regimes by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unplanned customer suspensions, cancellations, rate reductions or non-renewals of vessel charters or vessel management contracts, or failures to finalize commitments to charter or manage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non-delivery of vessels subject to new construction agreements effective at the time of this offering, including delivery of the two remaining vessels under our MPSV newbuild program or a default by Zurich in its obligations to complete our two MPSV newbuilds;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accurately predict vessel utilization levels and dayrates;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market across various industry applications the vessels that we own, are constructing or may construct or convert in the future, have recently acquired or might acquire, including in traditional energy as well as offshore wind, military and other non-oilfield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integration of acquired businesses or vessels, or entry into new lines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customer demands for vessel specifications, which may make some of our older vessels technologically obsolete for certain customer projects or in certain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operating risks normally incident to our lines of business, including the potential impact of liquidated counterparties;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over-supply resulting from reactivating currently-stacked vessels or from constructing new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U.S. government’s procurement policies and practices with regard to the chartering of privately-owned vessels or the management of government-owned vessels by private operators;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oil spill or other significant event in the United States or another offshore drilling region having a broad impact on deepwater and ultra-deepwater and other offshore energy exploration and production activities, such as the suspension of activities or significant regulatory responses;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laws or regulations that result in reduced exploration and production activities or that increase our or our customers’ operating costs or operating requirements, including laws and regulations addressing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for remedial actions or assessments under existing or future environmental regulations or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or future environmental regulations or litigation on our business or customer plans or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reach or otherwise meet initiatives, plans or ambitions with respect to sustainability matters, including mandates imposed by customers or governmental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with customers or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consolidation of our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or regulatory changes that shorten the expected useful lives of our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regulatory burdens and oversight;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judicial or political barriers to exploration and production activities in Mexico, Brazil or other foreign locations;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 governmental policy or judicial or regulatory action, or the enforcement thereof, in Mexico affecting international trade or our Mexican registration and operation of our vessels in Mexican cabotage;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or other legal changes in Mexican, Brazilian or other Latin American jurisdictions’ cabotage laws or maritime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emergence of new cabotage restrictions that impact our ability to operate in other foreign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legal, tax or administrative changes in Mexico that adversely impact planned or expected offshore energy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difficulty in effectively competing in or operating in international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social, tax, geopolitical and weather-related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changes in various laws and regulations as a result of changes in the executive and legislative branches in the United States and Mexico;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insolvency or other adverse financial events that result in default by PEMEX in payment obligations owed to us directly or by PEMEX contractors that we work 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terrorism, piracy or government-sanctioned privateering;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regional or global public health crises or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issues that may be encountered in expanding our service offering within our existing government franchise, in the emerging offshore wind industry, and in other non-oilfield applications;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shortage of or the inability to attract and retain qualified personnel, when needed, including licensed vessel personnel for active vessels or vessels we may acquire or reactivate;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repeal or administrative weakening of the Jones Act or adverse changes in the interpretation of the Jones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drydocking delays, supply chain shortages and cost overruns and related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vessel accidents, pollution incidents or other events resulting in lost revenue, fines, penalties or other expenses that are unrecoverable from insurance policies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outcomes in pending or future legal or administrative proceedings, and any unexpected litigation and insurance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asserted and unasserted claims and the extent of available 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valuations compared to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unionization of our workforce;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shortages of qualified mariners resulting in increased wages, inability to crew vessels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impacting licensure or compensation paid to mariners;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foreign operations, such as non-compliance with, the unanticipated effect of, or unexpected assessments/enforcement actions taken in connection with, tax laws, customs laws, immigration laws, importation laws or other legislation that result in higher than anticipated tax rates or other costs, especially in higher political risk countries where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applicable tax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risks in countries outside of the United States, including unlawful detentions, arrests, confiscation or nationalization of our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ability to use our net operating loss (“NOL”) carryforwards and other tax attributes;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refinance or otherwise retire certain funded debt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any impairment charges that could arise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potential information technology, cybersecurity or data security breaches;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described under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future results may be impacted by adverse economic conditions, such as inflation, deflation, fluctuations in foreign currency exchange rates, supply chain disruptions, lack of liquidity in the capital markets or an increase in interest rates, that may negatively affect us or parties with whom we do business resulting in their non-payment or inability to perform obligations owed to us, such as the failure of customers to fulfill their contractual obligations, if and when required. </w:t>
      </w:r>
    </w:p>
    <w:p>
      <w:pPr>
        <w:pStyle w:val="TextBody"/>
        <w:bidi w:val="0"/>
        <w:spacing w:before="240" w:after="0"/>
        <w:jc w:val="left"/>
        <w:rPr>
          <w:rFonts w:ascii="Times New Roman" w:hAnsi="Times New Roman"/>
          <w:sz w:val="20"/>
        </w:rPr>
      </w:pPr>
      <w:r>
        <w:rPr>
          <w:rFonts w:ascii="Times New Roman" w:hAnsi="Times New Roman"/>
          <w:sz w:val="20"/>
        </w:rPr>
        <w:t xml:space="preserve">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under “Risk Factors” and elsewhere in this prospectus. These risks are not exhaustive. Other sections of this prospectus include additional factors that could adversely affect our business and financial performance. Moreover, we operate in a very competitive environment. New risks and uncertainties emerge from time to time, and it is not possible for us to predict all risks and uncertainties that could have an impact on the forward-looking statements contained in this prospectus. We cannot be sure that the results, events and circumstances reflected in the forward-looking statements will be achieved or occur, and actual results, events or circumstances could differ materially from those described in, or implied by, the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that information forms a reasonable basis for such statements, that information may be limited or incomplete, and our statements should not be read to indicate that we have concluded an exhaustive inquiry into, or review of, all potentially available relevant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rom65571_2"/>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but it does not contain all of the information that you should consider before deciding to invest in our common stock. You should carefully read the entire prospectus, including the information presented under the section entitled “Risk Factors” and the financial statements and the notes thereto, included elsewhere in this prospectus, before making an investment decision. Some of the statements in the following summary constitute forward-looking statements. See “Special Note Regarding Forward-Looking Statements.” Unless the context otherwise requires, all references in this summary to the “Company,” “Hornbeck,” “HOS,” “we,” “us,” “our” or similar terms refer to Hornbeck Offshore Services, Inc. and its consolidated subsidiaries. Where we present information on an “as adjusted basis,” it means that such information is presented giving effect to this offering and the use of proceeds therefrom, as reflected in more detail under the captions “Use of Proceeds” and “Capitalization.” Additionally, unless noted otherwise, discussions surrounding our vessels are as of October 31, 2025, and include two partially constructed Jones Act-qualified MPSV newbuilds to be completed pursuant to our settlement with the Surety, as discussed further in “Management’s Discussion and Analysis of Financial Condition and Results of Operations—Recent Developments—MPSV Newbuild Construction.” Our vessels exclude four OSVs formerly owned by us that we now operate and maintain for the U.S. Navy.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We have defined certain industry terms used in this document in “Commonly Used Defined Terms” and “Glossary of Terms,” appearing immediately after the Table of Contents 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HADR and aerospace support services. We own a fleet of 74 offshore vessels comprised of 15 MPSVs, two of which are under construction, and 59 OSVs. In addition, we provide ongoing operation and maintenance of four highly specialized OSVs (which we previously developed, constructed, and sold to the U.S. Navy) via a long-term O&amp;M contract. Since our founding nearly 30 years ago, we have focused on providing innovative,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47 vessels are classified as either high- or ultra-high spec and have an expected remaining economic useful life that exceeds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is capable of generating enhanced returns for our investors.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of 15 MPSVs provides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have the ability to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Given the breadth of capabilities of our MPSV fleet, our vessels are highly relevant to our customers across the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strategically repositioned our fleet to capture value across these diversified end-markets. As of September 30, 2025, approximately 68% of our trailing twelve-month revenues were derived from oilfield specialty and non-oilfield services, providing a more consistent operating environment for our Company that is less impacted by industry cyclicality associated with oilfield drilling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Included in our pro forma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industry-leading technologies that will make them some of the most sophisticated MPSVs in the world. Each vessel will be equipped with one 250-ton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of 59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high-specification OSVs alongside our MPSV fleet to support major projects, creating logistical efficiencies and vessel-bundling opportunities that increase utilization and enhance both our operational and financial performance.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strengths of our OSVs and MPSVs are further enhanced by several complementary shore-based assets and service offerings we have developed since our formation. We own and operate a shore-base facility in Port Fourchon, Louisiana, providing approximately 60 acres and nearly 3,000 linear feet of proprietary dock space capable of providing staging, storage, dispatch, and dockage services for both customers and our fleet of vessels. In combination with HOSLIFT, a 7,700 mT floating drydock, we are able to efficiently conduct ongoing maintenance and topside repairs of our vessels, as well as upgrade and replace installed equipment. Our in-house engineering capabilities, comprised of approximately 14 individuals who specialize in naval architecture and marine engineering, provide a point of differentiation from our competitors by allowing us to design, modify and reconfigure vessels tailored to specific jobs and customer requirements. These capabilities are highly valuable in an evolving industry and allow us to quickly respond to dynamic customer needs and capitalize on emerging market opportunities. As an example, we recently completed the conversion of one of our U.S.-flagged HOSMAX 280-class OSVs into a dual-service MPSV capable of operating as either a C/SOV for offshore wind farm development or as a flotel for offshore oilfields. Immediately upon delivery in November 2025, the converted MPSV was placed into active service on a contract providing support to an offshore wind project development off the U.S. East Coast. Finally, we and certain personnel possess government security clearances necessary to participate in U.S. government tendering for highly sensitive, mission-critical projects affecting U.S. national security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Hornbeck, our mission is to be recognized as the marine transportation and service “Company of Choice” for our customers, employees and investors through innovative, high-quality and value-added business solutions delivered with enthusiasm, integrity and professionalism, with the utmost regard for safety of individuals and the protection of the environment. With an average of nearly 40 years of experience in the maritime industry, we believe that our executives and senior leadership team have the capabilities to successfully compete in the offshore vessel business and execute the strategy that best positions us to effectively outperform our peers in a demanding and dynamic operating environment.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Fleet Composition and Operating Regions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own and operate what we believe is one of the highest specification, most technologically advanced, fleet of OSVs and MPSVs in the industry. Our strategic approach to fleet composition has focused on competing in highly complex deepwater markets in advantaged geographic locations, with the ability to provide a full range of “life-of-field” services to a variety of customer end-markets. We have assembled a fleet of highly flexible vessels with diverse capabilities, enabling us to effectively support a customer mix that encompasses oil and gas, military, renewable energy, and other non-oilfield end-markets.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Diversified, High-Specification Fleet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is comprised of some of the most capable vessels in the marine transportation service industry. Relative to our Jones Act-qualified peers, we have one of the highest concentrations of high-spec or ultra high-spec vessels in the market, as measured by DWT capacity. These vessels include specialty equipment and technologies that are of paramount importance to our customers who are seeking to execute some of the most complex and impactful offshore projects in the industry. As a result, our customers are willing to pay premium dayrates to charter our vessels, which, in many cases, provide cargo-carrying capacities greater than many of our competitors.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Importantly, we proactively manage the composition and strategic positioning of our fleet to optimize the supply and demand dynamics for our active vessels within the protected markets in which we operate. This allows us to focus our resources on our highest specification, most profitable vessels, while preserving the option to opportunistically deploy incremental capacity to meet any rebounding customer demand. Our active vessels generally benefit from greater operational up-time, lower maintenance capital expenditures and relatively longer remaining economic useful lives. These factors help us consistently achieve average dayrates and financial margins that outperform our domestic public peers.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breadth of our fleet’s capabilities and the variety of end-markets we serve help to insulate our business from commodity price fluctuation and industry cyclicality. Our focus on the asset classes we own and the geographic locations in which we operate allows us to strategically reposition our vessels to more attractive markets depending upon prevailing industry themes, demand drivers and growth opportunities. Moreover, our in-house engineering capabilities and shore-based assets allow us to design, modify and assemble vessels tailored to specific jobs and customer needs in a timely, cost-efficient manner. We believe these differentiating capabilities help our active fleet achieve industry-leading dayrates regardless of market conditions and uniquely position us to capitalize on emerging market opportunities with a first-mover advantage. </w:t>
      </w:r>
    </w:p>
    <w:p>
      <w:pPr>
        <w:pStyle w:val="TextBody"/>
        <w:bidi w:val="0"/>
        <w:spacing w:before="360" w:after="0"/>
        <w:jc w:val="left"/>
        <w:rPr>
          <w:rFonts w:ascii="Times New Roman" w:hAnsi="Times New Roman"/>
          <w:sz w:val="20"/>
          <w:bdr w:val="single" w:sz="8" w:space="1" w:color="000000"/>
        </w:rPr>
      </w:pPr>
      <w:r>
        <w:rPr>
          <w:rFonts w:ascii="Times New Roman" w:hAnsi="Times New Roman"/>
          <w:i/>
          <w:sz w:val="20"/>
          <w:bdr w:val="single" w:sz="8" w:space="1" w:color="000000"/>
        </w:rPr>
        <w:t>OSV Fleet</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illustrates our fleet of owned or operated OSVs and the nations in which they are flagged as of October 31, 2025: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05"/>
        <w:gridCol w:w="129"/>
        <w:gridCol w:w="1909"/>
        <w:gridCol w:w="185"/>
        <w:gridCol w:w="85"/>
        <w:gridCol w:w="370"/>
        <w:gridCol w:w="60"/>
        <w:gridCol w:w="346"/>
        <w:gridCol w:w="141"/>
        <w:gridCol w:w="623"/>
        <w:gridCol w:w="60"/>
        <w:gridCol w:w="346"/>
        <w:gridCol w:w="172"/>
        <w:gridCol w:w="772"/>
        <w:gridCol w:w="60"/>
        <w:gridCol w:w="297"/>
        <w:gridCol w:w="119"/>
        <w:gridCol w:w="531"/>
        <w:gridCol w:w="104"/>
        <w:gridCol w:w="346"/>
        <w:gridCol w:w="105"/>
        <w:gridCol w:w="990"/>
        <w:gridCol w:w="129"/>
        <w:gridCol w:w="346"/>
        <w:gridCol w:w="214"/>
        <w:gridCol w:w="1221"/>
        <w:gridCol w:w="140"/>
      </w:tblGrid>
      <w:tr>
        <w:trPr/>
        <w:tc>
          <w:tcPr>
            <w:tcW w:w="40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r>
      <w:tr>
        <w:trPr/>
        <w:tc>
          <w:tcPr>
            <w:tcW w:w="2443" w:type="dxa"/>
            <w:gridSpan w:val="3"/>
            <w:tcBorders>
              <w:bottom w:val="single" w:sz="8" w:space="0" w:color="000000"/>
            </w:tcBorders>
            <w:tcMar>
              <w:bottom w:w="28" w:type="dxa"/>
            </w:tcMar>
            <w:vAlign w:val="bottom"/>
          </w:tcPr>
          <w:p>
            <w:pPr>
              <w:pStyle w:val="TableContents"/>
              <w:bidi w:val="0"/>
              <w:spacing w:before="0" w:after="283"/>
              <w:jc w:val="center"/>
              <w:rPr>
                <w:b/>
              </w:rPr>
            </w:pPr>
            <w:r>
              <w:rPr>
                <w:b/>
              </w:rPr>
              <w:t>Vessel Class</w:t>
            </w:r>
          </w:p>
        </w:tc>
        <w:tc>
          <w:tcPr>
            <w:tcW w:w="185" w:type="dxa"/>
            <w:tcBorders>
              <w:bottom w:val="single" w:sz="8" w:space="0" w:color="000000"/>
            </w:tcBorders>
            <w:tcMar>
              <w:bottom w:w="28" w:type="dxa"/>
            </w:tcMar>
            <w:vAlign w:val="bottom"/>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346" w:type="dxa"/>
            <w:tcBorders>
              <w:bottom w:val="single" w:sz="8" w:space="0" w:color="000000"/>
            </w:tcBorders>
            <w:tcMar>
              <w:bottom w:w="28" w:type="dxa"/>
            </w:tcMar>
            <w:vAlign w:val="bottom"/>
          </w:tcPr>
          <w:p>
            <w:pPr>
              <w:pStyle w:val="TableContents"/>
              <w:bidi w:val="0"/>
              <w:spacing w:before="0" w:after="283"/>
              <w:jc w:val="left"/>
              <w:rPr/>
            </w:pPr>
            <w:r>
              <w:rPr/>
              <w:t>    </w:t>
            </w:r>
          </w:p>
        </w:tc>
        <w:tc>
          <w:tcPr>
            <w:tcW w:w="7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Mexico</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346" w:type="dxa"/>
            <w:tcBorders>
              <w:bottom w:val="single" w:sz="8" w:space="0" w:color="000000"/>
            </w:tcBorders>
            <w:tcMar>
              <w:bottom w:w="28" w:type="dxa"/>
            </w:tcMar>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Vanuatu</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297" w:type="dxa"/>
            <w:tcBorders>
              <w:bottom w:val="single" w:sz="8" w:space="0" w:color="000000"/>
            </w:tcBorders>
            <w:tcMar>
              <w:bottom w:w="28" w:type="dxa"/>
            </w:tcMar>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Brazil</w:t>
            </w:r>
          </w:p>
        </w:tc>
        <w:tc>
          <w:tcPr>
            <w:tcW w:w="104" w:type="dxa"/>
            <w:tcBorders>
              <w:bottom w:val="single" w:sz="8" w:space="0" w:color="000000"/>
            </w:tcBorders>
            <w:tcMar>
              <w:bottom w:w="28" w:type="dxa"/>
            </w:tcMar>
            <w:vAlign w:val="bottom"/>
          </w:tcPr>
          <w:p>
            <w:pPr>
              <w:pStyle w:val="TableContents"/>
              <w:bidi w:val="0"/>
              <w:spacing w:before="0" w:after="283"/>
              <w:jc w:val="left"/>
              <w:rPr/>
            </w:pPr>
            <w:r>
              <w:rPr/>
              <w:t> </w:t>
            </w:r>
          </w:p>
        </w:tc>
        <w:tc>
          <w:tcPr>
            <w:tcW w:w="346" w:type="dxa"/>
            <w:tcBorders>
              <w:bottom w:val="single" w:sz="8" w:space="0" w:color="000000"/>
            </w:tcBorders>
            <w:tcMar>
              <w:bottom w:w="28" w:type="dxa"/>
            </w:tcMar>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Avg DWT</w:t>
            </w:r>
          </w:p>
        </w:tc>
        <w:tc>
          <w:tcPr>
            <w:tcW w:w="129" w:type="dxa"/>
            <w:tcBorders>
              <w:bottom w:val="single" w:sz="8" w:space="0" w:color="000000"/>
            </w:tcBorders>
            <w:tcMar>
              <w:bottom w:w="28" w:type="dxa"/>
            </w:tcMar>
            <w:vAlign w:val="bottom"/>
          </w:tcPr>
          <w:p>
            <w:pPr>
              <w:pStyle w:val="TableContents"/>
              <w:bidi w:val="0"/>
              <w:spacing w:before="0" w:after="283"/>
              <w:jc w:val="left"/>
              <w:rPr/>
            </w:pPr>
            <w:r>
              <w:rPr/>
              <w:t> </w:t>
            </w:r>
          </w:p>
        </w:tc>
        <w:tc>
          <w:tcPr>
            <w:tcW w:w="346" w:type="dxa"/>
            <w:tcBorders>
              <w:bottom w:val="single" w:sz="8" w:space="0" w:color="000000"/>
            </w:tcBorders>
            <w:tcMar>
              <w:bottom w:w="28" w:type="dxa"/>
            </w:tcMar>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in Class</w:t>
            </w:r>
          </w:p>
        </w:tc>
        <w:tc>
          <w:tcPr>
            <w:tcW w:w="140" w:type="dxa"/>
            <w:tcBorders>
              <w:bottom w:val="single" w:sz="8" w:space="0" w:color="000000"/>
            </w:tcBorders>
            <w:tcMar>
              <w:bottom w:w="28" w:type="dxa"/>
            </w:tcMar>
            <w:vAlign w:val="bottom"/>
          </w:tcPr>
          <w:p>
            <w:pPr>
              <w:pStyle w:val="TableContents"/>
              <w:bidi w:val="0"/>
              <w:spacing w:before="0" w:after="283"/>
              <w:jc w:val="left"/>
              <w:rPr/>
            </w:pPr>
            <w:r>
              <w:rPr/>
              <w:t> </w:t>
            </w:r>
          </w:p>
        </w:tc>
      </w:tr>
      <w:tr>
        <w:trPr/>
        <w:tc>
          <w:tcPr>
            <w:tcW w:w="40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drawing>
                <wp:inline distT="0" distB="0" distL="0" distR="0">
                  <wp:extent cx="133985" cy="8851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985" cy="885190"/>
                          </a:xfrm>
                          <a:prstGeom prst="rect">
                            <a:avLst/>
                          </a:prstGeom>
                        </pic:spPr>
                      </pic:pic>
                    </a:graphicData>
                  </a:graphic>
                </wp:inline>
              </w:drawing>
            </w:r>
            <w:r>
              <w:rPr/>
              <w:t xml:space="preserve"> </w:t>
            </w:r>
          </w:p>
        </w:tc>
        <w:tc>
          <w:tcPr>
            <w:tcW w:w="129"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shd w:fill="CCEEFF" w:val="clear"/>
            <w:vAlign w:val="bottom"/>
          </w:tcPr>
          <w:p>
            <w:pPr>
              <w:pStyle w:val="TableContents"/>
              <w:bidi w:val="0"/>
              <w:spacing w:before="0" w:after="283"/>
              <w:jc w:val="left"/>
              <w:rPr/>
            </w:pPr>
            <w:r>
              <w:rPr/>
              <w:t> </w:t>
            </w:r>
          </w:p>
        </w:tc>
        <w:tc>
          <w:tcPr>
            <w:tcW w:w="1909" w:type="dxa"/>
            <w:tcBorders/>
            <w:shd w:fill="CCEEFF" w:val="clear"/>
          </w:tcPr>
          <w:p>
            <w:pPr>
              <w:pStyle w:val="TableContents"/>
              <w:bidi w:val="0"/>
              <w:spacing w:before="0" w:after="283"/>
              <w:jc w:val="left"/>
              <w:rPr/>
            </w:pPr>
            <w:r>
              <w:rPr/>
              <w:t>HOSFLEX 370</w:t>
            </w:r>
          </w:p>
        </w:tc>
        <w:tc>
          <w:tcPr>
            <w:tcW w:w="185" w:type="dxa"/>
            <w:tcBorders/>
            <w:shd w:fill="CCEEFF" w:val="clear"/>
            <w:vAlign w:val="bottom"/>
          </w:tcPr>
          <w:p>
            <w:pPr>
              <w:pStyle w:val="TableContents"/>
              <w:bidi w:val="0"/>
              <w:spacing w:before="0" w:after="283"/>
              <w:jc w:val="left"/>
              <w:rPr/>
            </w:pPr>
            <w:r>
              <w:rPr/>
              <w:t>  </w:t>
            </w:r>
          </w:p>
        </w:tc>
        <w:tc>
          <w:tcPr>
            <w:tcW w:w="85" w:type="dxa"/>
            <w:tcBorders/>
            <w:shd w:fill="CCEEFF" w:val="clear"/>
          </w:tcPr>
          <w:p>
            <w:pPr>
              <w:pStyle w:val="TableContents"/>
              <w:bidi w:val="0"/>
              <w:spacing w:before="0" w:after="283"/>
              <w:jc w:val="left"/>
              <w:rPr/>
            </w:pPr>
            <w:r>
              <w:rPr/>
              <w:t> </w:t>
            </w:r>
          </w:p>
        </w:tc>
        <w:tc>
          <w:tcPr>
            <w:tcW w:w="370" w:type="dxa"/>
            <w:tcBorders/>
            <w:shd w:fill="CCEEFF" w:val="clear"/>
          </w:tcPr>
          <w:p>
            <w:pPr>
              <w:pStyle w:val="TableContents"/>
              <w:bidi w:val="0"/>
              <w:spacing w:before="0" w:after="283"/>
              <w:jc w:val="center"/>
              <w:rPr/>
            </w:pPr>
            <w:r>
              <w:rPr/>
              <w:t>2</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pPr>
            <w:r>
              <w:rPr/>
              <w:t> </w:t>
            </w:r>
          </w:p>
        </w:tc>
        <w:tc>
          <w:tcPr>
            <w:tcW w:w="623"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pPr>
            <w:r>
              <w:rPr/>
              <w:t> </w:t>
            </w:r>
          </w:p>
        </w:tc>
        <w:tc>
          <w:tcPr>
            <w:tcW w:w="772"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pPr>
            <w:r>
              <w:rPr/>
              <w:t> </w:t>
            </w:r>
          </w:p>
        </w:tc>
        <w:tc>
          <w:tcPr>
            <w:tcW w:w="531" w:type="dxa"/>
            <w:tcBorders/>
            <w:shd w:fill="CCEEFF" w:val="clear"/>
          </w:tcPr>
          <w:p>
            <w:pPr>
              <w:pStyle w:val="TableContents"/>
              <w:bidi w:val="0"/>
              <w:spacing w:before="0" w:after="283"/>
              <w:jc w:val="center"/>
              <w:rPr/>
            </w:pPr>
            <w:r>
              <w:rPr/>
              <w:t>—</w:t>
            </w:r>
          </w:p>
        </w:tc>
        <w:tc>
          <w:tcPr>
            <w:tcW w:w="104"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tcPr>
          <w:p>
            <w:pPr>
              <w:pStyle w:val="TableContents"/>
              <w:bidi w:val="0"/>
              <w:spacing w:before="0" w:after="283"/>
              <w:jc w:val="left"/>
              <w:rPr/>
            </w:pPr>
            <w:r>
              <w:rPr/>
              <w:t> </w:t>
            </w:r>
          </w:p>
        </w:tc>
        <w:tc>
          <w:tcPr>
            <w:tcW w:w="990" w:type="dxa"/>
            <w:tcBorders/>
            <w:shd w:fill="CCEEFF" w:val="clear"/>
          </w:tcPr>
          <w:p>
            <w:pPr>
              <w:pStyle w:val="TableContents"/>
              <w:bidi w:val="0"/>
              <w:spacing w:before="0" w:after="283"/>
              <w:jc w:val="center"/>
              <w:rPr/>
            </w:pPr>
            <w:r>
              <w:rPr/>
              <w:t>7,886</w:t>
            </w:r>
          </w:p>
        </w:tc>
        <w:tc>
          <w:tcPr>
            <w:tcW w:w="129"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tcPr>
          <w:p>
            <w:pPr>
              <w:pStyle w:val="TableContents"/>
              <w:bidi w:val="0"/>
              <w:spacing w:before="0" w:after="283"/>
              <w:jc w:val="left"/>
              <w:rPr/>
            </w:pPr>
            <w:r>
              <w:rPr/>
              <w:t> </w:t>
            </w:r>
          </w:p>
        </w:tc>
        <w:tc>
          <w:tcPr>
            <w:tcW w:w="1221" w:type="dxa"/>
            <w:tcBorders/>
            <w:shd w:fill="CCEEFF" w:val="clear"/>
          </w:tcPr>
          <w:p>
            <w:pPr>
              <w:pStyle w:val="TableContents"/>
              <w:bidi w:val="0"/>
              <w:spacing w:before="0" w:after="283"/>
              <w:jc w:val="center"/>
              <w:rPr/>
            </w:pPr>
            <w:r>
              <w:rPr/>
              <w:t>2</w:t>
            </w:r>
          </w:p>
        </w:tc>
        <w:tc>
          <w:tcPr>
            <w:tcW w:w="140" w:type="dxa"/>
            <w:tcBorders/>
            <w:shd w:fill="CCEEFF" w:val="clear"/>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29" w:type="dxa"/>
            <w:tcBorders/>
            <w:vAlign w:val="bottom"/>
          </w:tcPr>
          <w:p>
            <w:pPr>
              <w:pStyle w:val="TableContents"/>
              <w:bidi w:val="0"/>
              <w:spacing w:before="0" w:after="283"/>
              <w:jc w:val="left"/>
              <w:rPr/>
            </w:pPr>
            <w:r>
              <w:rPr/>
              <w:t> </w:t>
            </w:r>
          </w:p>
        </w:tc>
        <w:tc>
          <w:tcPr>
            <w:tcW w:w="1909" w:type="dxa"/>
            <w:tcBorders/>
          </w:tcPr>
          <w:p>
            <w:pPr>
              <w:pStyle w:val="TableContents"/>
              <w:bidi w:val="0"/>
              <w:spacing w:before="0" w:after="283"/>
              <w:jc w:val="left"/>
              <w:rPr/>
            </w:pPr>
            <w:r>
              <w:rPr/>
              <w:t>HOSMAX 320</w:t>
            </w:r>
          </w:p>
        </w:tc>
        <w:tc>
          <w:tcPr>
            <w:tcW w:w="185" w:type="dxa"/>
            <w:tcBorders/>
            <w:vAlign w:val="bottom"/>
          </w:tcPr>
          <w:p>
            <w:pPr>
              <w:pStyle w:val="TableContents"/>
              <w:bidi w:val="0"/>
              <w:spacing w:before="0" w:after="283"/>
              <w:jc w:val="left"/>
              <w:rPr/>
            </w:pPr>
            <w:r>
              <w:rPr/>
              <w:t>  </w:t>
            </w:r>
          </w:p>
        </w:tc>
        <w:tc>
          <w:tcPr>
            <w:tcW w:w="85" w:type="dxa"/>
            <w:tcBorders/>
          </w:tcPr>
          <w:p>
            <w:pPr>
              <w:pStyle w:val="TableContents"/>
              <w:bidi w:val="0"/>
              <w:spacing w:before="0" w:after="283"/>
              <w:jc w:val="left"/>
              <w:rPr/>
            </w:pPr>
            <w:r>
              <w:rPr/>
              <w:t> </w:t>
            </w:r>
          </w:p>
        </w:tc>
        <w:tc>
          <w:tcPr>
            <w:tcW w:w="370" w:type="dxa"/>
            <w:tcBorders/>
          </w:tcPr>
          <w:p>
            <w:pPr>
              <w:pStyle w:val="TableContents"/>
              <w:bidi w:val="0"/>
              <w:spacing w:before="0" w:after="283"/>
              <w:jc w:val="center"/>
              <w:rPr/>
            </w:pPr>
            <w:r>
              <w:rPr/>
              <w:t>9</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623" w:type="dxa"/>
            <w:tcBorders/>
          </w:tcPr>
          <w:p>
            <w:pPr>
              <w:pStyle w:val="TableContents"/>
              <w:bidi w:val="0"/>
              <w:spacing w:before="0" w:after="283"/>
              <w:jc w:val="center"/>
              <w:rPr/>
            </w:pPr>
            <w:r>
              <w:rPr/>
              <w:t>1</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w:t>
            </w:r>
          </w:p>
        </w:tc>
        <w:tc>
          <w:tcPr>
            <w:tcW w:w="60" w:type="dxa"/>
            <w:tcBorders/>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31" w:type="dxa"/>
            <w:tcBorders/>
          </w:tcPr>
          <w:p>
            <w:pPr>
              <w:pStyle w:val="TableContents"/>
              <w:bidi w:val="0"/>
              <w:spacing w:before="0" w:after="283"/>
              <w:jc w:val="center"/>
              <w:rPr/>
            </w:pPr>
            <w:r>
              <w:rPr/>
              <w:t>—</w:t>
            </w:r>
          </w:p>
        </w:tc>
        <w:tc>
          <w:tcPr>
            <w:tcW w:w="104"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990" w:type="dxa"/>
            <w:tcBorders/>
          </w:tcPr>
          <w:p>
            <w:pPr>
              <w:pStyle w:val="TableContents"/>
              <w:bidi w:val="0"/>
              <w:spacing w:before="0" w:after="283"/>
              <w:jc w:val="center"/>
              <w:rPr/>
            </w:pPr>
            <w:r>
              <w:rPr/>
              <w:t>6,052</w:t>
            </w:r>
          </w:p>
        </w:tc>
        <w:tc>
          <w:tcPr>
            <w:tcW w:w="129"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tcPr>
          <w:p>
            <w:pPr>
              <w:pStyle w:val="TableContents"/>
              <w:bidi w:val="0"/>
              <w:spacing w:before="0" w:after="283"/>
              <w:jc w:val="left"/>
              <w:rPr/>
            </w:pPr>
            <w:r>
              <w:rPr/>
              <w:t> </w:t>
            </w:r>
          </w:p>
        </w:tc>
        <w:tc>
          <w:tcPr>
            <w:tcW w:w="1221" w:type="dxa"/>
            <w:tcBorders/>
          </w:tcPr>
          <w:p>
            <w:pPr>
              <w:pStyle w:val="TableContents"/>
              <w:bidi w:val="0"/>
              <w:spacing w:before="0" w:after="283"/>
              <w:jc w:val="center"/>
              <w:rPr/>
            </w:pPr>
            <w:r>
              <w:rPr/>
              <w:t>10</w:t>
            </w:r>
          </w:p>
        </w:tc>
        <w:tc>
          <w:tcPr>
            <w:tcW w:w="140" w:type="dxa"/>
            <w:tcBorders/>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shd w:fill="CCEEFF" w:val="clear"/>
            <w:vAlign w:val="bottom"/>
          </w:tcPr>
          <w:p>
            <w:pPr>
              <w:pStyle w:val="TableContents"/>
              <w:bidi w:val="0"/>
              <w:spacing w:before="0" w:after="283"/>
              <w:jc w:val="left"/>
              <w:rPr/>
            </w:pPr>
            <w:r>
              <w:rPr/>
              <w:t> </w:t>
            </w:r>
          </w:p>
        </w:tc>
        <w:tc>
          <w:tcPr>
            <w:tcW w:w="1909" w:type="dxa"/>
            <w:tcBorders/>
            <w:shd w:fill="CCEEFF" w:val="clear"/>
          </w:tcPr>
          <w:p>
            <w:pPr>
              <w:pStyle w:val="TableContents"/>
              <w:bidi w:val="0"/>
              <w:spacing w:before="0" w:after="283"/>
              <w:jc w:val="left"/>
              <w:rPr/>
            </w:pPr>
            <w:r>
              <w:rPr/>
              <w:t>HOSMAX 310</w:t>
            </w:r>
          </w:p>
        </w:tc>
        <w:tc>
          <w:tcPr>
            <w:tcW w:w="185" w:type="dxa"/>
            <w:tcBorders/>
            <w:shd w:fill="CCEEFF" w:val="clear"/>
            <w:vAlign w:val="bottom"/>
          </w:tcPr>
          <w:p>
            <w:pPr>
              <w:pStyle w:val="TableContents"/>
              <w:bidi w:val="0"/>
              <w:spacing w:before="0" w:after="283"/>
              <w:jc w:val="left"/>
              <w:rPr/>
            </w:pPr>
            <w:r>
              <w:rPr/>
              <w:t>  </w:t>
            </w:r>
          </w:p>
        </w:tc>
        <w:tc>
          <w:tcPr>
            <w:tcW w:w="85" w:type="dxa"/>
            <w:tcBorders/>
            <w:shd w:fill="CCEEFF" w:val="clear"/>
          </w:tcPr>
          <w:p>
            <w:pPr>
              <w:pStyle w:val="TableContents"/>
              <w:bidi w:val="0"/>
              <w:spacing w:before="0" w:after="283"/>
              <w:jc w:val="left"/>
              <w:rPr/>
            </w:pPr>
            <w:r>
              <w:rPr/>
              <w:t> </w:t>
            </w:r>
          </w:p>
        </w:tc>
        <w:tc>
          <w:tcPr>
            <w:tcW w:w="370" w:type="dxa"/>
            <w:tcBorders/>
            <w:shd w:fill="CCEEFF" w:val="clear"/>
          </w:tcPr>
          <w:p>
            <w:pPr>
              <w:pStyle w:val="TableContents"/>
              <w:bidi w:val="0"/>
              <w:spacing w:before="0" w:after="283"/>
              <w:jc w:val="center"/>
              <w:rPr/>
            </w:pPr>
            <w:r>
              <w:rPr/>
              <w:t>3</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pPr>
            <w:r>
              <w:rPr/>
              <w:t> </w:t>
            </w:r>
          </w:p>
        </w:tc>
        <w:tc>
          <w:tcPr>
            <w:tcW w:w="623"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pPr>
            <w:r>
              <w:rPr/>
              <w:t> </w:t>
            </w:r>
          </w:p>
        </w:tc>
        <w:tc>
          <w:tcPr>
            <w:tcW w:w="772"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pPr>
            <w:r>
              <w:rPr/>
              <w:t> </w:t>
            </w:r>
          </w:p>
        </w:tc>
        <w:tc>
          <w:tcPr>
            <w:tcW w:w="531" w:type="dxa"/>
            <w:tcBorders/>
            <w:shd w:fill="CCEEFF" w:val="clear"/>
          </w:tcPr>
          <w:p>
            <w:pPr>
              <w:pStyle w:val="TableContents"/>
              <w:bidi w:val="0"/>
              <w:spacing w:before="0" w:after="283"/>
              <w:jc w:val="center"/>
              <w:rPr/>
            </w:pPr>
            <w:r>
              <w:rPr/>
              <w:t>1</w:t>
            </w:r>
          </w:p>
        </w:tc>
        <w:tc>
          <w:tcPr>
            <w:tcW w:w="104"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tcPr>
          <w:p>
            <w:pPr>
              <w:pStyle w:val="TableContents"/>
              <w:bidi w:val="0"/>
              <w:spacing w:before="0" w:after="283"/>
              <w:jc w:val="left"/>
              <w:rPr/>
            </w:pPr>
            <w:r>
              <w:rPr/>
              <w:t> </w:t>
            </w:r>
          </w:p>
        </w:tc>
        <w:tc>
          <w:tcPr>
            <w:tcW w:w="990" w:type="dxa"/>
            <w:tcBorders/>
            <w:shd w:fill="CCEEFF" w:val="clear"/>
          </w:tcPr>
          <w:p>
            <w:pPr>
              <w:pStyle w:val="TableContents"/>
              <w:bidi w:val="0"/>
              <w:spacing w:before="0" w:after="283"/>
              <w:jc w:val="center"/>
              <w:rPr/>
            </w:pPr>
            <w:r>
              <w:rPr/>
              <w:t>5,921</w:t>
            </w:r>
          </w:p>
        </w:tc>
        <w:tc>
          <w:tcPr>
            <w:tcW w:w="129"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tcPr>
          <w:p>
            <w:pPr>
              <w:pStyle w:val="TableContents"/>
              <w:bidi w:val="0"/>
              <w:spacing w:before="0" w:after="283"/>
              <w:jc w:val="left"/>
              <w:rPr/>
            </w:pPr>
            <w:r>
              <w:rPr/>
              <w:t> </w:t>
            </w:r>
          </w:p>
        </w:tc>
        <w:tc>
          <w:tcPr>
            <w:tcW w:w="1221" w:type="dxa"/>
            <w:tcBorders/>
            <w:shd w:fill="CCEEFF" w:val="clear"/>
          </w:tcPr>
          <w:p>
            <w:pPr>
              <w:pStyle w:val="TableContents"/>
              <w:bidi w:val="0"/>
              <w:spacing w:before="0" w:after="283"/>
              <w:jc w:val="center"/>
              <w:rPr/>
            </w:pPr>
            <w:r>
              <w:rPr/>
              <w:t>4</w:t>
            </w:r>
          </w:p>
        </w:tc>
        <w:tc>
          <w:tcPr>
            <w:tcW w:w="140" w:type="dxa"/>
            <w:tcBorders/>
            <w:shd w:fill="CCEEFF" w:val="clear"/>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09" w:type="dxa"/>
            <w:tcBorders>
              <w:bottom w:val="single" w:sz="2" w:space="0" w:color="000000"/>
            </w:tcBorders>
            <w:shd w:fill="CCEEFF" w:val="clear"/>
            <w:tcMar>
              <w:bottom w:w="28" w:type="dxa"/>
            </w:tcMar>
          </w:tcPr>
          <w:p>
            <w:pPr>
              <w:pStyle w:val="TableContents"/>
              <w:bidi w:val="0"/>
              <w:spacing w:before="0" w:after="283"/>
              <w:jc w:val="left"/>
              <w:rPr/>
            </w:pPr>
            <w:r>
              <w:rPr/>
              <w:t>HOSMAX 300</w:t>
            </w:r>
          </w:p>
        </w:tc>
        <w:tc>
          <w:tcPr>
            <w:tcW w:w="18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70" w:type="dxa"/>
            <w:tcBorders>
              <w:bottom w:val="single" w:sz="2" w:space="0" w:color="000000"/>
            </w:tcBorders>
            <w:shd w:fill="CCEEFF" w:val="clear"/>
            <w:tcMar>
              <w:bottom w:w="28" w:type="dxa"/>
            </w:tcMar>
          </w:tcPr>
          <w:p>
            <w:pPr>
              <w:pStyle w:val="TableContents"/>
              <w:bidi w:val="0"/>
              <w:spacing w:before="0" w:after="283"/>
              <w:jc w:val="center"/>
              <w:rPr/>
            </w:pPr>
            <w:r>
              <w:rPr/>
              <w:t>2</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623" w:type="dxa"/>
            <w:tcBorders>
              <w:bottom w:val="single" w:sz="2" w:space="0" w:color="000000"/>
            </w:tcBorders>
            <w:shd w:fill="CCEEFF" w:val="clear"/>
            <w:tcMar>
              <w:bottom w:w="28" w:type="dxa"/>
            </w:tcMar>
          </w:tcPr>
          <w:p>
            <w:pPr>
              <w:pStyle w:val="TableContents"/>
              <w:bidi w:val="0"/>
              <w:spacing w:before="0" w:after="283"/>
              <w:jc w:val="center"/>
              <w:rPr/>
            </w:pPr>
            <w:r>
              <w:rPr/>
              <w:t>4</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531"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04"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990" w:type="dxa"/>
            <w:tcBorders>
              <w:bottom w:val="single" w:sz="2" w:space="0" w:color="000000"/>
            </w:tcBorders>
            <w:shd w:fill="CCEEFF" w:val="clear"/>
            <w:tcMar>
              <w:bottom w:w="28" w:type="dxa"/>
            </w:tcMar>
          </w:tcPr>
          <w:p>
            <w:pPr>
              <w:pStyle w:val="TableContents"/>
              <w:bidi w:val="0"/>
              <w:spacing w:before="0" w:after="283"/>
              <w:jc w:val="center"/>
              <w:rPr/>
            </w:pPr>
            <w:r>
              <w:rPr/>
              <w:t>5,472</w:t>
            </w:r>
          </w:p>
        </w:tc>
        <w:tc>
          <w:tcPr>
            <w:tcW w:w="129"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1221" w:type="dxa"/>
            <w:tcBorders>
              <w:bottom w:val="single" w:sz="2" w:space="0" w:color="000000"/>
            </w:tcBorders>
            <w:shd w:fill="CCEEFF" w:val="clear"/>
            <w:tcMar>
              <w:bottom w:w="28" w:type="dxa"/>
            </w:tcMar>
          </w:tcPr>
          <w:p>
            <w:pPr>
              <w:pStyle w:val="TableContents"/>
              <w:bidi w:val="0"/>
              <w:spacing w:before="0" w:after="283"/>
              <w:jc w:val="center"/>
              <w:rPr/>
            </w:pPr>
            <w:r>
              <w:rPr/>
              <w:t>6</w:t>
            </w:r>
          </w:p>
        </w:tc>
        <w:tc>
          <w:tcPr>
            <w:tcW w:w="140" w:type="dxa"/>
            <w:tcBorders>
              <w:bottom w:val="single" w:sz="2" w:space="0" w:color="000000"/>
            </w:tcBorders>
            <w:shd w:fill="CCEEFF" w:val="clear"/>
            <w:tcMar>
              <w:bottom w:w="28" w:type="dxa"/>
            </w:tcMar>
          </w:tcPr>
          <w:p>
            <w:pPr>
              <w:pStyle w:val="TableContents"/>
              <w:bidi w:val="0"/>
              <w:spacing w:before="0" w:after="283"/>
              <w:jc w:val="left"/>
              <w:rPr/>
            </w:pPr>
            <w:r>
              <w:rPr/>
              <w:t> </w:t>
            </w:r>
          </w:p>
        </w:tc>
      </w:tr>
      <w:tr>
        <w:trPr>
          <w:trHeight w:val="90" w:hRule="atLeast"/>
        </w:trPr>
        <w:tc>
          <w:tcPr>
            <w:tcW w:w="405" w:type="dxa"/>
            <w:tcBorders>
              <w:right w:val="single" w:sz="2" w:space="0" w:color="00000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350"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921" w:type="dxa"/>
            <w:gridSpan w:val="4"/>
            <w:tcBorders/>
            <w:vAlign w:val="center"/>
          </w:tcPr>
          <w:p>
            <w:pPr>
              <w:pStyle w:val="TableContents"/>
              <w:bidi w:val="0"/>
              <w:spacing w:before="0" w:after="283"/>
              <w:jc w:val="left"/>
              <w:rPr>
                <w:sz w:val="4"/>
                <w:szCs w:val="4"/>
              </w:rPr>
            </w:pPr>
            <w:r>
              <w:rPr>
                <w:sz w:val="4"/>
                <w:szCs w:val="4"/>
              </w:rPr>
            </w:r>
          </w:p>
        </w:tc>
      </w:tr>
      <w:tr>
        <w:trPr/>
        <w:tc>
          <w:tcPr>
            <w:tcW w:w="40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drawing>
                <wp:inline distT="0" distB="0" distL="0" distR="0">
                  <wp:extent cx="133985" cy="5645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985" cy="564515"/>
                          </a:xfrm>
                          <a:prstGeom prst="rect">
                            <a:avLst/>
                          </a:prstGeom>
                        </pic:spPr>
                      </pic:pic>
                    </a:graphicData>
                  </a:graphic>
                </wp:inline>
              </w:drawing>
            </w:r>
            <w:r>
              <w:rPr/>
              <w:t xml:space="preserve"> </w:t>
            </w:r>
          </w:p>
        </w:tc>
        <w:tc>
          <w:tcPr>
            <w:tcW w:w="129" w:type="dxa"/>
            <w:tcBorders/>
            <w:vAlign w:val="bottom"/>
          </w:tcPr>
          <w:p>
            <w:pPr>
              <w:pStyle w:val="TableContents"/>
              <w:bidi w:val="0"/>
              <w:spacing w:before="0" w:after="283"/>
              <w:jc w:val="left"/>
              <w:rPr/>
            </w:pPr>
            <w:r>
              <w:rPr/>
              <w:t> </w:t>
            </w:r>
          </w:p>
        </w:tc>
        <w:tc>
          <w:tcPr>
            <w:tcW w:w="1909" w:type="dxa"/>
            <w:tcBorders/>
          </w:tcPr>
          <w:p>
            <w:pPr>
              <w:pStyle w:val="TableContents"/>
              <w:bidi w:val="0"/>
              <w:spacing w:before="0" w:after="283"/>
              <w:jc w:val="left"/>
              <w:rPr/>
            </w:pPr>
            <w:r>
              <w:rPr/>
              <w:t>HOSMAX 280</w:t>
            </w:r>
          </w:p>
        </w:tc>
        <w:tc>
          <w:tcPr>
            <w:tcW w:w="185" w:type="dxa"/>
            <w:tcBorders/>
            <w:vAlign w:val="bottom"/>
          </w:tcPr>
          <w:p>
            <w:pPr>
              <w:pStyle w:val="TableContents"/>
              <w:bidi w:val="0"/>
              <w:spacing w:before="0" w:after="283"/>
              <w:jc w:val="left"/>
              <w:rPr/>
            </w:pPr>
            <w:r>
              <w:rPr/>
              <w:t>  </w:t>
            </w:r>
          </w:p>
        </w:tc>
        <w:tc>
          <w:tcPr>
            <w:tcW w:w="85" w:type="dxa"/>
            <w:tcBorders/>
          </w:tcPr>
          <w:p>
            <w:pPr>
              <w:pStyle w:val="TableContents"/>
              <w:bidi w:val="0"/>
              <w:spacing w:before="0" w:after="283"/>
              <w:jc w:val="left"/>
              <w:rPr/>
            </w:pPr>
            <w:r>
              <w:rPr/>
              <w:t> </w:t>
            </w:r>
          </w:p>
        </w:tc>
        <w:tc>
          <w:tcPr>
            <w:tcW w:w="370" w:type="dxa"/>
            <w:tcBorders/>
          </w:tcPr>
          <w:p>
            <w:pPr>
              <w:pStyle w:val="TableContents"/>
              <w:bidi w:val="0"/>
              <w:spacing w:before="0" w:after="283"/>
              <w:jc w:val="center"/>
              <w:rPr/>
            </w:pPr>
            <w:r>
              <w:rPr/>
              <w:t>12</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623" w:type="dxa"/>
            <w:tcBorders/>
          </w:tcPr>
          <w:p>
            <w:pPr>
              <w:pStyle w:val="TableContents"/>
              <w:bidi w:val="0"/>
              <w:spacing w:before="0" w:after="283"/>
              <w:jc w:val="center"/>
              <w:rPr/>
            </w:pPr>
            <w:r>
              <w:rPr/>
              <w:t>1</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w:t>
            </w:r>
          </w:p>
        </w:tc>
        <w:tc>
          <w:tcPr>
            <w:tcW w:w="60" w:type="dxa"/>
            <w:tcBorders/>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31" w:type="dxa"/>
            <w:tcBorders/>
          </w:tcPr>
          <w:p>
            <w:pPr>
              <w:pStyle w:val="TableContents"/>
              <w:bidi w:val="0"/>
              <w:spacing w:before="0" w:after="283"/>
              <w:jc w:val="center"/>
              <w:rPr/>
            </w:pPr>
            <w:r>
              <w:rPr/>
              <w:t>1</w:t>
            </w:r>
          </w:p>
        </w:tc>
        <w:tc>
          <w:tcPr>
            <w:tcW w:w="104"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990" w:type="dxa"/>
            <w:tcBorders/>
          </w:tcPr>
          <w:p>
            <w:pPr>
              <w:pStyle w:val="TableContents"/>
              <w:bidi w:val="0"/>
              <w:spacing w:before="0" w:after="283"/>
              <w:jc w:val="center"/>
              <w:rPr/>
            </w:pPr>
            <w:r>
              <w:rPr/>
              <w:t>4,660</w:t>
            </w:r>
          </w:p>
        </w:tc>
        <w:tc>
          <w:tcPr>
            <w:tcW w:w="129"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tcPr>
          <w:p>
            <w:pPr>
              <w:pStyle w:val="TableContents"/>
              <w:bidi w:val="0"/>
              <w:spacing w:before="0" w:after="283"/>
              <w:jc w:val="left"/>
              <w:rPr/>
            </w:pPr>
            <w:r>
              <w:rPr/>
              <w:t> </w:t>
            </w:r>
          </w:p>
        </w:tc>
        <w:tc>
          <w:tcPr>
            <w:tcW w:w="1221" w:type="dxa"/>
            <w:tcBorders/>
          </w:tcPr>
          <w:p>
            <w:pPr>
              <w:pStyle w:val="TableContents"/>
              <w:bidi w:val="0"/>
              <w:spacing w:before="0" w:after="283"/>
              <w:jc w:val="center"/>
              <w:rPr/>
            </w:pPr>
            <w:r>
              <w:rPr/>
              <w:t>14</w:t>
            </w:r>
          </w:p>
        </w:tc>
        <w:tc>
          <w:tcPr>
            <w:tcW w:w="140" w:type="dxa"/>
            <w:tcBorders/>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shd w:fill="CCEEFF" w:val="clear"/>
            <w:vAlign w:val="bottom"/>
          </w:tcPr>
          <w:p>
            <w:pPr>
              <w:pStyle w:val="TableContents"/>
              <w:bidi w:val="0"/>
              <w:spacing w:before="0" w:after="283"/>
              <w:jc w:val="left"/>
              <w:rPr/>
            </w:pPr>
            <w:r>
              <w:rPr/>
              <w:t> </w:t>
            </w:r>
          </w:p>
        </w:tc>
        <w:tc>
          <w:tcPr>
            <w:tcW w:w="1909" w:type="dxa"/>
            <w:tcBorders/>
            <w:shd w:fill="CCEEFF" w:val="clear"/>
          </w:tcPr>
          <w:p>
            <w:pPr>
              <w:pStyle w:val="TableContents"/>
              <w:bidi w:val="0"/>
              <w:spacing w:before="0" w:after="283"/>
              <w:jc w:val="left"/>
              <w:rPr/>
            </w:pPr>
            <w:r>
              <w:rPr/>
              <w:t>HOS 270</w:t>
            </w:r>
          </w:p>
        </w:tc>
        <w:tc>
          <w:tcPr>
            <w:tcW w:w="185" w:type="dxa"/>
            <w:tcBorders/>
            <w:shd w:fill="CCEEFF" w:val="clear"/>
            <w:vAlign w:val="bottom"/>
          </w:tcPr>
          <w:p>
            <w:pPr>
              <w:pStyle w:val="TableContents"/>
              <w:bidi w:val="0"/>
              <w:spacing w:before="0" w:after="283"/>
              <w:jc w:val="left"/>
              <w:rPr/>
            </w:pPr>
            <w:r>
              <w:rPr/>
              <w:t>  </w:t>
            </w:r>
          </w:p>
        </w:tc>
        <w:tc>
          <w:tcPr>
            <w:tcW w:w="85" w:type="dxa"/>
            <w:tcBorders/>
            <w:shd w:fill="CCEEFF" w:val="clear"/>
          </w:tcPr>
          <w:p>
            <w:pPr>
              <w:pStyle w:val="TableContents"/>
              <w:bidi w:val="0"/>
              <w:spacing w:before="0" w:after="283"/>
              <w:jc w:val="left"/>
              <w:rPr/>
            </w:pPr>
            <w:r>
              <w:rPr/>
              <w:t> </w:t>
            </w:r>
          </w:p>
        </w:tc>
        <w:tc>
          <w:tcPr>
            <w:tcW w:w="370"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pPr>
            <w:r>
              <w:rPr/>
              <w:t> </w:t>
            </w:r>
          </w:p>
        </w:tc>
        <w:tc>
          <w:tcPr>
            <w:tcW w:w="623" w:type="dxa"/>
            <w:tcBorders/>
            <w:shd w:fill="CCEEFF" w:val="clear"/>
          </w:tcPr>
          <w:p>
            <w:pPr>
              <w:pStyle w:val="TableContents"/>
              <w:bidi w:val="0"/>
              <w:spacing w:before="0" w:after="283"/>
              <w:jc w:val="center"/>
              <w:rPr/>
            </w:pPr>
            <w:r>
              <w:rPr/>
              <w:t>2</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pPr>
            <w:r>
              <w:rPr/>
              <w:t> </w:t>
            </w:r>
          </w:p>
        </w:tc>
        <w:tc>
          <w:tcPr>
            <w:tcW w:w="772"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pPr>
            <w:r>
              <w:rPr/>
              <w:t> </w:t>
            </w:r>
          </w:p>
        </w:tc>
        <w:tc>
          <w:tcPr>
            <w:tcW w:w="531" w:type="dxa"/>
            <w:tcBorders/>
            <w:shd w:fill="CCEEFF" w:val="clear"/>
          </w:tcPr>
          <w:p>
            <w:pPr>
              <w:pStyle w:val="TableContents"/>
              <w:bidi w:val="0"/>
              <w:spacing w:before="0" w:after="283"/>
              <w:jc w:val="center"/>
              <w:rPr/>
            </w:pPr>
            <w:r>
              <w:rPr/>
              <w:t>—</w:t>
            </w:r>
          </w:p>
        </w:tc>
        <w:tc>
          <w:tcPr>
            <w:tcW w:w="104"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tcPr>
          <w:p>
            <w:pPr>
              <w:pStyle w:val="TableContents"/>
              <w:bidi w:val="0"/>
              <w:spacing w:before="0" w:after="283"/>
              <w:jc w:val="left"/>
              <w:rPr/>
            </w:pPr>
            <w:r>
              <w:rPr/>
              <w:t> </w:t>
            </w:r>
          </w:p>
        </w:tc>
        <w:tc>
          <w:tcPr>
            <w:tcW w:w="990" w:type="dxa"/>
            <w:tcBorders/>
            <w:shd w:fill="CCEEFF" w:val="clear"/>
          </w:tcPr>
          <w:p>
            <w:pPr>
              <w:pStyle w:val="TableContents"/>
              <w:bidi w:val="0"/>
              <w:spacing w:before="0" w:after="283"/>
              <w:jc w:val="center"/>
              <w:rPr/>
            </w:pPr>
            <w:r>
              <w:rPr/>
              <w:t>3,803</w:t>
            </w:r>
          </w:p>
        </w:tc>
        <w:tc>
          <w:tcPr>
            <w:tcW w:w="129"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tcPr>
          <w:p>
            <w:pPr>
              <w:pStyle w:val="TableContents"/>
              <w:bidi w:val="0"/>
              <w:spacing w:before="0" w:after="283"/>
              <w:jc w:val="left"/>
              <w:rPr/>
            </w:pPr>
            <w:r>
              <w:rPr/>
              <w:t> </w:t>
            </w:r>
          </w:p>
        </w:tc>
        <w:tc>
          <w:tcPr>
            <w:tcW w:w="1221" w:type="dxa"/>
            <w:tcBorders/>
            <w:shd w:fill="CCEEFF" w:val="clear"/>
          </w:tcPr>
          <w:p>
            <w:pPr>
              <w:pStyle w:val="TableContents"/>
              <w:bidi w:val="0"/>
              <w:spacing w:before="0" w:after="283"/>
              <w:jc w:val="center"/>
              <w:rPr/>
            </w:pPr>
            <w:r>
              <w:rPr/>
              <w:t>2</w:t>
            </w:r>
          </w:p>
        </w:tc>
        <w:tc>
          <w:tcPr>
            <w:tcW w:w="140" w:type="dxa"/>
            <w:tcBorders/>
            <w:shd w:fill="CCEEFF" w:val="clear"/>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1909" w:type="dxa"/>
            <w:tcBorders>
              <w:bottom w:val="single" w:sz="2" w:space="0" w:color="000000"/>
            </w:tcBorders>
            <w:tcMar>
              <w:bottom w:w="28" w:type="dxa"/>
            </w:tcMar>
          </w:tcPr>
          <w:p>
            <w:pPr>
              <w:pStyle w:val="TableContents"/>
              <w:bidi w:val="0"/>
              <w:spacing w:before="0" w:after="283"/>
              <w:jc w:val="left"/>
              <w:rPr/>
            </w:pPr>
            <w:r>
              <w:rPr/>
              <w:t>HOS 265</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tcMar>
              <w:bottom w:w="28" w:type="dxa"/>
            </w:tcMar>
          </w:tcPr>
          <w:p>
            <w:pPr>
              <w:pStyle w:val="TableContents"/>
              <w:bidi w:val="0"/>
              <w:spacing w:before="0" w:after="283"/>
              <w:jc w:val="left"/>
              <w:rPr/>
            </w:pPr>
            <w:r>
              <w:rPr/>
              <w:t> </w:t>
            </w:r>
          </w:p>
        </w:tc>
        <w:tc>
          <w:tcPr>
            <w:tcW w:w="370" w:type="dxa"/>
            <w:tcBorders>
              <w:bottom w:val="single" w:sz="2" w:space="0" w:color="000000"/>
            </w:tcBorders>
            <w:tcMar>
              <w:bottom w:w="28" w:type="dxa"/>
            </w:tcMar>
          </w:tcPr>
          <w:p>
            <w:pPr>
              <w:pStyle w:val="TableContents"/>
              <w:bidi w:val="0"/>
              <w:spacing w:before="0" w:after="283"/>
              <w:jc w:val="center"/>
              <w:rPr/>
            </w:pPr>
            <w:r>
              <w:rPr/>
              <w:t>2</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tcPr>
          <w:p>
            <w:pPr>
              <w:pStyle w:val="TableContents"/>
              <w:bidi w:val="0"/>
              <w:spacing w:before="0" w:after="283"/>
              <w:jc w:val="left"/>
              <w:rPr/>
            </w:pPr>
            <w:r>
              <w:rPr/>
              <w:t> </w:t>
            </w:r>
          </w:p>
        </w:tc>
        <w:tc>
          <w:tcPr>
            <w:tcW w:w="623" w:type="dxa"/>
            <w:tcBorders>
              <w:bottom w:val="single" w:sz="2" w:space="0" w:color="000000"/>
            </w:tcBorders>
            <w:tcMar>
              <w:bottom w:w="28" w:type="dxa"/>
            </w:tcMar>
          </w:tcPr>
          <w:p>
            <w:pPr>
              <w:pStyle w:val="TableContents"/>
              <w:bidi w:val="0"/>
              <w:spacing w:before="0" w:after="283"/>
              <w:jc w:val="center"/>
              <w:rPr/>
            </w:pPr>
            <w:r>
              <w:rPr/>
              <w:t>—</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tcMar>
              <w:bottom w:w="28" w:type="dxa"/>
            </w:tcMar>
          </w:tcPr>
          <w:p>
            <w:pPr>
              <w:pStyle w:val="TableContents"/>
              <w:bidi w:val="0"/>
              <w:spacing w:before="0" w:after="283"/>
              <w:jc w:val="left"/>
              <w:rPr/>
            </w:pPr>
            <w:r>
              <w:rPr/>
              <w:t> </w:t>
            </w:r>
          </w:p>
        </w:tc>
        <w:tc>
          <w:tcPr>
            <w:tcW w:w="772" w:type="dxa"/>
            <w:tcBorders>
              <w:bottom w:val="single" w:sz="2" w:space="0" w:color="000000"/>
            </w:tcBorders>
            <w:tcMar>
              <w:bottom w:w="28" w:type="dxa"/>
            </w:tcMar>
          </w:tcPr>
          <w:p>
            <w:pPr>
              <w:pStyle w:val="TableContents"/>
              <w:bidi w:val="0"/>
              <w:spacing w:before="0" w:after="283"/>
              <w:jc w:val="center"/>
              <w:rPr/>
            </w:pPr>
            <w:r>
              <w:rPr/>
              <w:t>—</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297"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28" w:type="dxa"/>
            </w:tcMar>
          </w:tcPr>
          <w:p>
            <w:pPr>
              <w:pStyle w:val="TableContents"/>
              <w:bidi w:val="0"/>
              <w:spacing w:before="0" w:after="283"/>
              <w:jc w:val="left"/>
              <w:rPr/>
            </w:pPr>
            <w:r>
              <w:rPr/>
              <w:t> </w:t>
            </w:r>
          </w:p>
        </w:tc>
        <w:tc>
          <w:tcPr>
            <w:tcW w:w="531" w:type="dxa"/>
            <w:tcBorders>
              <w:bottom w:val="single" w:sz="2" w:space="0" w:color="000000"/>
            </w:tcBorders>
            <w:tcMar>
              <w:bottom w:w="28" w:type="dxa"/>
            </w:tcMar>
          </w:tcPr>
          <w:p>
            <w:pPr>
              <w:pStyle w:val="TableContents"/>
              <w:bidi w:val="0"/>
              <w:spacing w:before="0" w:after="283"/>
              <w:jc w:val="center"/>
              <w:rPr/>
            </w:pPr>
            <w:r>
              <w:rPr/>
              <w:t>—</w:t>
            </w:r>
          </w:p>
        </w:tc>
        <w:tc>
          <w:tcPr>
            <w:tcW w:w="104"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tcMar>
              <w:bottom w:w="28" w:type="dxa"/>
            </w:tcMar>
          </w:tcPr>
          <w:p>
            <w:pPr>
              <w:pStyle w:val="TableContents"/>
              <w:bidi w:val="0"/>
              <w:spacing w:before="0" w:after="283"/>
              <w:jc w:val="left"/>
              <w:rPr/>
            </w:pPr>
            <w:r>
              <w:rPr/>
              <w:t> </w:t>
            </w:r>
          </w:p>
        </w:tc>
        <w:tc>
          <w:tcPr>
            <w:tcW w:w="990" w:type="dxa"/>
            <w:tcBorders>
              <w:bottom w:val="single" w:sz="2" w:space="0" w:color="000000"/>
            </w:tcBorders>
            <w:tcMar>
              <w:bottom w:w="28" w:type="dxa"/>
            </w:tcMar>
          </w:tcPr>
          <w:p>
            <w:pPr>
              <w:pStyle w:val="TableContents"/>
              <w:bidi w:val="0"/>
              <w:spacing w:before="0" w:after="283"/>
              <w:jc w:val="center"/>
              <w:rPr/>
            </w:pPr>
            <w:r>
              <w:rPr/>
              <w:t>3,687</w:t>
            </w:r>
          </w:p>
        </w:tc>
        <w:tc>
          <w:tcPr>
            <w:tcW w:w="129"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tcMar>
              <w:bottom w:w="28" w:type="dxa"/>
            </w:tcMar>
          </w:tcPr>
          <w:p>
            <w:pPr>
              <w:pStyle w:val="TableContents"/>
              <w:bidi w:val="0"/>
              <w:spacing w:before="0" w:after="283"/>
              <w:jc w:val="left"/>
              <w:rPr/>
            </w:pPr>
            <w:r>
              <w:rPr/>
              <w:t> </w:t>
            </w:r>
          </w:p>
        </w:tc>
        <w:tc>
          <w:tcPr>
            <w:tcW w:w="1221" w:type="dxa"/>
            <w:tcBorders>
              <w:bottom w:val="single" w:sz="2" w:space="0" w:color="000000"/>
            </w:tcBorders>
            <w:tcMar>
              <w:bottom w:w="28" w:type="dxa"/>
            </w:tcMar>
          </w:tcPr>
          <w:p>
            <w:pPr>
              <w:pStyle w:val="TableContents"/>
              <w:bidi w:val="0"/>
              <w:spacing w:before="0" w:after="283"/>
              <w:jc w:val="center"/>
              <w:rPr/>
            </w:pPr>
            <w:r>
              <w:rPr/>
              <w:t>2</w:t>
            </w:r>
          </w:p>
        </w:tc>
        <w:tc>
          <w:tcPr>
            <w:tcW w:w="140" w:type="dxa"/>
            <w:tcBorders>
              <w:bottom w:val="single" w:sz="2" w:space="0" w:color="000000"/>
            </w:tcBorders>
            <w:tcMar>
              <w:bottom w:w="28" w:type="dxa"/>
            </w:tcMar>
          </w:tcPr>
          <w:p>
            <w:pPr>
              <w:pStyle w:val="TableContents"/>
              <w:bidi w:val="0"/>
              <w:spacing w:before="0" w:after="283"/>
              <w:jc w:val="left"/>
              <w:rPr/>
            </w:pPr>
            <w:r>
              <w:rPr/>
              <w:t> </w:t>
            </w:r>
          </w:p>
        </w:tc>
      </w:tr>
      <w:tr>
        <w:trPr/>
        <w:tc>
          <w:tcPr>
            <w:tcW w:w="40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drawing>
                <wp:inline distT="0" distB="0" distL="0" distR="0">
                  <wp:extent cx="176530" cy="4108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6530" cy="410845"/>
                          </a:xfrm>
                          <a:prstGeom prst="rect">
                            <a:avLst/>
                          </a:prstGeom>
                        </pic:spPr>
                      </pic:pic>
                    </a:graphicData>
                  </a:graphic>
                </wp:inline>
              </w:drawing>
            </w:r>
            <w:r>
              <w:rPr/>
              <w:t xml:space="preserve"> </w:t>
            </w:r>
          </w:p>
        </w:tc>
        <w:tc>
          <w:tcPr>
            <w:tcW w:w="129"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shd w:fill="CCEEFF" w:val="clear"/>
            <w:vAlign w:val="bottom"/>
          </w:tcPr>
          <w:p>
            <w:pPr>
              <w:pStyle w:val="TableContents"/>
              <w:bidi w:val="0"/>
              <w:spacing w:before="0" w:after="283"/>
              <w:jc w:val="left"/>
              <w:rPr/>
            </w:pPr>
            <w:r>
              <w:rPr/>
              <w:t> </w:t>
            </w:r>
          </w:p>
        </w:tc>
        <w:tc>
          <w:tcPr>
            <w:tcW w:w="1909" w:type="dxa"/>
            <w:tcBorders/>
            <w:shd w:fill="CCEEFF" w:val="clear"/>
          </w:tcPr>
          <w:p>
            <w:pPr>
              <w:pStyle w:val="TableContents"/>
              <w:bidi w:val="0"/>
              <w:spacing w:before="0" w:after="283"/>
              <w:jc w:val="left"/>
              <w:rPr/>
            </w:pPr>
            <w:r>
              <w:rPr/>
              <w:t>HOS 250</w:t>
            </w:r>
          </w:p>
        </w:tc>
        <w:tc>
          <w:tcPr>
            <w:tcW w:w="185" w:type="dxa"/>
            <w:tcBorders/>
            <w:shd w:fill="CCEEFF" w:val="clear"/>
            <w:vAlign w:val="bottom"/>
          </w:tcPr>
          <w:p>
            <w:pPr>
              <w:pStyle w:val="TableContents"/>
              <w:bidi w:val="0"/>
              <w:spacing w:before="0" w:after="283"/>
              <w:jc w:val="left"/>
              <w:rPr/>
            </w:pPr>
            <w:r>
              <w:rPr/>
              <w:t>  </w:t>
            </w:r>
          </w:p>
        </w:tc>
        <w:tc>
          <w:tcPr>
            <w:tcW w:w="85" w:type="dxa"/>
            <w:tcBorders/>
            <w:shd w:fill="CCEEFF" w:val="clear"/>
          </w:tcPr>
          <w:p>
            <w:pPr>
              <w:pStyle w:val="TableContents"/>
              <w:bidi w:val="0"/>
              <w:spacing w:before="0" w:after="283"/>
              <w:jc w:val="left"/>
              <w:rPr/>
            </w:pPr>
            <w:r>
              <w:rPr/>
              <w:t> </w:t>
            </w:r>
          </w:p>
        </w:tc>
        <w:tc>
          <w:tcPr>
            <w:tcW w:w="370" w:type="dxa"/>
            <w:tcBorders/>
            <w:shd w:fill="CCEEFF" w:val="clear"/>
          </w:tcPr>
          <w:p>
            <w:pPr>
              <w:pStyle w:val="TableContents"/>
              <w:bidi w:val="0"/>
              <w:spacing w:before="0" w:after="283"/>
              <w:jc w:val="center"/>
              <w:rPr/>
            </w:pPr>
            <w:r>
              <w:rPr/>
              <w:t>3</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pPr>
            <w:r>
              <w:rPr/>
              <w:t> </w:t>
            </w:r>
          </w:p>
        </w:tc>
        <w:tc>
          <w:tcPr>
            <w:tcW w:w="623"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pPr>
            <w:r>
              <w:rPr/>
              <w:t> </w:t>
            </w:r>
          </w:p>
        </w:tc>
        <w:tc>
          <w:tcPr>
            <w:tcW w:w="772"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pPr>
            <w:r>
              <w:rPr/>
              <w:t> </w:t>
            </w:r>
          </w:p>
        </w:tc>
        <w:tc>
          <w:tcPr>
            <w:tcW w:w="531" w:type="dxa"/>
            <w:tcBorders/>
            <w:shd w:fill="CCEEFF" w:val="clear"/>
          </w:tcPr>
          <w:p>
            <w:pPr>
              <w:pStyle w:val="TableContents"/>
              <w:bidi w:val="0"/>
              <w:spacing w:before="0" w:after="283"/>
              <w:jc w:val="center"/>
              <w:rPr/>
            </w:pPr>
            <w:r>
              <w:rPr/>
              <w:t>—</w:t>
            </w:r>
          </w:p>
        </w:tc>
        <w:tc>
          <w:tcPr>
            <w:tcW w:w="104"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tcPr>
          <w:p>
            <w:pPr>
              <w:pStyle w:val="TableContents"/>
              <w:bidi w:val="0"/>
              <w:spacing w:before="0" w:after="283"/>
              <w:jc w:val="left"/>
              <w:rPr/>
            </w:pPr>
            <w:r>
              <w:rPr/>
              <w:t> </w:t>
            </w:r>
          </w:p>
        </w:tc>
        <w:tc>
          <w:tcPr>
            <w:tcW w:w="990" w:type="dxa"/>
            <w:tcBorders/>
            <w:shd w:fill="CCEEFF" w:val="clear"/>
          </w:tcPr>
          <w:p>
            <w:pPr>
              <w:pStyle w:val="TableContents"/>
              <w:bidi w:val="0"/>
              <w:spacing w:before="0" w:after="283"/>
              <w:jc w:val="center"/>
              <w:rPr/>
            </w:pPr>
            <w:r>
              <w:rPr/>
              <w:t>2,713</w:t>
            </w:r>
          </w:p>
        </w:tc>
        <w:tc>
          <w:tcPr>
            <w:tcW w:w="129"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tcPr>
          <w:p>
            <w:pPr>
              <w:pStyle w:val="TableContents"/>
              <w:bidi w:val="0"/>
              <w:spacing w:before="0" w:after="283"/>
              <w:jc w:val="left"/>
              <w:rPr/>
            </w:pPr>
            <w:r>
              <w:rPr/>
              <w:t> </w:t>
            </w:r>
          </w:p>
        </w:tc>
        <w:tc>
          <w:tcPr>
            <w:tcW w:w="1221" w:type="dxa"/>
            <w:tcBorders/>
            <w:shd w:fill="CCEEFF" w:val="clear"/>
          </w:tcPr>
          <w:p>
            <w:pPr>
              <w:pStyle w:val="TableContents"/>
              <w:bidi w:val="0"/>
              <w:spacing w:before="0" w:after="283"/>
              <w:jc w:val="center"/>
              <w:rPr/>
            </w:pPr>
            <w:r>
              <w:rPr/>
              <w:t>3</w:t>
            </w:r>
          </w:p>
        </w:tc>
        <w:tc>
          <w:tcPr>
            <w:tcW w:w="140" w:type="dxa"/>
            <w:tcBorders/>
            <w:shd w:fill="CCEEFF" w:val="clear"/>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29" w:type="dxa"/>
            <w:tcBorders/>
            <w:vAlign w:val="bottom"/>
          </w:tcPr>
          <w:p>
            <w:pPr>
              <w:pStyle w:val="TableContents"/>
              <w:bidi w:val="0"/>
              <w:spacing w:before="0" w:after="283"/>
              <w:jc w:val="left"/>
              <w:rPr/>
            </w:pPr>
            <w:r>
              <w:rPr/>
              <w:t> </w:t>
            </w:r>
          </w:p>
        </w:tc>
        <w:tc>
          <w:tcPr>
            <w:tcW w:w="1909" w:type="dxa"/>
            <w:tcBorders/>
            <w:vAlign w:val="center"/>
          </w:tcPr>
          <w:p>
            <w:pPr>
              <w:pStyle w:val="TableContents"/>
              <w:bidi w:val="0"/>
              <w:spacing w:before="0" w:after="283"/>
              <w:jc w:val="left"/>
              <w:rPr/>
            </w:pPr>
            <w:r>
              <w:rPr/>
              <w:t>HOS 240</w:t>
            </w:r>
          </w:p>
        </w:tc>
        <w:tc>
          <w:tcPr>
            <w:tcW w:w="185" w:type="dxa"/>
            <w:tcBorders/>
            <w:vAlign w:val="bottom"/>
          </w:tcPr>
          <w:p>
            <w:pPr>
              <w:pStyle w:val="TableContents"/>
              <w:bidi w:val="0"/>
              <w:spacing w:before="0" w:after="283"/>
              <w:jc w:val="left"/>
              <w:rPr/>
            </w:pPr>
            <w:r>
              <w:rPr/>
              <w:t>  </w:t>
            </w:r>
          </w:p>
        </w:tc>
        <w:tc>
          <w:tcPr>
            <w:tcW w:w="85" w:type="dxa"/>
            <w:tcBorders/>
          </w:tcPr>
          <w:p>
            <w:pPr>
              <w:pStyle w:val="TableContents"/>
              <w:bidi w:val="0"/>
              <w:spacing w:before="0" w:after="283"/>
              <w:jc w:val="left"/>
              <w:rPr/>
            </w:pPr>
            <w:r>
              <w:rPr/>
              <w:t> </w:t>
            </w:r>
          </w:p>
        </w:tc>
        <w:tc>
          <w:tcPr>
            <w:tcW w:w="370" w:type="dxa"/>
            <w:tcBorders/>
          </w:tcPr>
          <w:p>
            <w:pPr>
              <w:pStyle w:val="TableContents"/>
              <w:bidi w:val="0"/>
              <w:spacing w:before="0" w:after="283"/>
              <w:jc w:val="center"/>
              <w:rPr/>
            </w:pPr>
            <w:r>
              <w:rPr/>
              <w:t>12</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623" w:type="dxa"/>
            <w:tcBorders/>
          </w:tcPr>
          <w:p>
            <w:pPr>
              <w:pStyle w:val="TableContents"/>
              <w:bidi w:val="0"/>
              <w:spacing w:before="0" w:after="283"/>
              <w:jc w:val="center"/>
              <w:rPr/>
            </w:pPr>
            <w:r>
              <w:rPr/>
              <w:t>2</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w:t>
            </w:r>
          </w:p>
        </w:tc>
        <w:tc>
          <w:tcPr>
            <w:tcW w:w="60" w:type="dxa"/>
            <w:tcBorders/>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31" w:type="dxa"/>
            <w:tcBorders/>
          </w:tcPr>
          <w:p>
            <w:pPr>
              <w:pStyle w:val="TableContents"/>
              <w:bidi w:val="0"/>
              <w:spacing w:before="0" w:after="283"/>
              <w:jc w:val="center"/>
              <w:rPr/>
            </w:pPr>
            <w:r>
              <w:rPr/>
              <w:t>—</w:t>
            </w:r>
          </w:p>
        </w:tc>
        <w:tc>
          <w:tcPr>
            <w:tcW w:w="104"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990" w:type="dxa"/>
            <w:tcBorders/>
          </w:tcPr>
          <w:p>
            <w:pPr>
              <w:pStyle w:val="TableContents"/>
              <w:bidi w:val="0"/>
              <w:spacing w:before="0" w:after="283"/>
              <w:jc w:val="center"/>
              <w:rPr/>
            </w:pPr>
            <w:r>
              <w:rPr/>
              <w:t>2,712</w:t>
            </w:r>
          </w:p>
        </w:tc>
        <w:tc>
          <w:tcPr>
            <w:tcW w:w="129"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tcPr>
          <w:p>
            <w:pPr>
              <w:pStyle w:val="TableContents"/>
              <w:bidi w:val="0"/>
              <w:spacing w:before="0" w:after="283"/>
              <w:jc w:val="left"/>
              <w:rPr/>
            </w:pPr>
            <w:r>
              <w:rPr/>
              <w:t> </w:t>
            </w:r>
          </w:p>
        </w:tc>
        <w:tc>
          <w:tcPr>
            <w:tcW w:w="1221" w:type="dxa"/>
            <w:tcBorders/>
          </w:tcPr>
          <w:p>
            <w:pPr>
              <w:pStyle w:val="TableContents"/>
              <w:bidi w:val="0"/>
              <w:spacing w:before="0" w:after="283"/>
              <w:jc w:val="center"/>
              <w:rPr/>
            </w:pPr>
            <w:r>
              <w:rPr/>
              <w:t>14</w:t>
            </w:r>
          </w:p>
        </w:tc>
        <w:tc>
          <w:tcPr>
            <w:tcW w:w="140" w:type="dxa"/>
            <w:tcBorders/>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09" w:type="dxa"/>
            <w:tcBorders>
              <w:bottom w:val="single" w:sz="2" w:space="0" w:color="000000"/>
            </w:tcBorders>
            <w:shd w:fill="CCEEFF" w:val="clear"/>
            <w:tcMar>
              <w:bottom w:w="28" w:type="dxa"/>
            </w:tcMar>
          </w:tcPr>
          <w:p>
            <w:pPr>
              <w:pStyle w:val="TableContents"/>
              <w:bidi w:val="0"/>
              <w:spacing w:before="0" w:after="283"/>
              <w:jc w:val="left"/>
              <w:rPr/>
            </w:pPr>
            <w:r>
              <w:rPr/>
              <w:t>HOS 200</w:t>
            </w:r>
          </w:p>
        </w:tc>
        <w:tc>
          <w:tcPr>
            <w:tcW w:w="18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70"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623"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tcPr>
          <w:p>
            <w:pPr>
              <w:pStyle w:val="TableContents"/>
              <w:bidi w:val="0"/>
              <w:spacing w:before="0" w:after="283"/>
              <w:jc w:val="center"/>
              <w:rPr/>
            </w:pPr>
            <w:r>
              <w:rPr/>
              <w:t>2</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531"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04"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990" w:type="dxa"/>
            <w:tcBorders>
              <w:bottom w:val="single" w:sz="2" w:space="0" w:color="000000"/>
            </w:tcBorders>
            <w:shd w:fill="CCEEFF" w:val="clear"/>
            <w:tcMar>
              <w:bottom w:w="28" w:type="dxa"/>
            </w:tcMar>
          </w:tcPr>
          <w:p>
            <w:pPr>
              <w:pStyle w:val="TableContents"/>
              <w:bidi w:val="0"/>
              <w:spacing w:before="0" w:after="283"/>
              <w:jc w:val="center"/>
              <w:rPr/>
            </w:pPr>
            <w:r>
              <w:rPr/>
              <w:t>1,729</w:t>
            </w:r>
          </w:p>
        </w:tc>
        <w:tc>
          <w:tcPr>
            <w:tcW w:w="129"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1221" w:type="dxa"/>
            <w:tcBorders>
              <w:bottom w:val="single" w:sz="2" w:space="0" w:color="000000"/>
            </w:tcBorders>
            <w:shd w:fill="CCEEFF" w:val="clear"/>
            <w:tcMar>
              <w:bottom w:w="28" w:type="dxa"/>
            </w:tcMar>
          </w:tcPr>
          <w:p>
            <w:pPr>
              <w:pStyle w:val="TableContents"/>
              <w:bidi w:val="0"/>
              <w:spacing w:before="0" w:after="283"/>
              <w:jc w:val="center"/>
              <w:rPr/>
            </w:pPr>
            <w:r>
              <w:rPr/>
              <w:t>2</w:t>
            </w:r>
          </w:p>
        </w:tc>
        <w:tc>
          <w:tcPr>
            <w:tcW w:w="140" w:type="dxa"/>
            <w:tcBorders>
              <w:bottom w:val="single" w:sz="2" w:space="0" w:color="000000"/>
            </w:tcBorders>
            <w:shd w:fill="CCEEFF" w:val="clear"/>
            <w:tcMar>
              <w:bottom w:w="28" w:type="dxa"/>
            </w:tcMar>
          </w:tcPr>
          <w:p>
            <w:pPr>
              <w:pStyle w:val="TableContents"/>
              <w:bidi w:val="0"/>
              <w:spacing w:before="0" w:after="283"/>
              <w:jc w:val="left"/>
              <w:rPr/>
            </w:pPr>
            <w:r>
              <w:rPr/>
              <w:t> </w:t>
            </w:r>
          </w:p>
        </w:tc>
      </w:tr>
      <w:tr>
        <w:trPr>
          <w:trHeight w:val="75" w:hRule="atLeast"/>
        </w:trPr>
        <w:tc>
          <w:tcPr>
            <w:tcW w:w="2443" w:type="dxa"/>
            <w:gridSpan w:val="3"/>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350"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921" w:type="dxa"/>
            <w:gridSpan w:val="4"/>
            <w:tcBorders/>
            <w:vAlign w:val="center"/>
          </w:tcPr>
          <w:p>
            <w:pPr>
              <w:pStyle w:val="TableContents"/>
              <w:bidi w:val="0"/>
              <w:spacing w:before="0" w:after="283"/>
              <w:jc w:val="left"/>
              <w:rPr>
                <w:sz w:val="4"/>
                <w:szCs w:val="4"/>
              </w:rPr>
            </w:pPr>
            <w:r>
              <w:rPr>
                <w:sz w:val="4"/>
                <w:szCs w:val="4"/>
              </w:rPr>
            </w:r>
          </w:p>
        </w:tc>
      </w:tr>
      <w:tr>
        <w:trPr/>
        <w:tc>
          <w:tcPr>
            <w:tcW w:w="2443" w:type="dxa"/>
            <w:gridSpan w:val="3"/>
            <w:tcBorders>
              <w:bottom w:val="single" w:sz="2" w:space="0" w:color="000000"/>
            </w:tcBorders>
            <w:tcMar>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Total Owned OSVs</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tcMar>
              <w:bottom w:w="28" w:type="dxa"/>
            </w:tcMar>
          </w:tcPr>
          <w:p>
            <w:pPr>
              <w:pStyle w:val="TableContents"/>
              <w:bidi w:val="0"/>
              <w:spacing w:before="0" w:after="283"/>
              <w:jc w:val="left"/>
              <w:rPr/>
            </w:pPr>
            <w:r>
              <w:rPr/>
              <w:t> </w:t>
            </w:r>
          </w:p>
        </w:tc>
        <w:tc>
          <w:tcPr>
            <w:tcW w:w="370" w:type="dxa"/>
            <w:tcBorders>
              <w:bottom w:val="single" w:sz="2" w:space="0" w:color="000000"/>
            </w:tcBorders>
            <w:tcMar>
              <w:bottom w:w="28" w:type="dxa"/>
            </w:tcMar>
          </w:tcPr>
          <w:p>
            <w:pPr>
              <w:pStyle w:val="TableContents"/>
              <w:bidi w:val="0"/>
              <w:spacing w:before="0" w:after="283"/>
              <w:jc w:val="center"/>
              <w:rPr>
                <w:b/>
              </w:rPr>
            </w:pPr>
            <w:r>
              <w:rPr>
                <w:b/>
              </w:rPr>
              <w:t>45</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tcPr>
          <w:p>
            <w:pPr>
              <w:pStyle w:val="TableContents"/>
              <w:bidi w:val="0"/>
              <w:spacing w:before="0" w:after="283"/>
              <w:jc w:val="left"/>
              <w:rPr/>
            </w:pPr>
            <w:r>
              <w:rPr/>
              <w:t> </w:t>
            </w:r>
          </w:p>
        </w:tc>
        <w:tc>
          <w:tcPr>
            <w:tcW w:w="623" w:type="dxa"/>
            <w:tcBorders>
              <w:bottom w:val="single" w:sz="2" w:space="0" w:color="000000"/>
            </w:tcBorders>
            <w:tcMar>
              <w:bottom w:w="28" w:type="dxa"/>
            </w:tcMar>
          </w:tcPr>
          <w:p>
            <w:pPr>
              <w:pStyle w:val="TableContents"/>
              <w:bidi w:val="0"/>
              <w:spacing w:before="0" w:after="283"/>
              <w:jc w:val="center"/>
              <w:rPr>
                <w:b/>
              </w:rPr>
            </w:pPr>
            <w:r>
              <w:rPr>
                <w:b/>
              </w:rPr>
              <w:t>10</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tcMar>
              <w:bottom w:w="28" w:type="dxa"/>
            </w:tcMar>
          </w:tcPr>
          <w:p>
            <w:pPr>
              <w:pStyle w:val="TableContents"/>
              <w:bidi w:val="0"/>
              <w:spacing w:before="0" w:after="283"/>
              <w:jc w:val="left"/>
              <w:rPr/>
            </w:pPr>
            <w:r>
              <w:rPr/>
              <w:t> </w:t>
            </w:r>
          </w:p>
        </w:tc>
        <w:tc>
          <w:tcPr>
            <w:tcW w:w="772" w:type="dxa"/>
            <w:tcBorders>
              <w:bottom w:val="single" w:sz="2" w:space="0" w:color="000000"/>
            </w:tcBorders>
            <w:tcMar>
              <w:bottom w:w="28" w:type="dxa"/>
            </w:tcMar>
          </w:tcPr>
          <w:p>
            <w:pPr>
              <w:pStyle w:val="TableContents"/>
              <w:bidi w:val="0"/>
              <w:spacing w:before="0" w:after="283"/>
              <w:jc w:val="center"/>
              <w:rPr>
                <w:b/>
              </w:rPr>
            </w:pPr>
            <w:r>
              <w:rPr>
                <w:b/>
              </w:rPr>
              <w:t>2</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297"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28" w:type="dxa"/>
            </w:tcMar>
          </w:tcPr>
          <w:p>
            <w:pPr>
              <w:pStyle w:val="TableContents"/>
              <w:bidi w:val="0"/>
              <w:spacing w:before="0" w:after="283"/>
              <w:jc w:val="left"/>
              <w:rPr/>
            </w:pPr>
            <w:r>
              <w:rPr/>
              <w:t> </w:t>
            </w:r>
          </w:p>
        </w:tc>
        <w:tc>
          <w:tcPr>
            <w:tcW w:w="531" w:type="dxa"/>
            <w:tcBorders>
              <w:bottom w:val="single" w:sz="2" w:space="0" w:color="000000"/>
            </w:tcBorders>
            <w:tcMar>
              <w:bottom w:w="28" w:type="dxa"/>
            </w:tcMar>
          </w:tcPr>
          <w:p>
            <w:pPr>
              <w:pStyle w:val="TableContents"/>
              <w:bidi w:val="0"/>
              <w:spacing w:before="0" w:after="283"/>
              <w:jc w:val="center"/>
              <w:rPr>
                <w:b/>
              </w:rPr>
            </w:pPr>
            <w:r>
              <w:rPr>
                <w:b/>
              </w:rPr>
              <w:t>2</w:t>
            </w:r>
          </w:p>
        </w:tc>
        <w:tc>
          <w:tcPr>
            <w:tcW w:w="104"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tcMar>
              <w:bottom w:w="28" w:type="dxa"/>
            </w:tcMar>
          </w:tcPr>
          <w:p>
            <w:pPr>
              <w:pStyle w:val="TableContents"/>
              <w:bidi w:val="0"/>
              <w:spacing w:before="0" w:after="283"/>
              <w:jc w:val="left"/>
              <w:rPr/>
            </w:pPr>
            <w:r>
              <w:rPr/>
              <w:t> </w:t>
            </w:r>
          </w:p>
        </w:tc>
        <w:tc>
          <w:tcPr>
            <w:tcW w:w="990" w:type="dxa"/>
            <w:tcBorders>
              <w:bottom w:val="single" w:sz="2" w:space="0" w:color="000000"/>
            </w:tcBorders>
            <w:tcMar>
              <w:bottom w:w="28" w:type="dxa"/>
            </w:tcMar>
          </w:tcPr>
          <w:p>
            <w:pPr>
              <w:pStyle w:val="TableContents"/>
              <w:bidi w:val="0"/>
              <w:spacing w:before="0" w:after="283"/>
              <w:jc w:val="center"/>
              <w:rPr/>
            </w:pPr>
            <w:r>
              <w:rPr/>
              <w:t>—</w:t>
            </w:r>
          </w:p>
        </w:tc>
        <w:tc>
          <w:tcPr>
            <w:tcW w:w="129"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tcMar>
              <w:bottom w:w="28" w:type="dxa"/>
            </w:tcMar>
          </w:tcPr>
          <w:p>
            <w:pPr>
              <w:pStyle w:val="TableContents"/>
              <w:bidi w:val="0"/>
              <w:spacing w:before="0" w:after="283"/>
              <w:jc w:val="left"/>
              <w:rPr/>
            </w:pPr>
            <w:r>
              <w:rPr/>
              <w:t> </w:t>
            </w:r>
          </w:p>
        </w:tc>
        <w:tc>
          <w:tcPr>
            <w:tcW w:w="1221" w:type="dxa"/>
            <w:tcBorders>
              <w:bottom w:val="single" w:sz="2" w:space="0" w:color="000000"/>
            </w:tcBorders>
            <w:tcMar>
              <w:bottom w:w="28" w:type="dxa"/>
            </w:tcMar>
          </w:tcPr>
          <w:p>
            <w:pPr>
              <w:pStyle w:val="TableContents"/>
              <w:bidi w:val="0"/>
              <w:spacing w:before="0" w:after="283"/>
              <w:jc w:val="center"/>
              <w:rPr>
                <w:b/>
              </w:rPr>
            </w:pPr>
            <w:r>
              <w:rPr>
                <w:b/>
              </w:rPr>
              <w:t>59(2)</w:t>
            </w:r>
          </w:p>
        </w:tc>
        <w:tc>
          <w:tcPr>
            <w:tcW w:w="140"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05" w:type="dxa"/>
            <w:tcBorders>
              <w:right w:val="single" w:sz="2" w:space="0" w:color="00000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350"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921" w:type="dxa"/>
            <w:gridSpan w:val="4"/>
            <w:tcBorders/>
            <w:vAlign w:val="center"/>
          </w:tcPr>
          <w:p>
            <w:pPr>
              <w:pStyle w:val="TableContents"/>
              <w:bidi w:val="0"/>
              <w:spacing w:before="0" w:after="283"/>
              <w:jc w:val="left"/>
              <w:rPr>
                <w:sz w:val="4"/>
                <w:szCs w:val="4"/>
              </w:rPr>
            </w:pPr>
            <w:r>
              <w:rPr>
                <w:sz w:val="4"/>
                <w:szCs w:val="4"/>
              </w:rPr>
            </w:r>
          </w:p>
        </w:tc>
      </w:tr>
      <w:tr>
        <w:trPr/>
        <w:tc>
          <w:tcPr>
            <w:tcW w:w="405" w:type="dxa"/>
            <w:tcBorders>
              <w:bottom w:val="single" w:sz="2" w:space="0" w:color="000000"/>
              <w:right w:val="single" w:sz="2" w:space="0" w:color="000000"/>
            </w:tcBorders>
            <w:shd w:fill="CCEEFF" w:val="clear"/>
            <w:tcMar>
              <w:bottom w:w="28" w:type="dxa"/>
              <w:right w:w="28" w:type="dxa"/>
            </w:tcMa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33985" cy="51498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3985" cy="514985"/>
                          </a:xfrm>
                          <a:prstGeom prst="rect">
                            <a:avLst/>
                          </a:prstGeom>
                        </pic:spPr>
                      </pic:pic>
                    </a:graphicData>
                  </a:graphic>
                </wp:inline>
              </w:drawing>
            </w:r>
            <w:r>
              <w:rPr/>
              <w:t xml:space="preserve"> </w:t>
            </w:r>
          </w:p>
          <w:p>
            <w:pPr>
              <w:pStyle w:val="TableContents"/>
              <w:bidi w:val="0"/>
              <w:spacing w:before="0" w:after="20"/>
              <w:jc w:val="left"/>
              <w:rPr/>
            </w:pPr>
            <w:r>
              <w:rPr/>
              <w:t> </w:t>
            </w:r>
          </w:p>
        </w:tc>
        <w:tc>
          <w:tcPr>
            <w:tcW w:w="12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09" w:type="dxa"/>
            <w:tcBorders>
              <w:bottom w:val="single" w:sz="2" w:space="0" w:color="000000"/>
            </w:tcBorders>
            <w:shd w:fill="CCEEFF" w:val="clear"/>
            <w:tcMar>
              <w:bottom w:w="28" w:type="dxa"/>
            </w:tcMar>
            <w:vAlign w:val="center"/>
          </w:tcPr>
          <w:p>
            <w:pPr>
              <w:pStyle w:val="TableContents"/>
              <w:bidi w:val="0"/>
              <w:spacing w:before="0" w:after="283"/>
              <w:jc w:val="left"/>
              <w:rPr/>
            </w:pPr>
            <w:r>
              <w:rPr/>
              <w:t>USN T-AGSE</w:t>
            </w:r>
          </w:p>
        </w:tc>
        <w:tc>
          <w:tcPr>
            <w:tcW w:w="18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283"/>
              <w:jc w:val="center"/>
              <w:rPr/>
            </w:pPr>
            <w:r>
              <w:rPr/>
              <w:t>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283"/>
              <w:jc w:val="center"/>
              <w:rPr/>
            </w:pPr>
            <w:r>
              <w:rPr/>
              <w:t>—</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jc w:val="center"/>
              <w:rPr/>
            </w:pPr>
            <w:r>
              <w:rPr/>
              <w:t>DP-2</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283"/>
              <w:jc w:val="center"/>
              <w:rPr/>
            </w:pPr>
            <w:r>
              <w:rPr/>
              <w:t>4(3)</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rHeight w:val="75" w:hRule="atLeast"/>
        </w:trPr>
        <w:tc>
          <w:tcPr>
            <w:tcW w:w="2443" w:type="dxa"/>
            <w:gridSpan w:val="3"/>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350"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921" w:type="dxa"/>
            <w:gridSpan w:val="4"/>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Total Operated OSVs</w:t>
            </w:r>
          </w:p>
        </w:tc>
        <w:tc>
          <w:tcPr>
            <w:tcW w:w="185" w:type="dxa"/>
            <w:tcBorders/>
            <w:vAlign w:val="bottom"/>
          </w:tcPr>
          <w:p>
            <w:pPr>
              <w:pStyle w:val="TableContents"/>
              <w:bidi w:val="0"/>
              <w:spacing w:before="0" w:after="283"/>
              <w:jc w:val="left"/>
              <w:rPr/>
            </w:pPr>
            <w:r>
              <w:rPr/>
              <w:t>  </w:t>
            </w:r>
          </w:p>
        </w:tc>
        <w:tc>
          <w:tcPr>
            <w:tcW w:w="85" w:type="dxa"/>
            <w:tcBorders/>
          </w:tcPr>
          <w:p>
            <w:pPr>
              <w:pStyle w:val="TableContents"/>
              <w:bidi w:val="0"/>
              <w:spacing w:before="0" w:after="283"/>
              <w:jc w:val="left"/>
              <w:rPr/>
            </w:pPr>
            <w:r>
              <w:rPr/>
              <w:t> </w:t>
            </w:r>
          </w:p>
        </w:tc>
        <w:tc>
          <w:tcPr>
            <w:tcW w:w="370" w:type="dxa"/>
            <w:tcBorders/>
          </w:tcPr>
          <w:p>
            <w:pPr>
              <w:pStyle w:val="TableContents"/>
              <w:bidi w:val="0"/>
              <w:spacing w:before="0" w:after="283"/>
              <w:jc w:val="center"/>
              <w:rPr>
                <w:b/>
              </w:rPr>
            </w:pPr>
            <w:r>
              <w:rPr>
                <w:b/>
              </w:rPr>
              <w:t>49</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623" w:type="dxa"/>
            <w:tcBorders/>
          </w:tcPr>
          <w:p>
            <w:pPr>
              <w:pStyle w:val="TableContents"/>
              <w:bidi w:val="0"/>
              <w:spacing w:before="0" w:after="283"/>
              <w:jc w:val="center"/>
              <w:rPr>
                <w:b/>
              </w:rPr>
            </w:pPr>
            <w:r>
              <w:rPr>
                <w:b/>
              </w:rPr>
              <w:t>10</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772" w:type="dxa"/>
            <w:tcBorders/>
          </w:tcPr>
          <w:p>
            <w:pPr>
              <w:pStyle w:val="TableContents"/>
              <w:bidi w:val="0"/>
              <w:spacing w:before="0" w:after="283"/>
              <w:jc w:val="center"/>
              <w:rPr>
                <w:b/>
              </w:rPr>
            </w:pPr>
            <w:r>
              <w:rPr>
                <w:b/>
              </w:rPr>
              <w:t>2</w:t>
            </w:r>
          </w:p>
        </w:tc>
        <w:tc>
          <w:tcPr>
            <w:tcW w:w="60" w:type="dxa"/>
            <w:tcBorders/>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31" w:type="dxa"/>
            <w:tcBorders/>
          </w:tcPr>
          <w:p>
            <w:pPr>
              <w:pStyle w:val="TableContents"/>
              <w:bidi w:val="0"/>
              <w:spacing w:before="0" w:after="283"/>
              <w:jc w:val="center"/>
              <w:rPr>
                <w:b/>
              </w:rPr>
            </w:pPr>
            <w:r>
              <w:rPr>
                <w:b/>
              </w:rPr>
              <w:t>2</w:t>
            </w:r>
          </w:p>
        </w:tc>
        <w:tc>
          <w:tcPr>
            <w:tcW w:w="104"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990" w:type="dxa"/>
            <w:tcBorders/>
          </w:tcPr>
          <w:p>
            <w:pPr>
              <w:pStyle w:val="TableContents"/>
              <w:bidi w:val="0"/>
              <w:spacing w:before="0" w:after="283"/>
              <w:jc w:val="center"/>
              <w:rPr/>
            </w:pPr>
            <w:r>
              <w:rPr/>
              <w:t>—</w:t>
            </w:r>
          </w:p>
        </w:tc>
        <w:tc>
          <w:tcPr>
            <w:tcW w:w="129"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tcPr>
          <w:p>
            <w:pPr>
              <w:pStyle w:val="TableContents"/>
              <w:bidi w:val="0"/>
              <w:spacing w:before="0" w:after="283"/>
              <w:jc w:val="left"/>
              <w:rPr/>
            </w:pPr>
            <w:r>
              <w:rPr/>
              <w:t> </w:t>
            </w:r>
          </w:p>
        </w:tc>
        <w:tc>
          <w:tcPr>
            <w:tcW w:w="1221" w:type="dxa"/>
            <w:tcBorders/>
          </w:tcPr>
          <w:p>
            <w:pPr>
              <w:pStyle w:val="TableContents"/>
              <w:bidi w:val="0"/>
              <w:spacing w:before="0" w:after="283"/>
              <w:jc w:val="center"/>
              <w:rPr>
                <w:b/>
              </w:rPr>
            </w:pPr>
            <w:r>
              <w:rPr>
                <w:b/>
              </w:rPr>
              <w:t>63</w:t>
            </w:r>
          </w:p>
        </w:tc>
        <w:tc>
          <w:tcPr>
            <w:tcW w:w="140" w:type="dxa"/>
            <w:tcBorders/>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mid-spec vessels and low-spec vessels.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22 stacked vessels, comprised of one HOSFLEX 370, two HOSMAX 280s, one HOS 265, three HOS 250s, 13 HOS 240s, and two HOS 200s.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four OSVs formerly owned by us that we now operate and maintain for the U.S. Navy.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MPSV Fleet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illustrates our fleet of MPSVs and the nations in which they are flagged as of October 31, 2025: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454"/>
        <w:gridCol w:w="291"/>
        <w:gridCol w:w="457"/>
        <w:gridCol w:w="720"/>
        <w:gridCol w:w="775"/>
        <w:gridCol w:w="720"/>
        <w:gridCol w:w="924"/>
        <w:gridCol w:w="720"/>
        <w:gridCol w:w="951"/>
        <w:gridCol w:w="719"/>
        <w:gridCol w:w="1474"/>
      </w:tblGrid>
      <w:tr>
        <w:trPr/>
        <w:tc>
          <w:tcPr>
            <w:tcW w:w="245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2454" w:type="dxa"/>
            <w:tcBorders>
              <w:bottom w:val="single" w:sz="2" w:space="0" w:color="000000"/>
            </w:tcBorders>
            <w:tcMar>
              <w:bottom w:w="28" w:type="dxa"/>
            </w:tcMar>
            <w:vAlign w:val="bottom"/>
          </w:tcPr>
          <w:p>
            <w:pPr>
              <w:pStyle w:val="TableContents"/>
              <w:bidi w:val="0"/>
              <w:spacing w:before="0" w:after="283"/>
              <w:jc w:val="left"/>
              <w:rPr>
                <w:b/>
              </w:rPr>
            </w:pPr>
            <w:r>
              <w:rPr>
                <w:b/>
              </w:rPr>
              <w:t>Vessel Class</w:t>
            </w:r>
          </w:p>
        </w:tc>
        <w:tc>
          <w:tcPr>
            <w:tcW w:w="291" w:type="dxa"/>
            <w:tcBorders>
              <w:bottom w:val="single" w:sz="2" w:space="0" w:color="000000"/>
            </w:tcBorders>
            <w:tcMar>
              <w:bottom w:w="28" w:type="dxa"/>
            </w:tcMar>
            <w:vAlign w:val="bottom"/>
          </w:tcPr>
          <w:p>
            <w:pPr>
              <w:pStyle w:val="TableContents"/>
              <w:bidi w:val="0"/>
              <w:spacing w:before="0" w:after="283"/>
              <w:jc w:val="left"/>
              <w:rPr/>
            </w:pPr>
            <w:r>
              <w:rPr/>
              <w:t>  </w:t>
            </w:r>
          </w:p>
        </w:tc>
        <w:tc>
          <w:tcPr>
            <w:tcW w:w="457" w:type="dxa"/>
            <w:tcBorders>
              <w:bottom w:val="single" w:sz="2" w:space="0" w:color="000000"/>
            </w:tcBorders>
            <w:tcMar>
              <w:bottom w:w="28" w:type="dxa"/>
            </w:tcMar>
            <w:vAlign w:val="bottom"/>
          </w:tcPr>
          <w:p>
            <w:pPr>
              <w:pStyle w:val="TableContents"/>
              <w:bidi w:val="0"/>
              <w:spacing w:before="0" w:after="283"/>
              <w:jc w:val="center"/>
              <w:rPr>
                <w:b/>
              </w:rPr>
            </w:pPr>
            <w:r>
              <w:rPr>
                <w:b/>
              </w:rPr>
              <w:t>U.S.</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775" w:type="dxa"/>
            <w:tcBorders>
              <w:bottom w:val="single" w:sz="2" w:space="0" w:color="000000"/>
            </w:tcBorders>
            <w:tcMar>
              <w:bottom w:w="28" w:type="dxa"/>
            </w:tcMar>
            <w:vAlign w:val="bottom"/>
          </w:tcPr>
          <w:p>
            <w:pPr>
              <w:pStyle w:val="TableContents"/>
              <w:bidi w:val="0"/>
              <w:spacing w:before="0" w:after="283"/>
              <w:jc w:val="center"/>
              <w:rPr>
                <w:b/>
              </w:rPr>
            </w:pPr>
            <w:r>
              <w:rPr>
                <w:b/>
              </w:rPr>
              <w:t>Mexico</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924" w:type="dxa"/>
            <w:tcBorders>
              <w:bottom w:val="single" w:sz="2" w:space="0" w:color="000000"/>
            </w:tcBorders>
            <w:tcMar>
              <w:bottom w:w="28" w:type="dxa"/>
            </w:tcMar>
            <w:vAlign w:val="bottom"/>
          </w:tcPr>
          <w:p>
            <w:pPr>
              <w:pStyle w:val="TableContents"/>
              <w:bidi w:val="0"/>
              <w:spacing w:before="0" w:after="283"/>
              <w:jc w:val="center"/>
              <w:rPr>
                <w:b/>
              </w:rPr>
            </w:pPr>
            <w:r>
              <w:rPr>
                <w:b/>
              </w:rPr>
              <w:t>Vanuatu</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951" w:type="dxa"/>
            <w:tcBorders>
              <w:bottom w:val="single" w:sz="2" w:space="0" w:color="000000"/>
            </w:tcBorders>
            <w:tcMar>
              <w:bottom w:w="28" w:type="dxa"/>
            </w:tcMar>
            <w:vAlign w:val="bottom"/>
          </w:tcPr>
          <w:p>
            <w:pPr>
              <w:pStyle w:val="TableContents"/>
              <w:bidi w:val="0"/>
              <w:spacing w:before="0" w:after="283"/>
              <w:jc w:val="center"/>
              <w:rPr>
                <w:b/>
              </w:rPr>
            </w:pPr>
            <w:r>
              <w:rPr>
                <w:b/>
              </w:rPr>
              <w:t>DP Class</w:t>
            </w:r>
          </w:p>
        </w:tc>
        <w:tc>
          <w:tcPr>
            <w:tcW w:w="71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tcBorders>
            <w:tcMar>
              <w:bottom w:w="28" w:type="dxa"/>
            </w:tcMar>
            <w:vAlign w:val="bottom"/>
          </w:tcPr>
          <w:p>
            <w:pPr>
              <w:pStyle w:val="TableContents"/>
              <w:bidi w:val="0"/>
              <w:spacing w:before="0" w:after="283"/>
              <w:jc w:val="center"/>
              <w:rPr>
                <w:b/>
              </w:rPr>
            </w:pPr>
            <w:r>
              <w:rPr>
                <w:b/>
              </w:rPr>
              <w:t>Total in Class</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C/SOV+FLOTEL</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pPr>
            <w:r>
              <w:rPr/>
              <w:t>1</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center"/>
              <w:rPr/>
            </w:pPr>
            <w:r>
              <w:rPr/>
              <w:t>DP-2</w:t>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pPr>
            <w:r>
              <w:rPr/>
              <w:t>1</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FLOTEL</w:t>
            </w:r>
          </w:p>
        </w:tc>
        <w:tc>
          <w:tcPr>
            <w:tcW w:w="291" w:type="dxa"/>
            <w:tcBorders/>
            <w:vAlign w:val="bottom"/>
          </w:tcPr>
          <w:p>
            <w:pPr>
              <w:pStyle w:val="TableContents"/>
              <w:bidi w:val="0"/>
              <w:spacing w:before="0" w:after="283"/>
              <w:jc w:val="left"/>
              <w:rPr/>
            </w:pPr>
            <w:r>
              <w:rPr/>
              <w:t>  </w:t>
            </w:r>
          </w:p>
        </w:tc>
        <w:tc>
          <w:tcPr>
            <w:tcW w:w="457" w:type="dxa"/>
            <w:tcBorders/>
            <w:vAlign w:val="center"/>
          </w:tcPr>
          <w:p>
            <w:pPr>
              <w:pStyle w:val="TableContents"/>
              <w:bidi w:val="0"/>
              <w:spacing w:before="0" w:after="283"/>
              <w:jc w:val="center"/>
              <w:rPr/>
            </w:pPr>
            <w:r>
              <w:rPr/>
              <w:t>2</w:t>
            </w:r>
          </w:p>
        </w:tc>
        <w:tc>
          <w:tcPr>
            <w:tcW w:w="720" w:type="dxa"/>
            <w:tcBorders/>
            <w:vAlign w:val="bottom"/>
          </w:tcPr>
          <w:p>
            <w:pPr>
              <w:pStyle w:val="TableContents"/>
              <w:bidi w:val="0"/>
              <w:spacing w:before="0" w:after="283"/>
              <w:jc w:val="left"/>
              <w:rPr/>
            </w:pPr>
            <w:r>
              <w:rPr/>
              <w:t>    </w:t>
            </w:r>
          </w:p>
        </w:tc>
        <w:tc>
          <w:tcPr>
            <w:tcW w:w="775"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24"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51" w:type="dxa"/>
            <w:tcBorders/>
            <w:vAlign w:val="center"/>
          </w:tcPr>
          <w:p>
            <w:pPr>
              <w:pStyle w:val="TableContents"/>
              <w:bidi w:val="0"/>
              <w:spacing w:before="0" w:after="283"/>
              <w:jc w:val="center"/>
              <w:rPr/>
            </w:pPr>
            <w:r>
              <w:rPr/>
              <w:t>DP-2</w:t>
            </w:r>
          </w:p>
        </w:tc>
        <w:tc>
          <w:tcPr>
            <w:tcW w:w="719" w:type="dxa"/>
            <w:tcBorders/>
            <w:vAlign w:val="bottom"/>
          </w:tcPr>
          <w:p>
            <w:pPr>
              <w:pStyle w:val="TableContents"/>
              <w:bidi w:val="0"/>
              <w:spacing w:before="0" w:after="283"/>
              <w:jc w:val="left"/>
              <w:rPr/>
            </w:pPr>
            <w:r>
              <w:rPr/>
              <w:t>    </w:t>
            </w:r>
          </w:p>
        </w:tc>
        <w:tc>
          <w:tcPr>
            <w:tcW w:w="1474" w:type="dxa"/>
            <w:tcBorders/>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430</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1</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1</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center"/>
              <w:rPr/>
            </w:pPr>
            <w:r>
              <w:rPr/>
              <w:t>DP-3</w:t>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400(1)</w:t>
            </w:r>
          </w:p>
        </w:tc>
        <w:tc>
          <w:tcPr>
            <w:tcW w:w="291" w:type="dxa"/>
            <w:tcBorders/>
            <w:vAlign w:val="bottom"/>
          </w:tcPr>
          <w:p>
            <w:pPr>
              <w:pStyle w:val="TableContents"/>
              <w:bidi w:val="0"/>
              <w:spacing w:before="0" w:after="283"/>
              <w:jc w:val="left"/>
              <w:rPr/>
            </w:pPr>
            <w:r>
              <w:rPr/>
              <w:t>  </w:t>
            </w:r>
          </w:p>
        </w:tc>
        <w:tc>
          <w:tcPr>
            <w:tcW w:w="457" w:type="dxa"/>
            <w:tcBorders/>
            <w:vAlign w:val="center"/>
          </w:tcPr>
          <w:p>
            <w:pPr>
              <w:pStyle w:val="TableContents"/>
              <w:bidi w:val="0"/>
              <w:spacing w:before="0" w:after="283"/>
              <w:jc w:val="center"/>
              <w:rPr/>
            </w:pPr>
            <w:r>
              <w:rPr/>
              <w:t>2</w:t>
            </w:r>
          </w:p>
        </w:tc>
        <w:tc>
          <w:tcPr>
            <w:tcW w:w="720" w:type="dxa"/>
            <w:tcBorders/>
            <w:vAlign w:val="bottom"/>
          </w:tcPr>
          <w:p>
            <w:pPr>
              <w:pStyle w:val="TableContents"/>
              <w:bidi w:val="0"/>
              <w:spacing w:before="0" w:after="283"/>
              <w:jc w:val="left"/>
              <w:rPr/>
            </w:pPr>
            <w:r>
              <w:rPr/>
              <w:t>    </w:t>
            </w:r>
          </w:p>
        </w:tc>
        <w:tc>
          <w:tcPr>
            <w:tcW w:w="775"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24"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51" w:type="dxa"/>
            <w:tcBorders/>
            <w:vAlign w:val="center"/>
          </w:tcPr>
          <w:p>
            <w:pPr>
              <w:pStyle w:val="TableContents"/>
              <w:bidi w:val="0"/>
              <w:spacing w:before="0" w:after="283"/>
              <w:jc w:val="center"/>
              <w:rPr/>
            </w:pPr>
            <w:r>
              <w:rPr/>
              <w:t>DP-2</w:t>
            </w:r>
          </w:p>
        </w:tc>
        <w:tc>
          <w:tcPr>
            <w:tcW w:w="719" w:type="dxa"/>
            <w:tcBorders/>
            <w:vAlign w:val="bottom"/>
          </w:tcPr>
          <w:p>
            <w:pPr>
              <w:pStyle w:val="TableContents"/>
              <w:bidi w:val="0"/>
              <w:spacing w:before="0" w:after="283"/>
              <w:jc w:val="left"/>
              <w:rPr/>
            </w:pPr>
            <w:r>
              <w:rPr/>
              <w:t>    </w:t>
            </w:r>
          </w:p>
        </w:tc>
        <w:tc>
          <w:tcPr>
            <w:tcW w:w="1474" w:type="dxa"/>
            <w:tcBorders/>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310/310ES</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pPr>
            <w:r>
              <w:rPr/>
              <w:t>3</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center"/>
              <w:rPr/>
            </w:pPr>
            <w:r>
              <w:rPr/>
              <w:t>DP-2</w:t>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pPr>
            <w:r>
              <w:rPr/>
              <w:t>3</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265</w:t>
            </w:r>
          </w:p>
        </w:tc>
        <w:tc>
          <w:tcPr>
            <w:tcW w:w="291" w:type="dxa"/>
            <w:tcBorders/>
            <w:vAlign w:val="bottom"/>
          </w:tcPr>
          <w:p>
            <w:pPr>
              <w:pStyle w:val="TableContents"/>
              <w:bidi w:val="0"/>
              <w:spacing w:before="0" w:after="283"/>
              <w:jc w:val="left"/>
              <w:rPr/>
            </w:pPr>
            <w:r>
              <w:rPr/>
              <w:t>  </w:t>
            </w:r>
          </w:p>
        </w:tc>
        <w:tc>
          <w:tcPr>
            <w:tcW w:w="457"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775" w:type="dxa"/>
            <w:tcBorders/>
            <w:vAlign w:val="center"/>
          </w:tcPr>
          <w:p>
            <w:pPr>
              <w:pStyle w:val="TableContents"/>
              <w:bidi w:val="0"/>
              <w:spacing w:before="0" w:after="283"/>
              <w:jc w:val="center"/>
              <w:rPr/>
            </w:pPr>
            <w:r>
              <w:rPr/>
              <w:t>1</w:t>
            </w:r>
          </w:p>
        </w:tc>
        <w:tc>
          <w:tcPr>
            <w:tcW w:w="720" w:type="dxa"/>
            <w:tcBorders/>
            <w:vAlign w:val="bottom"/>
          </w:tcPr>
          <w:p>
            <w:pPr>
              <w:pStyle w:val="TableContents"/>
              <w:bidi w:val="0"/>
              <w:spacing w:before="0" w:after="283"/>
              <w:jc w:val="left"/>
              <w:rPr/>
            </w:pPr>
            <w:r>
              <w:rPr/>
              <w:t>    </w:t>
            </w:r>
          </w:p>
        </w:tc>
        <w:tc>
          <w:tcPr>
            <w:tcW w:w="924"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51" w:type="dxa"/>
            <w:tcBorders/>
            <w:vAlign w:val="center"/>
          </w:tcPr>
          <w:p>
            <w:pPr>
              <w:pStyle w:val="TableContents"/>
              <w:bidi w:val="0"/>
              <w:spacing w:before="0" w:after="283"/>
              <w:jc w:val="center"/>
              <w:rPr/>
            </w:pPr>
            <w:r>
              <w:rPr/>
              <w:t>DP-2</w:t>
            </w:r>
          </w:p>
        </w:tc>
        <w:tc>
          <w:tcPr>
            <w:tcW w:w="719" w:type="dxa"/>
            <w:tcBorders/>
            <w:vAlign w:val="bottom"/>
          </w:tcPr>
          <w:p>
            <w:pPr>
              <w:pStyle w:val="TableContents"/>
              <w:bidi w:val="0"/>
              <w:spacing w:before="0" w:after="283"/>
              <w:jc w:val="left"/>
              <w:rPr/>
            </w:pPr>
            <w:r>
              <w:rPr/>
              <w:t>    </w:t>
            </w:r>
          </w:p>
        </w:tc>
        <w:tc>
          <w:tcPr>
            <w:tcW w:w="1474" w:type="dxa"/>
            <w:tcBorders/>
            <w:vAlign w:val="center"/>
          </w:tcPr>
          <w:p>
            <w:pPr>
              <w:pStyle w:val="TableContents"/>
              <w:bidi w:val="0"/>
              <w:spacing w:before="0" w:after="283"/>
              <w:jc w:val="center"/>
              <w:rPr/>
            </w:pPr>
            <w:r>
              <w:rPr/>
              <w:t>1</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250</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pPr>
            <w:r>
              <w:rPr/>
              <w:t>2</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center"/>
              <w:rPr/>
            </w:pPr>
            <w:r>
              <w:rPr/>
              <w:t>DP-2</w:t>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HOS 240(2)</w:t>
            </w:r>
          </w:p>
        </w:tc>
        <w:tc>
          <w:tcPr>
            <w:tcW w:w="291" w:type="dxa"/>
            <w:tcBorders>
              <w:bottom w:val="single" w:sz="2" w:space="0" w:color="000000"/>
            </w:tcBorders>
            <w:tcMar>
              <w:bottom w:w="28" w:type="dxa"/>
            </w:tcMar>
            <w:vAlign w:val="bottom"/>
          </w:tcPr>
          <w:p>
            <w:pPr>
              <w:pStyle w:val="TableContents"/>
              <w:bidi w:val="0"/>
              <w:spacing w:before="0" w:after="283"/>
              <w:jc w:val="left"/>
              <w:rPr/>
            </w:pPr>
            <w:r>
              <w:rPr/>
              <w:t>  </w:t>
            </w:r>
          </w:p>
        </w:tc>
        <w:tc>
          <w:tcPr>
            <w:tcW w:w="457" w:type="dxa"/>
            <w:tcBorders>
              <w:bottom w:val="single" w:sz="2" w:space="0" w:color="000000"/>
            </w:tcBorders>
            <w:tcMar>
              <w:bottom w:w="28" w:type="dxa"/>
            </w:tcMar>
            <w:vAlign w:val="center"/>
          </w:tcPr>
          <w:p>
            <w:pPr>
              <w:pStyle w:val="TableContents"/>
              <w:bidi w:val="0"/>
              <w:spacing w:before="0" w:after="283"/>
              <w:jc w:val="center"/>
              <w:rPr/>
            </w:pPr>
            <w:r>
              <w:rPr/>
              <w:t>2</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775" w:type="dxa"/>
            <w:tcBorders>
              <w:bottom w:val="single" w:sz="2" w:space="0" w:color="000000"/>
            </w:tcBorders>
            <w:tcMar>
              <w:bottom w:w="28" w:type="dxa"/>
            </w:tcMar>
            <w:vAlign w:val="center"/>
          </w:tcPr>
          <w:p>
            <w:pPr>
              <w:pStyle w:val="TableContents"/>
              <w:bidi w:val="0"/>
              <w:spacing w:before="0" w:after="283"/>
              <w:jc w:val="center"/>
              <w:rPr/>
            </w:pPr>
            <w:r>
              <w:rPr/>
              <w:t>—</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924" w:type="dxa"/>
            <w:tcBorders>
              <w:bottom w:val="single" w:sz="2" w:space="0" w:color="000000"/>
            </w:tcBorders>
            <w:tcMar>
              <w:bottom w:w="28" w:type="dxa"/>
            </w:tcMar>
            <w:vAlign w:val="center"/>
          </w:tcPr>
          <w:p>
            <w:pPr>
              <w:pStyle w:val="TableContents"/>
              <w:bidi w:val="0"/>
              <w:spacing w:before="0" w:after="283"/>
              <w:jc w:val="center"/>
              <w:rPr/>
            </w:pPr>
            <w:r>
              <w:rPr/>
              <w:t>—</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951" w:type="dxa"/>
            <w:tcBorders>
              <w:bottom w:val="single" w:sz="2" w:space="0" w:color="000000"/>
            </w:tcBorders>
            <w:tcMar>
              <w:bottom w:w="28" w:type="dxa"/>
            </w:tcMar>
            <w:vAlign w:val="center"/>
          </w:tcPr>
          <w:p>
            <w:pPr>
              <w:pStyle w:val="TableContents"/>
              <w:bidi w:val="0"/>
              <w:spacing w:before="0" w:after="283"/>
              <w:jc w:val="center"/>
              <w:rPr/>
            </w:pPr>
            <w:r>
              <w:rPr/>
              <w:t>DP-2</w:t>
            </w:r>
          </w:p>
        </w:tc>
        <w:tc>
          <w:tcPr>
            <w:tcW w:w="71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tcBorders>
            <w:tcMar>
              <w:bottom w:w="28" w:type="dxa"/>
            </w:tcMar>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MPSVs</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b/>
              </w:rPr>
            </w:pPr>
            <w:r>
              <w:rPr>
                <w:b/>
              </w:rPr>
              <w:t>12</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b/>
              </w:rPr>
            </w:pPr>
            <w:r>
              <w:rPr>
                <w:b/>
              </w:rPr>
              <w:t>2</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b/>
              </w:rPr>
            </w:pPr>
            <w:r>
              <w:rPr>
                <w:b/>
              </w:rPr>
              <w:t>1</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b/>
              </w:rPr>
            </w:pPr>
            <w:r>
              <w:rPr>
                <w:b/>
              </w:rPr>
              <w:t>15</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two partially constructed Jones Act-qualified MPSV newbuilds to be completed pursuant to our settlement with the Surety, as discussed further in “Management’s Discussion and Analysis of Financial Condition and Results of Operations—Recent Developments—MPSV Newbuild Construction.”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two stacked HOS 240s.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our fleet of vessels and workforce-in-place differentiate us and provide us with a unique footprint that would be extremely difficult to replicate by competitors. To that end, we consistently monitor several third-party marine industry vessel appraisal services that approximate the current fair market value, replacement value, and liquidation value of our types of vessels across the global OSV and MPSV landscape. These estimates are algorithmically formulated based upon vessel age, build specification, capabilities and recent comparable vessel sales, among other criteria. According to one such third-party appraisal provider, VesselsValueTM, our fleet of 59 OSVs and 15 MPSVs had a fair market value of approximately $2.8 billion and a newbuild, or replacement, value of approximately $5.4 billion as of October 31, 2025. We believe these estimates help quantify the unique value proposition and capabilities of our fleet and the tremendous impact they bring to our customers and the service-offering and geographical end-markets that we 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Advantaged Geographic Exposure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the capabilities of our highly adaptable fleet are further amplified by our strategic focus on select deepwater and ultra-deepwater markets, which maximize opportunities for our vessels by allowing us to evaluate commercial alternatives in protected markets across various end-markets. The geographic locations in which we operate have been strategically chosen based upon their historical and forecasted industry activity, substantial hydrocarbon reserves, range of marine transportation service requirements and, importantly, the vessel supply and demand dynamics created by local regulatory protections known as cabotage laws. In these more restrictive markets, competition is limited to select service providers who can meet indigenous vessel flagging, crewing and ownership requirements, creating not only limits on vessel supply but also tremendous visibility into industry supply and demand dynamics. We have positioned our fleet, including flagging status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vessels, to take advantage of such opportunities. This helps us to execute a highly differentiated commercial strategy that optimizes vessel deployment by allowing us to dynamically evaluate prevailing macroeconomic and industry trends, local customer demand and vessel dayrate and contract terms to strategically deploy our assets in a manner that achieves higher average dayrates and margins than our domestic public peers.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core geographic markets include the United States and Latin America. Across each of these markets, we provide our customers with a range of maritime transportation services covering a variety of customer end-markets. We predominantly serve our oilfield customers in the GoA, the Caribbean, Northern South America and Brazil, while our vessels serving non-oilfield customers primarily operate along the East and West Coasts of the United States and the U.S. GoA. When not operating in Mexico, we operate our Mexican-flagged vessels across the U.S., Caribbean, Northern South America and Brazil, as well as in other international markets, utilizing a highly-skilled workforce of Mexican mariners and shore-side support teams that have been trained in our safety systems and culture.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map illustrating our active vessel locations as of October 31, 2025, is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831080" cy="437705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31080" cy="437705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Jones Act and other cabotage laws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strategically choose to compete in what we believe are advantaged geographic locations by focusing on cabotage-protected markets that provide favorable supply and demand dynamics for our vessels. Our 57 U.S.-flagged vessels are all Jones Act-qualified. The majority of our U.S. operations are subject to the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Jones Act, which, subject to limited exceptions, restricts maritime transportation of passengers or merchandise between points in the U.S. to vessels that are: (a) built in the United States; (b) registered under the U.S. flag; (c) crewed by U.S. citizens or lawful permanent residents; and (d) owned and operated by U.S. citizens within the meaning of the Jones Act. Based on publicly available information compiled by us and data provided by Spinergie, the supply of Jones Act-qualified vessels in the U.S. GoA consists of only 73 active high- and ultra high-spec Jones Act-qualified OSVs in the U.S. GoA as of October 31, 2025. Of this limited supply, Hornbeck owns 17% of the market, as measured by DWT capacity, representing the second largest such fleet in the industry. Mexico and Brazil each have their own cabotage laws that provide varying levels of insulation from foreign sources of competition that may be unwilling to invest capital or otherwise satisfy local ownership, crewing, tax and/or build requirements. As such, cabotage-protected markets create meaningful barriers to entry for foreign-flagged vessels.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Customer End-Markets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market for OSVs and MPSVs has changed dramatically over the last decade, driven by vastly more complex offshore oil and gas production requirements in deepwater and ultra-deepwater regions, requiring highly-capable vessels. Moreover, such shifts in oilfield demand fundamentals have been complemented by incremental demand from emerging non-oilfield customer markets, including military support services, renewable energy development, HADR, aerospace and other non-oilfield service offerings that can benefit from the capabilities of our unique vessel classes. In response to changing market conditions and customer demand, we regularly transfer vessels between and within our core geographic regions and adapt equipment and features of our vessels to best meet potential revenue opportunities. Each customer market has specialized service needs and vessel requirements and we believe our flexible fleet enables us to adapt to changing demand across our markets. Historically, most of our revenues were generated by deepwater and ultra-deepwater oil and gas drilling support activities; however, for the nine months ended September 30, 2025, only 35% of our revenues were attributed to oil and gas drilling support activities. The remaining approximately 65% of our revenues were generated away from the drill bit, with approximately 32% coming from oilfield specialty services, including offshore IRM, subsea construction and equipment installation, as well as decommissioning and plugging and abandonment work, approximately 19% coming from military support services and approximately 14% coming from other non-oilfield support services, including offshore wind development, construction and support services. As we continue to diversify our customer markets, we expect the non-oilfield markets to continue contributing a significant portion of our revenues in the future.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Oilfield End-Markets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Oilfield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predominantly serve our oilfield customers in the U.S. GoA, Mexico, the Caribbean, Northern South America and Brazil, where over 70% of global deepwater reserves are located. Our vessels provide support to offshore oil and gas exploration and production companies in two key areas: (i) oilfield specialty services and (ii) oilfield drilling support. In combination, we offer our oilfield customers a comprehensive range of vessel types and “life-of-field” service offerings that cover the entire value chain of offshore hydrocarbon development. Additionally, we operate a shore-based port facility located in Port Fourchon, Louisiana, from which port city 95% of all U.S. GoA oil and gas production is serviced. At our facility, we can stage modular equipment and cargos in support of such services and can also perform some of our own maintenance, outfitting and other in-the-water topside shipyard repair activities.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Oilfield Specialty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Oilfield Specialty services support ongoing or recurring oilfield activities, such as subsea equipment installation services, IRM, flowback, well testing, pipeline flushing, decommissioning, and worker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accommodations and transportation. As of September 30, 2025, oilfield specialty services accounted for 39% of our trailing twelve-month revenues. Among other services, these contracts can include operational logistics for offshore infrastructure projects, subsea equipment deployment, midstream pipeline installation support, and ROV and subsea maintenance operations. We are able to compete for these contracts because of the nature of our high- and ultra high-spec vessels, especially our MPSVs, which incorporate advanced and specialized technologies to fulfill a wide range of needs in the offshore oilfield life cycle beyond drilling activities. Growing our oilfield specialty business has enabled us to leverage our years of offshore energy expertise while reducing exposure to potential volatility in the offshore drilling market.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Oilfield Drilling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Oilfield drilling support provides services that are specifically related to offshore drilling and production activities. This includes the transportation of drilling equipment, such as wellheads and drill pipe, as well as drilling fluids and other dry bulk products used in the development of new exploration and development wells and their subsequent production activities. As of September 30, 2025, drilling support services accounted for 30% of our trailing twelve-month revenues. While our business mix has diversified into a higher weighting on oilfield specialty in recent years, we have decades of experience in drilling support operations and believe we are well-positioned to capitalize on any inflection points in oilfield drilling activity in the years ahead. Operational offshore drilling rigs require frequent service from OSVs for delivery of supplies and personnel, among other services. Our ability to compete in cabotage-protected markets also allows us to service drilling support contracts that some competitors may not be able to access.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Non-Oilfield End-Markets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Military Support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2006, we have been a prominent, private-sector service provider to the U.S. military by delivering vessels that support readiness and security. We support our U.S. government customers, which require the use of U.S.-flagged, Jones Act-qualified, high specification OSVs and MPSVs, in two key service offerings primarily from the East and West Coasts of the United States. We provide ongoing operation and maintenance of four highly specialized OSVs (which we previously developed, constructed, and sold to the U.S. Navy) via a long-term O&amp;M contract. We also own, operate and charter vessels that provide submarine supply services, rescue and recovery capabilities, transportation services and training drills. Our military service capabilities are a growing component of our service portfolio and military support is a customer end-market that is of particular importance to us given the stability provided by the U.S. government’s desire to execute long-term service agreements with qualified private contractors. We have received approximately $105.5 million, $116.2 million and $104.7 million of revenue for military support services for the years ended 2023 and 2024 and for the nine months ended September 30, 2025, respectively. Since 2023, we have operated as many as 12 vessels in service to the U.S. military, including the four vessels we operate for the U.S. military under an O&amp;M contract.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Renewable Energy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Renewable energy, and particularly offshore windfarms and infrastructure, is in its early stage of development in the U.S. and represents an emerging market for our services. Certain of the development and maintenance aspects of U.S. offshore windfarms require the use of U.S.-flagged, Jones Act-qualified, high specification OSVs and MPSVs, for which we are well-positioned to offer our services. Should this industry receive the necessary levels of regulatory support and capital investment, we believe that vessels such as ours will be critical across all stages of the offshore windfarm development cycle, including installation support, geophysical survey, vessel support for testing and operations maintenance and repair. As of September 30, 2025, 12% of our trailing twelve-month revenues were generated from support of renewable energy projects. We believe that such services will eventually be required on both the East and West Coasts of the U.S., as well as in the U.S. GoA. During 2025, we have operated as many as eight vessels in service to offshore wind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Other Non-Oilfield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versatility of our vessels allows us to support communities in our core geographic areas by providing other non-oilfield services, including HADR,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In such circumstances, our flotels are often used to house emergency first responders. Additionally, our vessels are equipped to support aerospace launches that call for rocket component landing and recovery capabilities.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Collectively, our oilfield and non-oilfield customer markets provide a diverse platform from which we can leverage the capabilities of our vessels and creatively deploy them with customers to serve new markets or high-need service areas, such as the installation, testing and retrieval of fiber-optic cable for telecommunications and oceanographic research. We believe that the diversification benefits that come from servicing a broad range of customers reduces the potential variability in our operating performance.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Continued diversification of the customer markets we serve has and will continue to allow us to strategically move vessels to the end-markets that provide the most attractive chartering opportunities. Focusing on increased diversification away from the more volatile offshore drill bit has allowed us to continue reducing dependency on the offshore drilling rig count and grow revenues despite the flat active floating rig count in the U.S. GoA in recent years. The selective nature of our fleeting strategy maximizes our OSV average dayrates, which are 52% higher than those of our public peers across the past 19 quarters. Over the past 25 years, Hornbeck has achieved an average gross margin on our OSVs of nearly 20 percentage points higher than that of our domestic public peers.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Industry Overview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Offshore Exploration and Production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Over the last three decades, the offshore oil and gas industry has undergone significant technological change, marked by an ability to explore and produce hydrocarbons in deepwater and ultra-deepwater regions. These areas contain some of the largest hydrocarbon reserve deposits anywhere in the world with drillable-prospect inventory that is expected to last decades. Since 2021, our oilfield customers have announced 23 new deepwater and ultra-deepwater offshore discoveries with expected reserves totaling 810 barrels.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Globally, most deepwater and ultra-deepwater offshore drilling activity is concentrated in the GoA, South America (largely dominated by Brazil and more recently, Guyana) and West Africa. Based on Rystad industry data as of September 2025, just over 70% of global deepwater and ultra-deepwater hydrocarbons are located in the GoA and South America. Moreover, per the Bureau of Safety and Environmental Enforcement (“BSEE”), average deepwater and ultra-deepwater well-depths have been on an upward trajectory creating significant demand for high- and ultra high-spec OSVs and MPSVs, which are well-positioned to service larger, more logistically remote projects given their versatile capabilities, greater storage capacities, larger deck space, and leading-edge technologies. Deepwater and ultra-deepwater offshore activity is economically advantaged compared to other non-conventional sources of hydrocarbons, such as shale oil, due to lower breakeven prices. Based on Rystad industry data as of September 2025, 90% of offshore proven and probable reserves are economic when crude oil prices are at or above $50.00 per barrel, compared to an average break-even price of approximately $60.00 for shale oil in the United States. As a result, offshore activity is expected to be resilient to oil price fluctuations at and above $50.00 per barrel.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 to Rystad industry data as of September 2025 and other sources, demand for oilfield specialty services, especially those that our MPSVs are equipped to provide, is expected to remain strong. Years of under-investment and deferred maintenance and repair, coupled with the installation of new offshore infrastructure,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driving the backlog for our Engineering, Procurement and Construction customers to historic highs. Rystad forecasts the installation of over 1,900 subsea well-heads globally through 2030, 47% of which are expected to be installed in our core geographic regions, particularly Brazil, which is an indicator of subsea specialty demand. Based on such forecasts, our core operating regions are expected to benefit the most from subsea and other installation projects. Rystad also forecasts that offshore rig counts in Hornbeck’s core markets will increase approximately 8% through 2028. Contracted drilling rigs that provide exploration and drilling services to major exploration and development companies are a key leading indicator to OSV demand as each rig working to drill a well requires several OSVs to service it with equipment and supplies. The number of OSVs required to support a drilling rig depends on many factors including the type of drilling activity, the depth and development stage of the well, and the location of the rig. Typically, during the initial drilling stage, more OSVs are required to supply drilling mud, drill pipe, and other materials than at later stages in the drilling cycle. On average, and based on recent trends in active offshore drilling rigs and OSVs, we believe a typical offshore drilling rig requires approximately two to four OSVs to provide ongoing services at any one time with select infrastructure-remote areas such as Brazil and the Caribbean occasionally requiring a greater number of OSVs per drilling rig due to greater logistical challenges in those open-ocean markets resulting in longer vessel turnaround times.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of vessels provides logistics support and specialty services to the offshore oil and gas exploration and production industry, primarily in the GoA, the Caribbean, Northern South America and Brazil, as well as non-oilfield specialty services for the U.S. military and other non-oilfield service customers primarily in the U.S. GoA and from the East and West Coasts of the United States. The United States, Mexico and Brazil have strict cabotage laws that provide us varying levels of insulation from foreign sources of competition that may be unwilling or unable to invest capital or otherwise satisfy local ownership, crewing, tax and/or build requirements. As such, cabotage-protected markets create meaningful barriers to entry for foreign-flagged vessels. We have vessels flagged in each of these three jurisdictions and, due to treaties or other legal benefits, we are regularly able to move vessels and/or crews among these jurisdictions more efficiently than most other operators.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Below are more detailed descriptions of the industry dynamics impacting our core Oilfield Services operating markets: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U.S. GoA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U.S. GoA continues to be a world-class hydrocarbons basin, attracting significant capital from oil and gas exploration and production companies. Based on Rystad industry data, U.S. GoA offshore rig counts have increased from 16 to 21 rigs from 2021 to 2024 and are expected to remain between 19 and 20 rigs through 2028. Similarly, U.S. GoA offshore well counts are expected to increase every year from 2025 through 2028 with an average CAGR of approximately 2.4%. Due to higher cost, greater complexity and longer equipment and permitting lead times compared to conventional onshore drilling, offshore projects are characterized by long-cycle planning and investment horizons. This dynamic results in greater stability and resilience through commodity price cycles. Historically, onshore rig counts are more variable during periods of commodity price volatility than offshore rig counts, especially in deepwater and ultra-deepwater regions.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heightened focus on low carbon-intensity production has also highlighted the attractiveness of the U.S. GoA and its lower global greenhouse gas (“GHGs”) emissions intensity (CO2e/kboe) relative to other global offshore basins. According to Wood Mackenzie’s Emissions Benchmarking Tool, U.S. Gulf of America Deepwater’s weighted average emissions intensity in 2025 was 7.48 tCO2e/kboe compared to a global weighted average of 21.88 tCO2e/kboe. As a result, we believe that the U.S. GoA will continue to be an area that attracts investment and production by the large oil and gas producers that consider carbon intensity in investment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Mexico GoA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Mexico appears to hold significant promise as a deepwater and ultra-deepwater basin in the future, recent political setbacks and administrative challenges have frustrated plans for investment by non-Mexican oil and gas companies. PEMEX is the national energy company in Mexico and dominates exploration and production of hydrocarbons in Mexico. PEMEX has been beset by financial and operational difficulties for several years, resulting in a significant level of debt and non-payment of vendors, including offshore service companies. We have not worked directly for PEMEX for several years, however, we do work for PEMEX contractors that have direct credit exposure. In September 2025, the Government of Mexico issued approximately $14 billion of debt to recapitalize PEMEX and address a portion of its financial indebtedness. PEMEX is believed to be one of the most indebted state-owned oil companies worldwide and the Government of Mexico’s recapitalization initiative provides relief from many of its upcoming bond maturities and other short-term liabilities. As a result of the recapitalization, PEMEX should be better positioned to deliver operationally and provide timely payments to service providers.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Given these industry challenges in Mexico and the curtailment of Mexican cabotage generally, during the fourth quarter of 2023 and first quarter of 2024 we deployed all of our Mexican-flagged OSVs outside of Mexico across our other core markets. These vessels are operated by highly skilled Mexican mariners that have provided safe and high-quality operations to our customers. Due to our strategic focus on proximate areas in which we operate, we were able to continue to deliver significant operational and commercial success with our Mexican fleet, despite a recent lack of opportunity in Mexico. We expect to resume operations in Mexico with three OSVs in the first quarter of 2026 in support of an integrated oil company.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Brazil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Rystad industry data, Brazil is expected to receive the most deepwater and ultra-deepwater oil and gas investment worldwide between 2025 and 2028. Brazil has seen a significant increase in investment in its upstream resources from private exploration and production companies since the 2014 downturn, when state oil company Petrobras began selective asset sales to address its balance sheet issues. Supported by the current oil price environment, many large international oil companies, as well as local independents, are investing in deepwater and ultra-deepwater exploration and development activities. Additionally, Petrobras has publicly announced plans to spend approximately $77 billion on exploration and production activities from 2025 through 2029.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offshore rig count in Brazil has increased to 33 rigs in 2025, a 37% increase from 2023 levels, making Brazil the largest deepwater oil and gas market. In addition, Rystad industry data anticipates rig count levels remaining near 2025 levels through at least 2028. This increase in activity has required additional vessels to mobilize to the area. To support new vessel tenders from Petrobras, Brazilian vessel owners have ordered 12 new OSVs to be constructed to address increasing demand in the region. As of October 31, 2025, 10 U.S. Jones Act high- and ultra high-spec vessels have relocated from the U.S. GoA to Brazil in order to help fulfill the current and expected incremental demand in that region. Based on various data compiled by us, oilfield specialty services in Brazil are being driven by significant subsea investment and the projected addition of 11 floating production storage and offloading vessels over the next four years, and Brazil represents the largest portion of expected growth in subsea services globally over the next several years.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Caribbean and Northern South America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Caribbean and Northern South America are developing markets for deepwater and ultra-deepwater exploration and production. Activity in the region is primarily focused in the Guyana-Suriname basin, but also includes Colombia, Trinidad and occasionally other Caribbean islands. Due to its proximity to the U.S. GoA and the Mexico GoA and the open-ocean offshore operating environment, high-spec and ultra high-spec U.S.-flagged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and Mexico-flagged OSVs are ideally suited to serve customers in this region. Currently, roughly 36% of the OSVs operating in this area are U.S.-flagged.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the discovery of the Liza-1 well in 2015, the Guyana-Suriname basin has become one of the fastest growing deepwater and ultra-deepwater exploration markets in the world. In September of 2025, ExxonMobil announced the final investment decision, or FID, for the Hammerhead development offshore Guyana, resulting in total investment surpassing $60 billion across the Stabroek block development. ExxonMobil is producing 650,000 barrels of oil per day from the Stabroek block, with Hammerhead expected to add up to an additional daily output of 150,000 barrels per day from 18 production and injection wells. According to published data from ExxonMobil, the Stabroek Block’s gross discovered recoverable resource estimate exceeds 11 billion barrels of oil equivalent. In October of 2024, TotalEnergies, along with partner APA Corp., announced FID for Block 58 in Suriname, dubbed the GranMorgu project, which they estimate to hold recoverable reserves of over 750 million barrels of oil equivalent.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October 31, 2025, there were seven offshore rigs operating in this region. According to Rystad industry data, this number is expected to increase to 11 offshore rigs by 2029. These activity levels will require additional vessels to mobilize to the area to support the increased drilling activity. We believe that additional U.S.-flagged vessels with their high liquid mud-carrying capacities are well-suited to support these new drilling programs. As of October 31, 2025, 13 U.S. Jones Act high- and ultra high-spec vessels have relocated from the U.S. GoA to the Caribbean and South America in order to fulfill the current demand in those regions.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Non-Oilfield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Beyond Oilfield Services, our vessels are actively involved in the support of critical offshore activities in our core geographic regions, including military services, renewable energy development and other non-oilfield service offerings. As of October 31, 2025, 15 of our U.S. Jones Act-qualified high- and ultra high-spec vessels were working in military, offshore wind, aerospace or other industries. These non-oilfield markets have had a material impact on an already tight U.S. Jones Act market. Below are more detailed descriptions of the industry dynamics within each of these emerging customer end-markets: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Military Support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United States has relied on private vessel owners and operators comprising the U.S. Merchant Marine to provide vessels that support U.S. military readiness and security, as well as peacetime and wartime services. We provide such support primarily from the East and West Coasts of the United States. The use of specialized vessels, including OSVs and MPSVs, has increased as the broad utility of these vessels has been recognized by government customers, particularly the U.S. Navy. Further, the Trump Administration has repeatedly acknowledged the need for more commercial U.S.-flagged vessels to support military operations. We believe the opportunities for additional military use could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 offerings for the U.S. Special Operations Command, the organization tasked with overseeing the various special operations of the U.S. Army, Marine Corps, Navy and Air Force;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O&amp;M contract opportunities;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support for a growing fleet of U.S. Navy vessels.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Military support services represent a significant growth opportunity beyond the oilfield for select Jones Act-compliant vessel operators, such as Hornbeck. Military operations require Jones Act-qualified vessels thereby creating cabotage protections for this work and provide a diversified customer market that counterbalances oilfield volatility and generally comes with longer tenor contracts (generally more than three years). We have recently grown our military support service offerings and expect them to continue to grow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Renewable Energy Development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offshore wind market is in its early stage of development and shows potential as an emerging market for our services in the U.S. GoA, as well as certain areas on the East and West Coasts of the United States. Field surveying, construction and operation for offshore wind require many of the core competencies and vessel specifications used in oilfield services, creating opportunities for legacy oilfield vessel providers to service this market. Moreover, many of the wind farms developed in domestic U.S. waters will require Jones Act-qualified vessels thereby creating cabotage protections for this work.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Vessel requirements for offshore wind development typically span three distinct phases: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Pre-Construction Surveying: </w:t>
            </w:r>
            <w:r>
              <w:rPr>
                <w:rFonts w:ascii="Times New Roman" w:hAnsi="Times New Roman"/>
                <w:sz w:val="20"/>
              </w:rPr>
              <w:t xml:space="preserve">This phase of development requires surveying vessels to ascertain sea bottom, sea state, and wind conditions, as well as site clearing for potential project development. Examples of such services include removal of boulders and unexploded ordnances on the seabed, as well as providing sound barriers to protect sea mammals from offshore wind construction activities and noise.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Construction and Installation: </w:t>
            </w:r>
            <w:r>
              <w:rPr>
                <w:rFonts w:ascii="Times New Roman" w:hAnsi="Times New Roman"/>
                <w:sz w:val="20"/>
              </w:rPr>
              <w:t xml:space="preserve">This phase of development is the most intensive and will require service vessels to execute and support a range of tasks including foundation, monopile, and wind turbine installations, cable laying, installation of electrical transmission lines between field units and the onshore/offshore electric grid, and the transportation and housing of construction and installation crews, among others.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Ongoing Service and Maintenance: </w:t>
            </w:r>
            <w:r>
              <w:rPr>
                <w:rFonts w:ascii="Times New Roman" w:hAnsi="Times New Roman"/>
                <w:sz w:val="20"/>
              </w:rPr>
              <w:t xml:space="preserve">This phase will require vessels to provide ongoing service and maintenance to offshore wind infrastructure assets including crew and equipment transfers, asset retrofitting and replacement, and ongoing infrastructure monitoring services.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Trump Administration has announced and taken several actions that could delay or cause the cancellation of several offshore wind projects. Despite these actions, ongoing or completed projects are likely to proceed and continue to create demand for domestic offshore maritime services. Our fleet is capable of handling the full array of services required for offshore wind construction, installation and maintenance. We know of only three Jones Act-qualified SOVs or CSOVs that have been delivered or are under construction. Thus, we believe these types of vessels, which are uniquely suited for offshore wind projects, will be utilized for the projects unaffected by the current administration’s actions. Additionally, due to muted supply increases, these types of vessels may be under-supplied if offshore wind construction is restarted following the moratorium that has been in place since January 2025. However, continued growth of the offshore wind market in the U.S. is not guaranteed and is subject to change, and we intend to continue monitoring such market closely.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Other Non-Oilfield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multiple areas of growth in other non-oilfield services, including but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HADR</w:t>
            </w:r>
            <w:r>
              <w:rPr>
                <w:rFonts w:ascii="Times New Roman" w:hAnsi="Times New Roman"/>
                <w:sz w:val="20"/>
              </w:rPr>
              <w:t xml:space="preserve">: Because of the versatility of our vessels, we are often contracted as part of the response to an offshore crisis, including as service support for the Federal Emergency Management Agency. In the past, we have supported oil spill relief, non-oilfield hurricane relief, aircraft disasters, vessel and other equipment salvage and other post-disaster recovery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i/>
                <w:sz w:val="20"/>
              </w:rPr>
              <w:t>Aerospace</w:t>
            </w:r>
            <w:r>
              <w:rPr>
                <w:rFonts w:ascii="Times New Roman" w:hAnsi="Times New Roman"/>
                <w:sz w:val="20"/>
              </w:rPr>
              <w:t xml:space="preserve">: Our vessels are equipped to support aerospace launches that call for rocket component landing and recovery capabilities. In addition, we have supported the aerospace industry through vessel crewing and other vessel management agreements.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Telecommunications</w:t>
            </w:r>
            <w:r>
              <w:rPr>
                <w:rFonts w:ascii="Times New Roman" w:hAnsi="Times New Roman"/>
                <w:sz w:val="20"/>
              </w:rPr>
              <w:t xml:space="preserve">: Our vessels can also be retrofitted to support the installation, testing and retrieval of fiber-optic 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Oceanographic Research</w:t>
            </w:r>
            <w:r>
              <w:rPr>
                <w:rFonts w:ascii="Times New Roman" w:hAnsi="Times New Roman"/>
                <w:sz w:val="20"/>
              </w:rPr>
              <w:t xml:space="preserve">: Our vessels have been utilized in a variety of offshore research projects, including wave energy studies and support for weather buoy installation and maintenance, among others.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Competitive Strengths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Large and diverse fleet of technologically advanced high-spec and ultra high-spec vessels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Over the past 28 years, we have assembled a multi-class fleet of 59 OSVs and 15 MPSVs through a total of six serial multi-vessel newbuild programs and eight consolidating acquisitions of one or more vessels. Since 2014, we have focused on expanding our line of high-spec and ultra high-spec vessels, increasing our fleet of such vessels from 41% of our fleet in 2014 to nearly 75% of our fleet in 2025. High-spec and ultra high-spec vessels are typically the youngest vessels available in the industry, incorporate sophisticated technologies that are designed specifically to operate safely in complex and challenging environments, and are equipped with specialty equipment and other features to respond to the needs of our customers through the project development and operational lifecycle of an offshore oilfield. These technologies include DP, roll-reduction systems and controllable pitch thrusters, which allow our vessels to maintain a fixed position with minimal variance. Our cargo-handling systems permit high-volume transfer rates of liquid mud and dry bulk materials. In addition, we are able to outfit our vessels with specialty equipment and certain features as needed for specific projects. The greater fuel efficiency, larger cargo-carrying capacity, advanced mud-handling systems and other technical features of our high-spec and ultra high-spec vessels enhance offshore project efficiency and create a compelling value proposition for our customers. As a result of our fleet mix, in-house engineering capabilities, shore-base facility, modular equipment inventory, operations history and market strategies, we believe that we earn higher average dayrates compared to our competitors. According to industry data from Fearnley Offshore Supply, our average dayrates were 41%, 20% and 42% higher than the global average term rates of comparably sized vessels owned by other operators in 2023, 2024, and the nine months ended September 30, 2025,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active fleet is comprised of some of the newest vessels in the industry, with an average remaining life of 21 years based on a 35-year economic useful life. The modern composition of our fleet drives lower maintenance capital requirements and should allow us to maximize both the margin potential and free cash flow generation of our active asset base.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Leading presence in the United States and Latin America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Hornbeck was established in 1997 and has one of the most capable and high-spec fleets of vessels in the industry. Based on publicly-available information compiled by us and data provided by Spinergie, we believe that our fleet of 40 high-spec and ultra high-spec OSVs, totaling 213,019 in DWT capacity, represents 6.1% of the 3,470,604 total DWT capacity of such vessels in the world, making Hornbeck the third largest fleet out of 174 companies that own and operate high-spec or ultra high-spec OSVs worldwide. Furthermore, we believe that our fleet of 16 U.S.-flagged ultra high-spec OSVs, totaling 98,720 in DWT capacity, represents the largest fleet of such vessels operating in the United States, as measured by DWT capacity. Additionally, we are one of the top operators of OSVs, based on DWT capacity, in each of our two core geographic regions, which includes 2,371,826 DWT capacity and constitutes 42.0% of the total supply of 5,653,016 DWT capacity to such markets. Our 45 U.S.-flagged OSVs, totaling 202,714 in DWT capacity, comprise the second largest fleet of technologically advanced, OSVs qualified for work in the U.S. under the Jones Act. As of October 31, 2025, our active fleet of OSVs and MPSVs consisted of 31 vessels operating in the U.S. and 16 vessels operating in Latin America as follows: (i) 13 U.S.-flagged OSVs, one Mexican-flagged OSV and five MPSVs in the U.S. GoA, (ii) six OSVs and three MPSVs throughout the U.S. Atlantic, (iii) two OSVs and one MPSV in the U.S. Pacific, (iv) nine OSVs offshore Brazil, (v) two OSVs offshore Suriname, (vi) two OSVs offshore Colombia and (vii) two OSVs and one MPSV offshore Mexico. We believe that having scale in our core markets with the flexibility to transfer vessels among proximate regions benefits our customers and provides us with commercial optionality and operating efficiencies.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Diversified service offerings and customer markets provide greater stability to cash flows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well-established relationships with leading oilfield and non-oilfield companies, as well as the U.S. government, and believe these recurring customers will continue to require our diversified service offerings in the oilfield and non-oilfield markets. Our diversified service offerings allow us to adapt to our customers’ evolving needs and gives our customers confidence to commit to longer-term contracts for our services, in turn providing us greater cash flow stability. Additionally, these large, integrated customers are financially stable and can better withstand economic or market downturns in a volatile market, and we believe maintaining relationships with these long-standing customers will ultimately result in better visibility to vessel utilization and greater liquidity for us in the future.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Attractive non-oilfield growth opportunities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of technologically advanced high-spec and ultra high-spec vessels is increasingly being deployed to serve the growing needs of the U.S. Military, renewable energy, and aerospace industries. Most of these high-growth markets require U.S.-flagged Jones Act-qualified vessels, which can be custom tailored to address a broad spectrum of services. For these applications, our vessels are typically contracted for more than three years, providing a counter-balance to cyclicality experienced in our oilfield end-markets.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Robust Free Cash Flow Generation Potential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our growing fleet, differentiated business model, diverse service offerings and varied end-customer relationships, we have generated consistently increasing total revenue since 2022 and we believe our fleet quality and commercial strategy will continue to allow us to achieve dayrates and margins in excess of our public peers. Relative to our margins, modest amounts of capital are required to maintain the quality and availability of our vessels. As a result of our financing activities completed in 2024, our balance sheet is conservatively capitalized with ample liquidity and modest amortizing long-term debt with nominal call protection. Together, these components position us to continue generating substantial free cash flow on an annual basis.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Strong market position due to qualification under the Jones Act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one of the largest fleets of the most capable and highest capacity Jones Act-qualified vessels, we believe Hornbeck is well-positioned to capitalize on increasing demand for such vessels. The United States has strict cabotage laws that provide insulation from most sources of foreign competition for our U.S. fleet for coastwise services.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Successful track record of strategic newbuild programs and vessel acquisitions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assembled our fleet through a combination of strategic newbuilds and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This expertise has aided in the development of two pending newbuild MPSVs set to be delivered in 2027. Given their robust specifications and capabilities, these vessels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expected to provide meaningful revenue contribution in the future with minimal additional growth capital required. From time to time, we consider opportunistic acquisitions of single vessels, vessel fleets, and businesses that strategically complement our existing operations to enable us to grow our business and better serve our customers. Since 2022, we have successfully completed the acquisition of 19 high- and ultra high-spec OSVs. Over that same time period, we have completed the sale of 17 OSVs, all of which were stacked low, mid and high-spec vessels, for aggregate net proceeds of $38.1 million, resulting in an aggregate net gain of $36.4 million.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Complementary Shore-Based Assets and Highly-Skilled In-House Engineering Personnel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our fleet of OSVs and MPSVs, we own and operate complementary shore-based infrastructure assets and employ highly-skilled maritime engineering personnel who facilitate maintenance of our vessels and deliver highly customizable solutions for our customers. Central to this differentiated portfolio is HOS Port, a 66-acre shore-based facility in Port Fourchon, Louisiana boasting nearly 3,000 linear feet of proprietary dock space providing staging, storage, dispatch, and dockage services for our fleet. In addition, our HOSLIFT 7,700 mT floating drydock vertically integrates our maintenance regimen, increasing flexibility and providing negotiating leverage with shipyards in the region. HOS Port is also home to HOS Rental Equipment, a portfolio of 52 customization modules that can be deployed in a plug-and-play fashion to efficiently customize our vessels to the needs of a particular project or client. These modules include specialized service equipment including A-frames, winches, and cranes, as well as “Walk-to-Work” gangways and accommodation annexes (e.g., berthing, laundry, galley, office, lounge, and gym facilities).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extensive infrastructure and customization modules allow our in-house team of naval architects and marine engineers to design a vessel’s loadout to the exact specifications of a project. This integration provides us with the ability to pursue more diversified end-markets that require bespoke solutions outside of traditional transportation operations. This value proposition was exemplified on the HOS Briarwood where we converted a 310 class Jones Act OSV to a MPSV with berthing for 130 personnel, a 100 mT crane, and an S-92 compatible helideck. The conversion took approximately 207 days and required investment of $13 million. As a result, the average dayrate of this vessel increased from $37,000 per day to $78,000 per day, implying a 1.6-year payback period. When assessed against the cost and timeline of newbuild construction, we are positioned to meet demands that arise in the market more quickly and economically, allowing us to capture value as it arises.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our work with the Government of the United States requires certain levels of security clearances which are difficult to obtain. We and certain personnel possess required clearances to participate in government tendering for certain highly sensitive projects with national security implications.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Experienced management team with proven track record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founder-led executive management team has an average of nearly 40 years of domestic and international marine transportation industry-related experience and has worked together at the Company for over 21 years. Our executives are supported by a senior leadership team that we believe has extensive continuity and industry experience that will help to sustain our business and drive long-term growth well into the future. Our team is comprised of individuals with extensive, global experience with backgrounds across many diverse fields including engineering, project management, military service, finance, accounting, tax, legal, risk management and corporate leadership. We believe that our team has successfully demonstrated its ability to grow our fleet through new construction and acquisitions and to secure profitable contracts for our vessels in both favorable and unfavorable market conditions in domestic and foreign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Pursue differentiated customer offerings to optimize active vessel utilization and free cash flow generation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seek to balance and diversify our service offerings to customers, to optimize our vessel utilization and stabilize our free cash flow generation. For example, in addition to our long-term charters in oilfield services and with military and renewable energy customers, which contribute to contracted backlog and provide utilization stability, we also seek out short-term charters such as spot oilfield and non-oilfield services that typically have higher dayrates. We believe that we are uniquely positioned to execute on this strategy due to the high-spec and diverse nature of our fleet, as well as our ability to quickly adapt vessels to the needs of our customers utilizing our engineering capabilities and shorebase facilities. This contracting strategy balances our financial profile between longer-term charters and the flexibility to capture then prevailing dayrates in a rising market for a portion of our fleet. Our current contracting approach allows us to consistently perform well against our OSV peers when comparing average OSV dayrates and gross margins. The flexibility of our vessel capabilities is designed to optimize our utilization and allows us to pivot in response to market conditions and customer needs, which can lead to more stable free cash flow generation. We believe the benefits of this contracting strategy are enhanced further in the cabotage-protected geographic locations in which we operate, where our cutting-edge vessels and ability to adapt our fleet stand out even more amongst the more limited set of cabotage-compliant competitors.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Leverage our geographic presence in the United States and Latin America and grow industry leading service capabilities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strategically chosen to focus our efforts in two core geographic regions, the United States and Latin America. While the U.S. GoA will continue to be a priority for us, in recent years we expanded our presence in each of the Mexico GoA, the East and West Coasts of the United States, the Caribbean, Northern South America and Brazil, as we anticipate long-term growth in those markets. Given the relative proximity of these markets, we are able to readily move our vessels among them and retain flexibility to relocate those vessels back to the U.S. GoA or into adjacent locations across our operating regions. We believe this allows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24% of the total industry supply of such vessels, as measured by DWT capacity. Our vessels have been adapted to operate in a broad range of oilfield specialty configurations, including flotel services, extended-reach well testing, seismic, deepwater and ultra-deepwater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Apply existing, and develop new, technologies to meet our customers’ vessel needs and expand our fleet offerings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our founding, our vessel designs have evolved to incorporate ever-increasing levels of automation, machine-learning and autonomy across vessel systems that are now mostly electronically driven. For example, we leveraged our oilfield DP expertise to develop military applications that the U.S. Navy now consistently utilizes. Using increasing levels of automation and autonomy is now at the heart of our business model and such technologies help to reduce operational risk and enhance safety. Our future technological innovation should allow us to embrace semi- or fully-autonomous vessel operations for defense and commercial operations. Our in-house engineering team has been and will continue to be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U.S. military, renewable energy, oceanographic research, telecommunications and HADR customers. Further, we are readily able to reconfigure or retrofit existing assets with existing or new technology to participate in new customer markets such as offshore wind, aerospace and telecommunications. Specifically, we are currently deploying capital to upgrade certain of our vessels to dual-service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Focus on selective acquisitions that are strategically and financially accretive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most recently completed the acquisition of 12 high-spec OSVs, which we refer to as the ECO Acquisitions.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Maintain a conservative balance sheet, disciplined growth, and robust free cash flow generation through cycles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adhere to financial principles designed to maintain a conservative balance sheet, disciplined growth, and robust free cash flow generation. Our balance sheet strategy targets less than 1.0x financial leverage with ample excess liquidity available to withstand industry cycles or take advantage of attractive growth or commercial opportunities.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growth strategy involves a disciplined screening of opportunities for differentiated assets that create competitive advantages and is focused on attractive returns and payback periods. Our cash flow generation abilities are centered around maintaining flexible costs and lean organizational structures that seek efficiencies through continuous operational improvement and working capital management.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Continued commitment to stewardship and safety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Safety is of great importance to us and other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GHGs. Additionally, since 2020, our focus on safely addressing operational risk has contributed to maintaining an industry low TRIR. Our most recent 5-year average TRIR was 0.10, outperforming peer averages from the International Marine Contractors Association (“IMCA”) and International Support Owners Association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DP excellence is a core competency of ours, we recently placed into service a high-tech DP simulator that provides an interactive and immersive training experience for current and future mariners who serve in DP officer (“DPO”) roles on our vessels. Configured to incorporate the controls and models of the three brands of DP systems that we use on our vessels, as well as to simulate four different specific vessel types and classes within our fleet, this highly customized design affords DPOs the opportunity to train on the same or substantially similar DP systems installed on our vessels. The simulator provides us with a sophisticated training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platform from which to safely train our mariners. Our mariners are engaged in a virtual ship-like environment that can subject them to realistic failure situations in a controlled atmosphere, thus facilitating a dynamic learning process. Our DP simulator is designed to make training more efficient, cost effective and risk free, and ultimately provide an optimum outcome for trainees and the Company. The simulator is located at our headquarters in Covington, Louisiana.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also provide our chief shipmates and other engine-room personnel training on a land-based version of our onboard oily water separator unit, which enhances crew knowledge of a critical environmental safeguard and, we believe, fosters our culture of environmental stewardship and risk mitigation.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HOS C/SOV + Flotel MPSV Delivery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July 2023, we announced that we had contracted Eastern to convert one of our U.S.-flagged, Jones Act-qualified, HOSMAX 280 class DP-2 OSVs acquired from the U.S. Department of Transportation’s Maritime Administration (“MARAD”) into a MPSV for dual-service as either a C/SOV or flotel to meet the growing demand of the U.S. offshore wind or oilfield markets for large personnel accommodations with “walk-to-work” capability. Following delivery from the shipyard in early November 2025, the converted vessel was placed into active service and will commence a charter to support an offshore wind project off the U.S. East Coast. The total cost of the conversion is estimated to be $96.0 million, including owner-furnished equipment, outfitting, engineering and overhead costs. Our HOS C/SOV+Flotel MPSV is capable of providing services to the U.S. offshore wind market both during the commissioning phase of an offshore wind farm and during its operational life, as well as to offshore facilities engaged in the exploration and production of hydrocarbons.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2025 Tender Offer and MIP Repurchase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2025 Tender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November    , 2025, we commenced an offer to purchase for cash up to an aggregate purchase price of $     of our common stock, Jones Act Warrants and Creditor Warrants at a price of $     per security (less, solely with respect to tendered Creditor Warrants accepted for purchase in the offer, the applicable exercise price) (the “2025 Tender Offer”). Pursuant to the 2025 Tender Offer,     shares of common stock,     Jones Act Warrants and     Creditor Warrants were validly tendered and not withdrawn, and we accepted for purchase on December     , 2025    shares of common stock,      Jones Act Warrants and     Creditor Warrants, for an aggregate purchase price of $    . We used cash on hand to fund the 2025 Tender Offer, and to pay fees and expenses related thereto.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2025 MIP Repurchases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 2025, we accelerated the vesting of an aggregate of     stock options,      restricted stock units and     performance stock units and repurchased from employees and non-employee directors of the Company the shares of common stock underlying such accelerated stock options, restricted stock units and performance stock units at a price equal to $     per share (less, solely with respect to such options, the applicable exercise price) for an aggregate purchase price of $     (such repurchases, the “2025 MIP Repurchases”). The 2025 MIP Repurchases were not made pursuant to the 2025 Tender Offer, and were open to all employees and non-employee directors that held stock options, restricted stock units and performance stock units. We used cash on hand to fund the 2025 MIP Repurchases.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MPSV Newbuild Construction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was contracted by the Surety to complete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 As of September 30, 2025, we have fulfilled our $42.6 million contractual obligation and all remaining construction costs are to be paid by the Surety to Eastern.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physical delivery by the shipyard, each vessel is expected to undergo crane and other system installations and both vessels are expected to be available for commercial service in 2027. In addition to the fully satisfied $42.6 million contractual obligation, we expect to incur an additional $87.1 million in the aggregate for outfitting, engineering, overhead and the post-delivery discretionary enhancements, of which $59.6 million solely relates to the purchase and installation of the cranes. As of September 30, 2025, we had incurred $21.9 million of such incremental amounts, excluding capitalized interest. Once placed in service, we expect that our book carrying value for each vessel will approximate $80.0 million, including estimated capitalized interest, which is significantly below the expected market value of Jones Act-qualified vessels of this type, size and specifications.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Mexico Cabotage Status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2023, Mexican regulators challenged our right to perform cabotage services in Mexico. As a result, we took legal action to preserve our cabotage privileges there, and a Mexican court ordered that our privileges be reinstated. On June 3, 2024, we appealed this decision to further clarify the court’s ruling, and our cabotage privileges remain active during the pendency of the appeal, which is expected to last between one and three years, if not longer. In the first quarter of 2026, we expect three of our Mexican-flagged vessels to return to Mexico to perform services under a long-term charter with an integrated oil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Acquisition/Investment Activities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acquisitions may require material investments and could result in significant modifications to our capital plans, both in the aggregate amount of capital expenditures to be made and a reallocation of capital. Our acquisitions (including the ECO Acquisitions completed between 2022 and 2024) are typically made for a purchase price which historically we have funded with a combination of borrowings, cash generated from operations and debt and/or equity issuances.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conditions, which may not ultimately be satisfied or waived. Accordingly, we can give no assurance that our current or future acquisition or investment efforts will be successful.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numerous risks and uncertainties, including, but not limited to, those highlighted in the section titled “Risk Factors” and summarized below. We have various categories of risks, including risks relating to our business; risks relating to legal, regulatory, accounting and tax matters; risks relating to our indebtedness; and risks relating to this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These risks include, but are not limited to, the following: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derive substantial revenues from companies in the oil and natural gas exploration and production industry, which is a historically cyclical industry with levels of activity that are directly affected by the levels and volatility of oil and natural gas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may be impacted by changing macroeconomic conditions, including inflation.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Recently completed and future acquisitions by us may create additional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continue to comply with the Jones Act’s citizenship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complete the construction of our remaining two newbuilds and may experience delays related to such newbuilds.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competitive industry.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industry concentrations, we have certain customer concentrations, and the loss of a significant customer would adversely impact our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early termination of or inability to renew contracts for our vessels could have an adverse effect on our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surrounding potential legal, regulatory and policy changes, as well as the potential for general market volatility and regulatory uncertainty, may have a material adverse effect on our results of operations, cash flows and financial position.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contracts with the United States government might not be renewed, may be renewed at lower rates or may impose additional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in international markets and shipyard activities in foreign shipyards subjects us to risks inherent in conducting business internationally.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may be materially adversely affected by tropical storms and hurricanes.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vAlign w:val="center"/>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shifts in market perception towards the oil and natural gas industry and associated businesses, any of which could result in increased operating expenses and capital costs or decreased resources and adversely affect our financial results.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Our Legal, Regulatory, Accounting and Tax Matters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maintain an effective system of disclosure controls and procedures or internal control over financial reporting and produce timely and accurate financial statements or comply with applicable regulations.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various anti-corruption laws and regulations and laws and regulations relating to economic sanctions. Violations of these laws and regulations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prevailing on our pending disputes with Mexican administrative authorities could have a material adverse impact on our operations and financial results.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Our Indebtedness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generate sufficient cash to service all of our indebtedness or repay such indebtedness when due and may be forced to take other actions to satisfy our obligations under our indebtedness, such as refinancings, which may not be successful or completed on favorable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Despite our current level of indebtedness, we and our subsidiaries may still be able to incur substantially more debt. This could further exacerbate the risks to our financial condition described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materially adversely affect our financial condition.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this Offering and Ownership of Our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is subject to restrictions on foreign ownership and possible divestiture by non-U.S. citizen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high level of concentrated stock ownership.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Anti-takeover provisions in our organizational documents could delay or prevent a change of control.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risks, beyond those summarized above or discussed elsewhere in this prospectus, may apply to our business, activities or operations as currently conducted or as we may conduct them in the future or in the markets in which we operate or may in the future operate.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we are unable to adequately address these and other risks we face, our business, results of operations, financial condition and prospects may be harmed. You should carefully consider all of the information set forth in this prospectus and, in particular, should evaluate the specific factors set forth under “Risk Factors” in deciding whether to invest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diagram illustrates our organizational structure after giving effect to this offering.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299710" cy="27412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299710" cy="274129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Principal Stockholders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stockholders consist of our three largest stockholders (funds, investment vehicles or accounts managed or advised by Ares, Whitebox or Highbridge or their respective affiliates), who, as of October 31, 2025, collectively own 62.4% of our common stock, 85.4% of our Jones Act Warrants and 38.5% of our Creditor Warrants, which such Jones Act Warrants and Creditor Warrants are exercisable under certain circumstances into an aggregate of 9,554,395 shares of our common stock (    shares after giving effect to the stock split). The principal stockholders are offering     shares of our common stock (or    shares if the underwriters exercise in full their option to purchase additional shares of common stock from the selling stockholders). After giving effect to this offering, the principal stockholders would own    % of our common stock,    % of our Jones Act Warrants, and    % of our Creditor Warrants, which such Jones Act Warrants and Creditor Warrants will be exercisable under certain circumstances for an aggregate of    shares of our common stock. On a diluted basis, after giving effect to this offering and the exercise of all outstanding Jones Act Warrants and Creditor Warrants, the principal stockholders would own   % of our common stock. See “—Principal and Selling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Ares Management Corporation (NYSE: ARES) is a leading global alternative investment manager offering clients complementary primary and secondary investment solutions across the credit, real estate, private equity and infrastructure asset classes. Ares Management Corporation seeks to provide flexible capital to support businesses and create value for its stakeholders and within its communities. By collaborating across its investment groups, Ares Management Corporation aims to generate consistent and attractive investment returns throughout market cycles. As of September 30, 2025, Ares Management Corporation’s global platform had approximately 4,200 employees operating across North America, South America, Europe, Asia Pacific and the Middle East and approximately $596 billion of assets under management.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Whitebox is a multi-strategy alternative asset manager that seeks to generate returns by investing in credit-and arbitrage-focused strategies across a range of markets and geographies. Founded in 1999, Whitebox maintains offices in Minneapolis, Austin, New York, and London.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Highbridge is a global alternative investment firm offering credit and volatility focused solutions across a range of liquidity and investment profiles, including hedge funds, drawdown vehicles, and co-investments.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Highbridge manages capital for sophisticated investors, which include financial institutions, public and corporate pension funds, sovereign wealth funds, endowments, and family offices. Highbridge is headquartered in New York, with a research presence in London. Highbridge is an indirect subsidiary of J.P. Morgan Chase &amp; Co.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the term “principal stockholders” in this prospectus to describe certain funds, investment vehicles or accounts managed or advised by Ares, Whitebox or Highbridge or their respective affiliates, in each case, that own shares of our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Split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 2026, our Board of Directors approved a  -for-one split of our common stock, which is to be effected after the effectiveness of the registration statement of which this prospectus forms a part and in connection with the consummation of this offering. The par value will not be adjusted as a result of the stock split; however, the number of shares that we are authorized to issue will be increased to  .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Hornbeck Offshore Services, Inc. was incorporated under the laws of the State of Delaware on June 2, 1997. Our principal executive offices are located at 103 Northpark Boulevard, Suite 300, Covington, LA 70433, and our telephone number is (985) 727-2000. Our website address is www.hornbeckoffshore.com. Information contained on, or that can be accessed through, our website is not part of and is not incorporated by reference into this prospectus, and you should not consider information on our website to be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8"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of common stock from the selling stockholders </w:t>
            </w:r>
          </w:p>
        </w:tc>
        <w:tc>
          <w:tcPr>
            <w:tcW w:w="6329" w:type="dxa"/>
            <w:tcBorders/>
          </w:tcPr>
          <w:p>
            <w:pPr>
              <w:pStyle w:val="TableContents"/>
              <w:bidi w:val="0"/>
              <w:spacing w:before="0" w:after="283"/>
              <w:jc w:val="left"/>
              <w:rPr/>
            </w:pPr>
            <w:r>
              <w:rPr/>
              <w:t>    </w:t>
            </w:r>
            <w:r>
              <w:rPr/>
              <w:t xml:space="preserve">additional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selling stockholders have granted the underwriters an option for a period of 30 days to purchase up to an aggregate of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outstanding after this offering </w:t>
            </w:r>
          </w:p>
        </w:tc>
        <w:tc>
          <w:tcPr>
            <w:tcW w:w="6328" w:type="dxa"/>
            <w:tcBorders/>
          </w:tcPr>
          <w:p>
            <w:pPr>
              <w:pStyle w:val="TableContents"/>
              <w:bidi w:val="0"/>
              <w:spacing w:before="0" w:after="283"/>
              <w:jc w:val="left"/>
              <w:rPr/>
            </w:pPr>
            <w:r>
              <w:rPr/>
              <w:t>    </w:t>
            </w:r>
            <w:r>
              <w:rPr/>
              <w:t xml:space="preserve">shares.1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estimate that the net proceeds to us from this offering, after deducting estimated underwriting discounts and commissions and estimated offering expenses payable by us, will be approximately $    million, assuming an initial public offering price of $     per share (which is the midpoint of the estimated offering price range shown on the cover page of this prospectus). For a sensitivity analysis as to the offering price and other information,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intend to use the net proceeds to us from this offering for general corporate purposes. We will not receive any proceeds from the sale of shares in this offering by the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We do not currently anticipate paying any dividends on our common stock immediately following this offering. We expect to retain all future earnings for use in the operation and expansion of our business. Following this offering and upon repayment of certain outstanding indebtedness, we may reevaluate our dividend policy. Any decision to declare and pay dividends in the future will be made at the sole discretion of our Board of Directors and will depend on various factors.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Directed Share Program </w:t>
            </w:r>
          </w:p>
        </w:tc>
        <w:tc>
          <w:tcPr>
            <w:tcW w:w="6328" w:type="dxa"/>
            <w:tcBorders/>
          </w:tcPr>
          <w:p>
            <w:pPr>
              <w:pStyle w:val="TableContents"/>
              <w:bidi w:val="0"/>
              <w:spacing w:before="0" w:after="283"/>
              <w:jc w:val="left"/>
              <w:rPr/>
            </w:pPr>
            <w:r>
              <w:rPr/>
              <w:t xml:space="preserve">At our request, the underwriters have reserved up to 5% of the shares of common stock offered by this prospectus for sale, at the initial public offering price to certain individuals through a directed share program, including our directors, officers, employees and other persons identified by the Company. The number of shares of our common stock available for sale to the general public will be reduced to the extent these individuals purchase such reserved shares.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shares of common stock that may be issued upon exercise of outstanding Jones Act Warrants, at an exercise price of $0.00001 per share, or upon exercise of outstanding Creditor Warrants, at an exercise price of $     per share (after giving effect to the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Any reserved shares that are not so purchased will be offered by the underwriters to the general public on the same basis as the other shares offered by this prospectus. See “Underwriting (Conflicts of Interest)—Directed Share Program.”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“Risk Factors” for a discussion of risks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7" w:type="dxa"/>
            <w:tcBorders/>
          </w:tcPr>
          <w:p>
            <w:pPr>
              <w:pStyle w:val="TableContents"/>
              <w:bidi w:val="0"/>
              <w:spacing w:before="0" w:after="283"/>
              <w:jc w:val="left"/>
              <w:rPr/>
            </w:pPr>
            <w:r>
              <w:rPr/>
              <w:t xml:space="preserve">Highbridge, one of our principal stockholders, is an indirect subsidiary of J.P. Morgan Chase &amp; Co. As a result, J.P. Morgan Chase &amp; Co. will be deemed to have a “conflict of interest” within the meaning of Financial Industry Regulatory Authority (“FINRA”) Rule 5121. FINRA Rule 5121 imposes certain requirements on a FINRA member participating in the public offering of securities of an issuer if there is a conflict of interest and/or if that issuer controls, is controlled by, or is under common control with, the FINRA member. Accordingly, this offering is being made in compliance with the requirements of Rule 5121 regarding a FINRA member firm’s underwriting of securities of an affiliate. Neither J.P. Morgan Chase &amp; Co. nor any other affiliated agent of J.P. Morgan Chase &amp; Co. will sell any of our securities to any account over which it exercises discretionary authority unless it has received specific written approval from the account holder in accordance with Rule 5121. Barclays Capital Inc. has been appointed as a “qualified independent underwriter” in connection with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w:t>
            </w:r>
          </w:p>
        </w:tc>
        <w:tc>
          <w:tcPr>
            <w:tcW w:w="6327" w:type="dxa"/>
            <w:tcBorders/>
          </w:tcPr>
          <w:p>
            <w:pPr>
              <w:pStyle w:val="TableContents"/>
              <w:bidi w:val="0"/>
              <w:spacing w:before="0" w:after="283"/>
              <w:jc w:val="left"/>
              <w:rPr/>
            </w:pPr>
            <w:r>
              <w:rPr/>
              <w:t xml:space="preserve">We have applied to have our common stock approved for listing on the NYSE under the symbol “HOS.”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shares of our common stock outstanding as of    ,    , after giving effect to the stock split, and does not reflect: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exercise of outstanding Jones Act Warrants, at an exercise price of $0.00001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exercise of outstanding Creditor Warrants, at an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the exercise of outstanding options at an average weighted exercise price of $     or the vesting of restricted stock units issued under our 2020 Management Incentive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xml:space="preserve">     </w:t>
            </w:r>
            <w:r>
              <w:rPr>
                <w:rFonts w:ascii="Times New Roman" w:hAnsi="Times New Roman"/>
                <w:sz w:val="20"/>
              </w:rPr>
              <w:t xml:space="preserve">shares of common stock underlying the restricted stock units and non-qualified stock options (calculated using the midpoint of the estimated offering price range shown on the cover page of this prospectus) to be granted at or about the closing of this offering to certain of our employees (collectively, the “IPO Grants”) as described in “Executive Compensation—Go-Forward Compensation Arrangements-IPO Equity Grants”;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pursuant to future awards under our 2020 Management Incentive Plan or our 2026 Omnibus Incentive Plan (inclusive of the IPO Grants) to be in effect following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or the context otherwise requires, all information in this prospectus assumes or gives effect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and effectiveness of our amended and restated certificate of incorporation and the adoption of our amended and restated bylaws, each of which will occur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-for-one stock split of our shares of common stock and the related increase of our authorized shares of common stock to    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initial offering price of $     per share of common stock (which is the midpoint of the estimated offering price range shown on the cover page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outstanding options or warrants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up to an additional     shares of common stock from the selling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shows our summary historical consolidated financial and other data for the periods and as of the dates indicated. The summary consolidated statements of operations and cash flow data for the nine months ended September 30, 2025 and 2024 and the balance sheet data as of September 30, 2025 have been derived from our Quarterly Financial Statements included elsewhere in this prospectus. The summary consolidated statements of operations and cash flow data for the years ended December 31, 2024, 2023 and 2022 and the balance sheet data as of December 31, 2024 and 2023 have been derived from our Annual Financial Statements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historical results are not necessarily indicative of the results to be expected in any future period. You should read the following summary financial and other data in conjunction with the sections titled “Management’s Discussion and Analysis of Financial Condition and Results of Operations” and our Financial Statements and related notes included elsewhere in this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54"/>
        <w:gridCol w:w="196"/>
        <w:gridCol w:w="140"/>
        <w:gridCol w:w="802"/>
        <w:gridCol w:w="60"/>
        <w:gridCol w:w="392"/>
        <w:gridCol w:w="140"/>
        <w:gridCol w:w="802"/>
        <w:gridCol w:w="157"/>
        <w:gridCol w:w="158"/>
        <w:gridCol w:w="140"/>
        <w:gridCol w:w="802"/>
        <w:gridCol w:w="60"/>
        <w:gridCol w:w="196"/>
        <w:gridCol w:w="140"/>
        <w:gridCol w:w="802"/>
        <w:gridCol w:w="60"/>
        <w:gridCol w:w="196"/>
        <w:gridCol w:w="140"/>
        <w:gridCol w:w="801"/>
        <w:gridCol w:w="67"/>
      </w:tblGrid>
      <w:tr>
        <w:trPr/>
        <w:tc>
          <w:tcPr>
            <w:tcW w:w="3954"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5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3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333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b/>
                <w:i/>
              </w:rPr>
            </w:pPr>
            <w:r>
              <w:rPr>
                <w:b/>
                <w:i/>
              </w:rPr>
              <w:t>(in thousands, except per share amounts)</w:t>
            </w:r>
          </w:p>
        </w:tc>
        <w:tc>
          <w:tcPr>
            <w:tcW w:w="196"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Statement of Operations Data</w:t>
            </w:r>
            <w:r>
              <w:rPr>
                <w:rFonts w:ascii="Times New Roman" w:hAnsi="Times New Roman"/>
                <w:sz w:val="20"/>
              </w:rPr>
              <w: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507,582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444,365</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592,246</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528,780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406,034</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37,963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35,617</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48,605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44,669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45,192</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545,545</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479,982</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640,851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573,449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451,226</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280,669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274,317</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364,584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305,463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214,788</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30,016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27,904</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37,812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26,355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18,601</w:t>
            </w:r>
          </w:p>
        </w:tc>
        <w:tc>
          <w:tcPr>
            <w:tcW w:w="67"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30,209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19,055</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26,734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21,496</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10,339</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57,274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51,660</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71,110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66,108</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58,946</w:t>
            </w:r>
          </w:p>
        </w:tc>
        <w:tc>
          <w:tcPr>
            <w:tcW w:w="67"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5,190</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6,251</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9,384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19,097</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5,330</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403,358</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379,187</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509,624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438,519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308,004</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13,022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31</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2,702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21,837</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155,209</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100,826</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131,269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137,632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165,059</w:t>
            </w:r>
          </w:p>
        </w:tc>
        <w:tc>
          <w:tcPr>
            <w:tcW w:w="67"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interest expense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19,892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15,556</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20,619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30,047</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38,340</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(5,334</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5,166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16,552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38,783</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135,102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90,604</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105,484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91,033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87,936</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8,443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7,495</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12,682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16,495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7,174</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126,659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83,109</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92,802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74,538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80,762</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b/>
                <w:sz w:val="20"/>
              </w:rPr>
            </w:pPr>
            <w:r>
              <w:rPr>
                <w:rFonts w:ascii="Times New Roman" w:hAnsi="Times New Roman"/>
                <w:b/>
                <w:sz w:val="20"/>
              </w:rPr>
              <w:t>Per Share Data(1):</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7.92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4.86</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5.43</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4.38</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4.80</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6.97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4.31</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4.83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3.89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4.39</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net income per share: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16,002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17,087</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17,093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17,004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16,829</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18,177</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19,300</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19,197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19,157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18,394</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82"/>
        <w:gridCol w:w="491"/>
        <w:gridCol w:w="238"/>
        <w:gridCol w:w="548"/>
        <w:gridCol w:w="102"/>
        <w:gridCol w:w="862"/>
        <w:gridCol w:w="238"/>
        <w:gridCol w:w="549"/>
        <w:gridCol w:w="60"/>
        <w:gridCol w:w="491"/>
        <w:gridCol w:w="180"/>
        <w:gridCol w:w="345"/>
        <w:gridCol w:w="60"/>
        <w:gridCol w:w="491"/>
        <w:gridCol w:w="180"/>
        <w:gridCol w:w="345"/>
        <w:gridCol w:w="59"/>
        <w:gridCol w:w="491"/>
        <w:gridCol w:w="180"/>
        <w:gridCol w:w="345"/>
        <w:gridCol w:w="68"/>
      </w:tblGrid>
      <w:tr>
        <w:trPr/>
        <w:tc>
          <w:tcPr>
            <w:tcW w:w="3882"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882"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67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8" w:type="dxa"/>
            <w:tcBorders/>
            <w:vAlign w:val="bottom"/>
          </w:tcPr>
          <w:p>
            <w:pPr>
              <w:pStyle w:val="TableContents"/>
              <w:bidi w:val="0"/>
              <w:spacing w:before="0" w:after="283"/>
              <w:jc w:val="left"/>
              <w:rPr/>
            </w:pPr>
            <w:r>
              <w:rPr/>
              <w:t> </w:t>
            </w:r>
          </w:p>
        </w:tc>
      </w:tr>
      <w:tr>
        <w:trPr/>
        <w:tc>
          <w:tcPr>
            <w:tcW w:w="3882" w:type="dxa"/>
            <w:tcBorders/>
            <w:vAlign w:val="bottom"/>
          </w:tcPr>
          <w:p>
            <w:pPr>
              <w:pStyle w:val="TableContents"/>
              <w:bidi w:val="0"/>
              <w:spacing w:before="0" w:after="283"/>
              <w:jc w:val="left"/>
              <w:rPr>
                <w:b/>
                <w:i/>
              </w:rPr>
            </w:pPr>
            <w:r>
              <w:rPr>
                <w:b/>
                <w:i/>
              </w:rPr>
              <w:t>(in thousands, except per share amounts)</w:t>
            </w:r>
          </w:p>
        </w:tc>
        <w:tc>
          <w:tcPr>
            <w:tcW w:w="491" w:type="dxa"/>
            <w:tcBorders/>
            <w:vAlign w:val="bottom"/>
          </w:tcPr>
          <w:p>
            <w:pPr>
              <w:pStyle w:val="TableContents"/>
              <w:bidi w:val="0"/>
              <w:spacing w:before="0" w:after="283"/>
              <w:jc w:val="left"/>
              <w:rPr/>
            </w:pPr>
            <w:r>
              <w:rPr/>
              <w:t>  </w:t>
            </w:r>
          </w:p>
        </w:tc>
        <w:tc>
          <w:tcPr>
            <w:tcW w:w="7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2"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59"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8" w:type="dxa"/>
            <w:tcBorders/>
            <w:vAlign w:val="bottom"/>
          </w:tcPr>
          <w:p>
            <w:pPr>
              <w:pStyle w:val="TableContents"/>
              <w:bidi w:val="0"/>
              <w:spacing w:before="0" w:after="283"/>
              <w:jc w:val="left"/>
              <w:rPr/>
            </w:pPr>
            <w:r>
              <w:rPr/>
              <w:t> </w:t>
            </w:r>
          </w:p>
        </w:tc>
      </w:tr>
      <w:tr>
        <w:trPr/>
        <w:tc>
          <w:tcPr>
            <w:tcW w:w="38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Per Share Data (unaudited)(2):</w:t>
            </w:r>
          </w:p>
        </w:tc>
        <w:tc>
          <w:tcPr>
            <w:tcW w:w="49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5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882"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income per share:</w:t>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basic earnings per common share</w:t>
            </w:r>
          </w:p>
        </w:tc>
        <w:tc>
          <w:tcPr>
            <w:tcW w:w="49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548" w:type="dxa"/>
            <w:tcBorders/>
            <w:shd w:fill="CCEEFF" w:val="clear"/>
            <w:vAlign w:val="bottom"/>
          </w:tcPr>
          <w:p>
            <w:pPr>
              <w:pStyle w:val="TableContents"/>
              <w:bidi w:val="0"/>
              <w:spacing w:before="0" w:after="283"/>
              <w:jc w:val="right"/>
              <w:rPr/>
            </w:pPr>
            <w:r>
              <w:rPr/>
              <w:t>  </w:t>
            </w:r>
          </w:p>
        </w:tc>
        <w:tc>
          <w:tcPr>
            <w:tcW w:w="102"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3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34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34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882"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882" w:type="dxa"/>
            <w:tcBorders/>
          </w:tcPr>
          <w:p>
            <w:pPr>
              <w:pStyle w:val="TableContents"/>
              <w:bidi w:val="0"/>
              <w:spacing w:before="0" w:after="0"/>
              <w:jc w:val="left"/>
              <w:rPr>
                <w:rFonts w:ascii="Times New Roman" w:hAnsi="Times New Roman"/>
                <w:sz w:val="20"/>
              </w:rPr>
            </w:pPr>
            <w:r>
              <w:rPr>
                <w:rFonts w:ascii="Times New Roman" w:hAnsi="Times New Roman"/>
                <w:sz w:val="20"/>
              </w:rPr>
              <w:t>Pro forma diluted earnings per common share</w:t>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548"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3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34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34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882"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used in computing net income per share:</w:t>
            </w:r>
          </w:p>
        </w:tc>
        <w:tc>
          <w:tcPr>
            <w:tcW w:w="49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5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882"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9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102"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 5 of our Quarterly Financial Statements and Note 5 to our Annual Financial Statements included elsewhere in this prospectus for an explanation of the method used to calculate our basic and diluted net earnings per common share and the weighted-average number of shares used in the computation of the per share amounts.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basic earnings per common share was calculated by dividing net income by the weighted-average number of shares of common stock and Jones Act Warrants outstanding during the period, each as adjusted for the implementation of a   -for-1 stock split with respect to our common stock. The unaudited pro forma diluted earnings per common share was calculated by dividing net income by the weighted-average number of common shares and Jones Act Warrants outstanding during the period plus the effect of dilutive Creditor Warrants, dilutive stock options and restricted stock unit awards, each as adjusted for the implementation of a   -for-1 stock split with respect to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565"/>
        <w:gridCol w:w="373"/>
        <w:gridCol w:w="184"/>
        <w:gridCol w:w="1291"/>
        <w:gridCol w:w="60"/>
        <w:gridCol w:w="373"/>
        <w:gridCol w:w="176"/>
        <w:gridCol w:w="1251"/>
        <w:gridCol w:w="60"/>
        <w:gridCol w:w="373"/>
        <w:gridCol w:w="210"/>
        <w:gridCol w:w="1224"/>
        <w:gridCol w:w="65"/>
      </w:tblGrid>
      <w:tr>
        <w:trPr/>
        <w:tc>
          <w:tcPr>
            <w:tcW w:w="456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bottom"/>
          </w:tcPr>
          <w:p>
            <w:pPr>
              <w:pStyle w:val="TableContents"/>
              <w:bidi w:val="0"/>
              <w:spacing w:before="0" w:after="283"/>
              <w:jc w:val="left"/>
              <w:rPr>
                <w:b/>
                <w:i/>
              </w:rPr>
            </w:pPr>
            <w:r>
              <w:rPr>
                <w:b/>
                <w:i/>
              </w:rPr>
              <w:t>(dollars in thousands)</w:t>
            </w:r>
          </w:p>
        </w:tc>
        <w:tc>
          <w:tcPr>
            <w:tcW w:w="373"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56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7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97,757</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80,803</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120,055</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307,445</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256,951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270,824</w:t>
            </w:r>
          </w:p>
        </w:tc>
        <w:tc>
          <w:tcPr>
            <w:tcW w:w="65" w:type="dxa"/>
            <w:tcBorders/>
            <w:shd w:fill="CCEEFF" w:val="clear"/>
            <w:vAlign w:val="bottom"/>
          </w:tcPr>
          <w:p>
            <w:pPr>
              <w:pStyle w:val="TableContents"/>
              <w:bidi w:val="0"/>
              <w:spacing w:before="0" w:after="283"/>
              <w:jc w:val="left"/>
              <w:rPr/>
            </w:pPr>
            <w:r>
              <w:rPr/>
              <w:t> </w:t>
            </w:r>
          </w:p>
        </w:tc>
      </w:tr>
      <w:tr>
        <w:trPr/>
        <w:tc>
          <w:tcPr>
            <w:tcW w:w="4565"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37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733,799</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674,729</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602,422</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1,161,866</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1,026,467</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946,519</w:t>
            </w:r>
          </w:p>
        </w:tc>
        <w:tc>
          <w:tcPr>
            <w:tcW w:w="65" w:type="dxa"/>
            <w:tcBorders/>
            <w:shd w:fill="CCEEFF" w:val="clear"/>
            <w:vAlign w:val="bottom"/>
          </w:tcPr>
          <w:p>
            <w:pPr>
              <w:pStyle w:val="TableContents"/>
              <w:bidi w:val="0"/>
              <w:spacing w:before="0" w:after="283"/>
              <w:jc w:val="left"/>
              <w:rPr/>
            </w:pPr>
            <w:r>
              <w:rPr/>
              <w:t> </w:t>
            </w:r>
          </w:p>
        </w:tc>
      </w:tr>
      <w:tr>
        <w:trPr/>
        <w:tc>
          <w:tcPr>
            <w:tcW w:w="456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7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109,185</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118,001</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130,415</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 net of original issue discount and deferred financing costs</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440,314</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441,231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349,001</w:t>
            </w:r>
          </w:p>
        </w:tc>
        <w:tc>
          <w:tcPr>
            <w:tcW w:w="65" w:type="dxa"/>
            <w:tcBorders/>
            <w:shd w:fill="CCEEFF" w:val="clear"/>
            <w:vAlign w:val="bottom"/>
          </w:tcPr>
          <w:p>
            <w:pPr>
              <w:pStyle w:val="TableContents"/>
              <w:bidi w:val="0"/>
              <w:spacing w:before="0" w:after="283"/>
              <w:jc w:val="left"/>
              <w:rPr/>
            </w:pPr>
            <w:r>
              <w:rPr/>
              <w:t> </w:t>
            </w:r>
          </w:p>
        </w:tc>
      </w:tr>
      <w:tr>
        <w:trPr/>
        <w:tc>
          <w:tcPr>
            <w:tcW w:w="456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7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590,897</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592,325</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585,226</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570,969</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434,142</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361,293</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590"/>
        <w:gridCol w:w="108"/>
        <w:gridCol w:w="217"/>
        <w:gridCol w:w="1244"/>
        <w:gridCol w:w="155"/>
        <w:gridCol w:w="108"/>
        <w:gridCol w:w="217"/>
        <w:gridCol w:w="1244"/>
        <w:gridCol w:w="155"/>
        <w:gridCol w:w="108"/>
        <w:gridCol w:w="201"/>
        <w:gridCol w:w="1259"/>
        <w:gridCol w:w="154"/>
        <w:gridCol w:w="108"/>
        <w:gridCol w:w="201"/>
        <w:gridCol w:w="1259"/>
        <w:gridCol w:w="155"/>
        <w:gridCol w:w="82"/>
        <w:gridCol w:w="201"/>
        <w:gridCol w:w="1259"/>
        <w:gridCol w:w="180"/>
      </w:tblGrid>
      <w:tr>
        <w:trPr/>
        <w:tc>
          <w:tcPr>
            <w:tcW w:w="159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r>
      <w:tr>
        <w:trPr/>
        <w:tc>
          <w:tcPr>
            <w:tcW w:w="159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1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87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80" w:type="dxa"/>
            <w:tcBorders/>
            <w:vAlign w:val="bottom"/>
          </w:tcPr>
          <w:p>
            <w:pPr>
              <w:pStyle w:val="TableContents"/>
              <w:bidi w:val="0"/>
              <w:spacing w:before="0" w:after="283"/>
              <w:jc w:val="left"/>
              <w:rPr/>
            </w:pPr>
            <w:r>
              <w:rPr/>
              <w:t> </w:t>
            </w:r>
          </w:p>
        </w:tc>
      </w:tr>
      <w:tr>
        <w:trPr/>
        <w:tc>
          <w:tcPr>
            <w:tcW w:w="1590" w:type="dxa"/>
            <w:tcBorders/>
            <w:vAlign w:val="bottom"/>
          </w:tcPr>
          <w:p>
            <w:pPr>
              <w:pStyle w:val="TableContents"/>
              <w:bidi w:val="0"/>
              <w:spacing w:before="0" w:after="283"/>
              <w:jc w:val="left"/>
              <w:rPr>
                <w:b/>
                <w:i/>
              </w:rPr>
            </w:pPr>
            <w:r>
              <w:rPr>
                <w:b/>
                <w:i/>
              </w:rPr>
              <w:t>(dollars in thousands)</w:t>
            </w:r>
          </w:p>
        </w:tc>
        <w:tc>
          <w:tcPr>
            <w:tcW w:w="108"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80" w:type="dxa"/>
            <w:tcBorders/>
            <w:vAlign w:val="bottom"/>
          </w:tcPr>
          <w:p>
            <w:pPr>
              <w:pStyle w:val="TableContents"/>
              <w:bidi w:val="0"/>
              <w:spacing w:before="0" w:after="283"/>
              <w:jc w:val="left"/>
              <w:rPr/>
            </w:pPr>
            <w:r>
              <w:rPr/>
              <w:t> </w:t>
            </w:r>
          </w:p>
        </w:tc>
      </w:tr>
      <w:tr>
        <w:trPr/>
        <w:tc>
          <w:tcPr>
            <w:tcW w:w="15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 of Cash Flows Data</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sz w:val="4"/>
                <w:szCs w:val="4"/>
              </w:rPr>
            </w:pPr>
            <w:r>
              <w:rPr>
                <w:sz w:val="4"/>
                <w:szCs w:val="4"/>
              </w:rPr>
            </w:r>
          </w:p>
        </w:tc>
      </w:tr>
      <w:tr>
        <w:trPr/>
        <w:tc>
          <w:tcPr>
            <w:tcW w:w="159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r>
      <w:tr>
        <w:trPr/>
        <w:tc>
          <w:tcPr>
            <w:tcW w:w="1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96,967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75,127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16,477</w:t>
            </w:r>
          </w:p>
        </w:tc>
        <w:tc>
          <w:tcPr>
            <w:tcW w:w="15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146,115</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112,967</w:t>
            </w:r>
          </w:p>
        </w:tc>
        <w:tc>
          <w:tcPr>
            <w:tcW w:w="180" w:type="dxa"/>
            <w:tcBorders/>
            <w:shd w:fill="CCEEFF" w:val="clear"/>
            <w:vAlign w:val="bottom"/>
          </w:tcPr>
          <w:p>
            <w:pPr>
              <w:pStyle w:val="TableContents"/>
              <w:bidi w:val="0"/>
              <w:spacing w:before="0" w:after="283"/>
              <w:jc w:val="left"/>
              <w:rPr/>
            </w:pPr>
            <w:r>
              <w:rPr/>
              <w:t> </w:t>
            </w:r>
          </w:p>
        </w:tc>
      </w:tr>
      <w:tr>
        <w:trPr/>
        <w:tc>
          <w:tcPr>
            <w:tcW w:w="1590" w:type="dxa"/>
            <w:tcBorders/>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(78,157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(85,334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(120,020</w:t>
            </w:r>
          </w:p>
        </w:tc>
        <w:tc>
          <w:tcPr>
            <w:tcW w:w="15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(168,345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(109,157</w:t>
            </w:r>
          </w:p>
        </w:tc>
        <w:tc>
          <w:tcPr>
            <w:tcW w:w="180" w:type="dxa"/>
            <w:tcBorders/>
            <w:vAlign w:val="bottom"/>
          </w:tcPr>
          <w:p>
            <w:pPr>
              <w:pStyle w:val="TableContents"/>
              <w:bidi w:val="0"/>
              <w:spacing w:before="0" w:after="283"/>
              <w:jc w:val="left"/>
              <w:rPr/>
            </w:pPr>
            <w:r>
              <w:rPr/>
              <w:t>) </w:t>
            </w:r>
          </w:p>
        </w:tc>
      </w:tr>
      <w:tr>
        <w:trPr/>
        <w:tc>
          <w:tcPr>
            <w:tcW w:w="1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(4,028</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(5,792</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68,272</w:t>
            </w:r>
          </w:p>
        </w:tc>
        <w:tc>
          <w:tcPr>
            <w:tcW w:w="15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(76,038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32,875</w:t>
            </w:r>
          </w:p>
        </w:tc>
        <w:tc>
          <w:tcPr>
            <w:tcW w:w="180" w:type="dxa"/>
            <w:tcBorders/>
            <w:shd w:fill="CCEEFF" w:val="clear"/>
            <w:vAlign w:val="bottom"/>
          </w:tcPr>
          <w:p>
            <w:pPr>
              <w:pStyle w:val="TableContents"/>
              <w:bidi w:val="0"/>
              <w:spacing w:before="0" w:after="283"/>
              <w:jc w:val="left"/>
              <w:rPr/>
            </w:pPr>
            <w:r>
              <w:rPr/>
              <w:t> </w:t>
            </w:r>
          </w:p>
        </w:tc>
      </w:tr>
      <w:tr>
        <w:trPr/>
        <w:tc>
          <w:tcPr>
            <w:tcW w:w="159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Financial Data (unaudited):</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r>
      <w:tr>
        <w:trPr/>
        <w:tc>
          <w:tcPr>
            <w:tcW w:w="1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EBITDA(1)</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215,219</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153,119</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190,649</w:t>
            </w:r>
          </w:p>
        </w:tc>
        <w:tc>
          <w:tcPr>
            <w:tcW w:w="15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168,931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155,216</w:t>
            </w:r>
          </w:p>
        </w:tc>
        <w:tc>
          <w:tcPr>
            <w:tcW w:w="180" w:type="dxa"/>
            <w:tcBorders/>
            <w:shd w:fill="CCEEFF" w:val="clear"/>
            <w:vAlign w:val="bottom"/>
          </w:tcPr>
          <w:p>
            <w:pPr>
              <w:pStyle w:val="TableContents"/>
              <w:bidi w:val="0"/>
              <w:spacing w:before="0" w:after="283"/>
              <w:jc w:val="left"/>
              <w:rPr/>
            </w:pPr>
            <w:r>
              <w:rPr/>
              <w:t> </w:t>
            </w:r>
          </w:p>
        </w:tc>
      </w:tr>
      <w:tr>
        <w:trPr/>
        <w:tc>
          <w:tcPr>
            <w:tcW w:w="15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224,178</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157,603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209,520</w:t>
            </w:r>
          </w:p>
        </w:tc>
        <w:tc>
          <w:tcPr>
            <w:tcW w:w="15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213,629</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204,830</w:t>
            </w:r>
          </w:p>
        </w:tc>
        <w:tc>
          <w:tcPr>
            <w:tcW w:w="180" w:type="dxa"/>
            <w:tcBorders/>
            <w:vAlign w:val="bottom"/>
          </w:tcPr>
          <w:p>
            <w:pPr>
              <w:pStyle w:val="TableContents"/>
              <w:bidi w:val="0"/>
              <w:spacing w:before="0" w:after="283"/>
              <w:jc w:val="left"/>
              <w:rPr/>
            </w:pPr>
            <w:r>
              <w:rPr/>
              <w:t> </w:t>
            </w:r>
          </w:p>
        </w:tc>
      </w:tr>
      <w:tr>
        <w:trPr/>
        <w:tc>
          <w:tcPr>
            <w:tcW w:w="1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Free Cash Flow(1)</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110,177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63,696</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82,891</w:t>
            </w:r>
          </w:p>
        </w:tc>
        <w:tc>
          <w:tcPr>
            <w:tcW w:w="15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132,688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171,288</w:t>
            </w:r>
          </w:p>
        </w:tc>
        <w:tc>
          <w:tcPr>
            <w:tcW w:w="180" w:type="dxa"/>
            <w:tcBorders/>
            <w:shd w:fill="CCEEFF" w:val="clear"/>
            <w:vAlign w:val="bottom"/>
          </w:tcPr>
          <w:p>
            <w:pPr>
              <w:pStyle w:val="TableContents"/>
              <w:bidi w:val="0"/>
              <w:spacing w:before="0" w:after="283"/>
              <w:jc w:val="left"/>
              <w:rPr/>
            </w:pPr>
            <w:r>
              <w:rPr/>
              <w:t> </w:t>
            </w:r>
          </w:p>
        </w:tc>
      </w:tr>
      <w:tr>
        <w:trPr/>
        <w:tc>
          <w:tcPr>
            <w:tcW w:w="1590"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139,244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123,473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179,570</w:t>
            </w:r>
          </w:p>
        </w:tc>
        <w:tc>
          <w:tcPr>
            <w:tcW w:w="15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201,071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151,196</w:t>
            </w:r>
          </w:p>
        </w:tc>
        <w:tc>
          <w:tcPr>
            <w:tcW w:w="1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lineRule="atLeast" w:line="160" w:before="0" w:after="40"/>
        <w:ind w:left="0" w:right="0" w:hanging="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are non-GAAP financial measures. As such, they should not be considered in isolation or as a substitute for operating income, net income or loss, cash flows provided by operating, investing and financing activities, or other income or cash flow statement data prepared in accordance with GAAP. See “—Non-GAAP Financial Measures” below for our definitions of EBITDA, Adjusted EBITDA and Adjusted Free Cash Flow and reconciliations of each to the most directly comparable GAAP financial measure.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postponed offering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These ratios are calculated using certain adjustments to EBITDA defined by our credit agreements, which adjustments are consistent with those reflected in Adjusted EBITDA in this prospectus. In addition, we believe that, based on covenants in prior and existing credit facilities, future debt arrangements may require compliance with certain ratios that will likely include EBITDA or Adjusted EBITDA in the computations. Adjusted EBITDA is also currently utilized in connection with our short-term cash bonus incentive compensation programs.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reconcile cash flows provided by operating activities to EBITDA, Adjusted EBITDA and Adjusted Free Cash Flow, as we define those terms, for the nine months ended September 30, 2025 and 2024, and the years ended December 31, 2024, 2023 and 2022: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31"/>
        <w:gridCol w:w="186"/>
        <w:gridCol w:w="140"/>
        <w:gridCol w:w="804"/>
        <w:gridCol w:w="155"/>
        <w:gridCol w:w="146"/>
        <w:gridCol w:w="140"/>
        <w:gridCol w:w="804"/>
        <w:gridCol w:w="155"/>
        <w:gridCol w:w="146"/>
        <w:gridCol w:w="140"/>
        <w:gridCol w:w="804"/>
        <w:gridCol w:w="155"/>
        <w:gridCol w:w="146"/>
        <w:gridCol w:w="140"/>
        <w:gridCol w:w="804"/>
        <w:gridCol w:w="155"/>
        <w:gridCol w:w="146"/>
        <w:gridCol w:w="140"/>
        <w:gridCol w:w="804"/>
        <w:gridCol w:w="164"/>
      </w:tblGrid>
      <w:tr>
        <w:trPr/>
        <w:tc>
          <w:tcPr>
            <w:tcW w:w="3931"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34"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b/>
                <w:i/>
              </w:rPr>
            </w:pPr>
            <w:r>
              <w:rPr>
                <w:b/>
                <w:i/>
              </w:rPr>
              <w:t>(dollars in thousands)</w:t>
            </w:r>
          </w:p>
        </w:tc>
        <w:tc>
          <w:tcPr>
            <w:tcW w:w="18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EBITDA Reconciliation to GAAP:</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74,375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17,150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20,810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9,311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474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38,995</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(5,190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(6,251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(9,384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(19,097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(5,330</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(1,951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(700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(1,028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6,336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5,412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(10,917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(41,408</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 net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(1,236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13,022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21,837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215,219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153,119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190,649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168,931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155,216</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 Reconciliation to GAAP:</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74,375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17,150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20,810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9,311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474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38,995</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3,702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4,569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5,763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9,755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2,832</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13,022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21,837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9,136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3,693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224,178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157,603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209,520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213,629</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204,830</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990"/>
        <w:gridCol w:w="193"/>
        <w:gridCol w:w="140"/>
        <w:gridCol w:w="803"/>
        <w:gridCol w:w="155"/>
        <w:gridCol w:w="148"/>
        <w:gridCol w:w="140"/>
        <w:gridCol w:w="769"/>
        <w:gridCol w:w="155"/>
        <w:gridCol w:w="148"/>
        <w:gridCol w:w="140"/>
        <w:gridCol w:w="769"/>
        <w:gridCol w:w="155"/>
        <w:gridCol w:w="148"/>
        <w:gridCol w:w="140"/>
        <w:gridCol w:w="803"/>
        <w:gridCol w:w="155"/>
        <w:gridCol w:w="147"/>
        <w:gridCol w:w="140"/>
        <w:gridCol w:w="803"/>
        <w:gridCol w:w="164"/>
      </w:tblGrid>
      <w:tr>
        <w:trPr/>
        <w:tc>
          <w:tcPr>
            <w:tcW w:w="399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1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400"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4" w:type="dxa"/>
            <w:tcBorders/>
            <w:vAlign w:val="bottom"/>
          </w:tcPr>
          <w:p>
            <w:pPr>
              <w:pStyle w:val="TableContents"/>
              <w:bidi w:val="0"/>
              <w:spacing w:before="0" w:after="283"/>
              <w:jc w:val="left"/>
              <w:rPr/>
            </w:pPr>
            <w:r>
              <w:rPr/>
              <w:t> </w:t>
            </w:r>
          </w:p>
        </w:tc>
      </w:tr>
      <w:tr>
        <w:trPr/>
        <w:tc>
          <w:tcPr>
            <w:tcW w:w="3990" w:type="dxa"/>
            <w:tcBorders/>
            <w:vAlign w:val="bottom"/>
          </w:tcPr>
          <w:p>
            <w:pPr>
              <w:pStyle w:val="TableContents"/>
              <w:bidi w:val="0"/>
              <w:spacing w:before="0" w:after="283"/>
              <w:jc w:val="left"/>
              <w:rPr>
                <w:b/>
                <w:i/>
              </w:rPr>
            </w:pPr>
            <w:r>
              <w:rPr>
                <w:b/>
                <w:i/>
              </w:rPr>
              <w:t>(dollars in thousands)</w:t>
            </w:r>
          </w:p>
        </w:tc>
        <w:tc>
          <w:tcPr>
            <w:tcW w:w="193"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Free Cash Flow Reconciliation to GAAP:</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maintenance capital improvements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(15,370</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(15,775</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(16,171</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(7,745</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(3,758</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non-vessel capital expenditures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(7,461</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(707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(753</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(1,087</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(1,328</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38,995</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(1,951</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74,375</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2,832</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13,022</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21,837</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9,136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3,693</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110,177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63,696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82,891</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132,688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171,288</w:t>
            </w:r>
          </w:p>
        </w:tc>
        <w:tc>
          <w:tcPr>
            <w:tcW w:w="164" w:type="dxa"/>
            <w:tcBorders/>
            <w:vAlign w:val="bottom"/>
          </w:tcPr>
          <w:p>
            <w:pPr>
              <w:pStyle w:val="TableContents"/>
              <w:bidi w:val="0"/>
              <w:spacing w:before="0" w:after="283"/>
              <w:jc w:val="left"/>
              <w:rPr/>
            </w:pPr>
            <w:r>
              <w:rPr/>
              <w:t> </w:t>
            </w:r>
          </w:p>
        </w:tc>
      </w:tr>
      <w:tr>
        <w:trPr/>
        <w:tc>
          <w:tcPr>
            <w:tcW w:w="399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provides the detailed components of EBITDA, Adjusted EBITDA and Adjusted Free Cash Flow as we define those terms, for the nine months ended September 30, 2025 and 2024, and the years ended December 31, 2024, 2023 and 2022 (in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246"/>
        <w:gridCol w:w="93"/>
        <w:gridCol w:w="140"/>
        <w:gridCol w:w="802"/>
        <w:gridCol w:w="155"/>
        <w:gridCol w:w="93"/>
        <w:gridCol w:w="140"/>
        <w:gridCol w:w="802"/>
        <w:gridCol w:w="155"/>
        <w:gridCol w:w="93"/>
        <w:gridCol w:w="140"/>
        <w:gridCol w:w="802"/>
        <w:gridCol w:w="155"/>
        <w:gridCol w:w="93"/>
        <w:gridCol w:w="140"/>
        <w:gridCol w:w="802"/>
        <w:gridCol w:w="155"/>
        <w:gridCol w:w="93"/>
        <w:gridCol w:w="140"/>
        <w:gridCol w:w="802"/>
        <w:gridCol w:w="164"/>
      </w:tblGrid>
      <w:tr>
        <w:trPr/>
        <w:tc>
          <w:tcPr>
            <w:tcW w:w="4246"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1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3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Components of EBITDA, Adjusted EBITDA and Adjusted Free Cash Flow:</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126,659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83,109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92,802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74,538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80,762</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23,594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20,125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26,382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39,802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41,172</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2,832</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net</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19,892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15,556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20,619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30,047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38,340</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8,443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7,495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12,682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16,495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7,174</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30,016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27,904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37,812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26,355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18,601</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30,209</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19,055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26,734</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21,496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10,339</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215,219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153,119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190,649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168,931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155,216</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 net</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44</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5,190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6,251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9,384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19,097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5,330</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2,832</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liability-classified warrants</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(6,336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(5,412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10,917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41,408</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9,136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3,693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224,178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157,603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209,520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213,629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204,830</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charges(1)</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maintenance capital improvements(1)</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(15,370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(15,775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(16,171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(7,745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(3,758</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non-vessel capital expenditures(1)</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(7,461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(707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(753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(1,087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(1,328</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(14,126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(17,150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(20,810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(9,311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(474</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110,177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63,696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82,891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132,688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171,288</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lineRule="atLeast" w:line="160" w:before="0" w:after="40"/>
        <w:ind w:left="0" w:right="0" w:hanging="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information concerning these items, see “Management’s Discussion and Analysis of Financial Condition and Results of Operations—Liquidity and Capital Resources—Capital Expenditures and Related Commitments.”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are the material limitations associated with using EBITDA, Adjusted EBITDA and Adjusted Free Cash Flow as non-GAAP financial measures compared to cash flows provided by operating activities: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future capital expenditure requirements that may be necessary to replace our existing vessels upon expiration of their useful lives;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interest, future principal payments and other financing-related charges necessary to service the debt that we have incurred in acquiring and constructing our vessels;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deferred income taxes that we will eventually have to pay once we are no longer in an overall NOL carryforward position, as applicable;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changes in our net working capital position.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Management compensates for the above-described limitations in using EBITDA, Adjusted EBITDA and Adjusted Free Cash Flow as non-GAAP financial measures by only using EBITDA, Adjusted EBITDA and Adjusted Free Cash Flow to supplement our GAAP results.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Other Operating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056"/>
        <w:gridCol w:w="248"/>
        <w:gridCol w:w="140"/>
        <w:gridCol w:w="806"/>
        <w:gridCol w:w="276"/>
        <w:gridCol w:w="196"/>
        <w:gridCol w:w="140"/>
        <w:gridCol w:w="806"/>
        <w:gridCol w:w="276"/>
        <w:gridCol w:w="196"/>
        <w:gridCol w:w="140"/>
        <w:gridCol w:w="806"/>
        <w:gridCol w:w="276"/>
        <w:gridCol w:w="196"/>
        <w:gridCol w:w="140"/>
        <w:gridCol w:w="806"/>
        <w:gridCol w:w="276"/>
        <w:gridCol w:w="196"/>
        <w:gridCol w:w="140"/>
        <w:gridCol w:w="806"/>
        <w:gridCol w:w="283"/>
      </w:tblGrid>
      <w:tr>
        <w:trPr/>
        <w:tc>
          <w:tcPr>
            <w:tcW w:w="3056"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378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3"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Offshore Supply Vessels: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OSVs(1)</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58.6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53.8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57.0</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active OSVs(2)</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37.7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37.6</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38.0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32.2</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26.7</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fleet capacity (DWT)(3)</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264,485</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259,870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261,528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235,514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229,001</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OSV capacity (DWT)(4)</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4,449</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4,435</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4,437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4,374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4,020</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utilization rate(5)</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47.9</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42.8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41.3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44.3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37.7</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Active OSV utilization rate(6)</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75.6</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66.7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64.1</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74.0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80.7</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dayrate(7)</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44,366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41,014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41,956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39,297</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32,305</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OSV dayrate(8)</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21,251</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17,554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17,328</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17,409</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12,179</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b/>
                <w:sz w:val="20"/>
              </w:rPr>
            </w:pPr>
            <w:r>
              <w:rPr>
                <w:rFonts w:ascii="Times New Roman" w:hAnsi="Times New Roman"/>
                <w:b/>
                <w:sz w:val="20"/>
              </w:rPr>
              <w:t>Multi-Purpose Support Vessels: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MPSVs(1)</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active MPSVs(2)</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11.2</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10.4</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MPSV utilization rate(5)</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60.3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75.0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73.4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68.4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65.2</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Active MPSV utilization rate(6)</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65.1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75.0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75.0</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MPSV dayrate(7)</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82,518</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65,943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67,853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62,372</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53,421</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Effective MPSV dayrate(8)</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49,758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49,457</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49,804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42,662</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34,830</w:t>
            </w:r>
          </w:p>
        </w:tc>
        <w:tc>
          <w:tcPr>
            <w:tcW w:w="28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number of vessels owned during the period, adjusted to reflect date of acquisition or disposition of vessels. We owned 59, 60, 60, 55, and 54 OSVs and 12 MPSVs as of September 30, 2025 and 2024 and December 31, 2024, 2023 and 2022, respectively. Excluded from the data are four non-owned vessels that we now manage for the U.S. Navy, one OSV acquired from the U.S. Department of Transportation’s Maritime Administration that was at September 30,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undergoing conversion into a MPSV for dual-service as either a C/SOV or flotel, which was completed in early November 2025,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2022, eight such vessels, (ii) as of December 31, 2023, five such vessels, (iii) as of December 31, 2024, no such vessels, (iv) as of September 30, 2024, no such vessels and (v) as of September 30, 2025, no such vessels. We also sold zero, two and ten OSVs during 2024, 2023 and 2022, respectively.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number of OSVs owned during the period multiplied by the weighted-average capacity of OSVs during the same period.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actual capacity of the OSVs owned during the period on a weighted-average basis, adjusted to reflect date of acquisition or disposition of vessels.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Utilization rates are weighted-average rates based on a 365-day year. Vessels are considered utilized when they are generating revenues.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Active utilization rate is based on a denominator comprised only of vessel-days available for service by the active fleet, which excludes the impact of inactive or stacked vessel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OSV and MPSV dayrates represent weighted-average revenue per day, which includes charter hire, crewing services and net brokerage revenues, based on the number of days during the period that the OSVs and MPSVs, respectively, generated revenues.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dayrate represents the average dayrate multiplied by the average utilization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rom65571_3"/>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common stock involves a high degree of risk. You should carefully consider the risks described below, together with the other information in this prospectus, before deciding whether to purchase our common stock. If any of the risks described below actually occur, our business, financial condition, results of operations or prospects could be materially adversely affected. In any such case, the trading price of our common stock could decline and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derive substantial revenues from companies in the oil and natural gas exploration and production industry, which is a historically cyclical industry with levels of activity that are directly affected by the levels and volatility of oil and natural gas prices. </w:t>
      </w:r>
    </w:p>
    <w:p>
      <w:pPr>
        <w:pStyle w:val="TextBody"/>
        <w:bidi w:val="0"/>
        <w:spacing w:before="120" w:after="0"/>
        <w:jc w:val="left"/>
        <w:rPr>
          <w:rFonts w:ascii="Times New Roman" w:hAnsi="Times New Roman"/>
          <w:sz w:val="20"/>
        </w:rPr>
      </w:pPr>
      <w:r>
        <w:rPr>
          <w:rFonts w:ascii="Times New Roman" w:hAnsi="Times New Roman"/>
          <w:sz w:val="20"/>
        </w:rPr>
        <w:t xml:space="preserve">The demand for our services from companies in various energy-related industries is cyclical, and to some extent, seasonal, depending primarily on the capital expenditures of offshore energy companies. These capital expenditures are influenced by such factors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oil and natural gas prices, particularly with respect to prevailing prices on local price indexes in the areas in which we operate and expectations about future commodity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action of the Organization of the Petroleum Exporting Countries, plus (“OPEC+”), its members and other state-controlled oil companies relating to oil price and production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worldwide and regional economic conditions impacting the global supply and demand for oil and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and international political, military, regulatory and economic conditions, including global inflationary pressures, Russia’s ongoing war with Ukraine and sanctions related thereto, as well as the ongoing conflicts in the Middle East;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and regulatory uncertainty stemming from local or environmental opposition to offshore energy development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exploring for, producing and delivering hydrocarbons;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risks within the countries where we operate that can result in reduced exploration and production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and expiration dates of available offshore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discovery rate, size and location of new hydrocarbon reserves, including in offshore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decline of existing hydrocarbon reserves due to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laws and regulations related to environmental matters, including those addressing alternative energy sources and the risks of global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exploitation of alternative fuels or energy sources and end-user conservation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local and foreign governmental regulation and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advances, including technology related to the exploitation of shale oil, which can result in over-supply of hydrocarbons or a change in demand for hydrocarbons;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offshore energy producers to generate funds for their capital-intensive businesses.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Prices for oil and natural gas have historically been, and we anticipate they will continue to be, extremely volatile and reactive to changes in the supply of and demand for oil and natural gas (including changes resulting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the ability of OPEC+ to establish and maintain production quotas), domestic and worldwide economic conditions and political instability in oil producing countries. In the past, low oil prices have adversely affected demand for our services and any decreases, over a sustained period of time, could have a material adverse effect on our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Our business also depends on our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our customers, could result in significant periodic fluctuations in our results of operations and operating cash flows. If customers do not proceed with the completion of significant projects or if significant defaults on customer payment obligations to us arise, or if we encounter disputes with customers involving such payment obligations, we may face difficulties in collecting payment of amounts due to us, including for costs we previously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our long-term assets may adversely impact our financial position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periodically evaluate our long-lived assets, including our property and equipment, and intangible assets. In performing these assessments, we project future cash flows on an undiscounted basis for long-lived assets and compare these cash flows to the carrying amount of the related assets. These cash flow projections are based on our current operating plans, estimates and judgmental assumptions. We perform the assessment of potential impairment for our property and equipment and intangibles whenever facts and circumstances indicate that the carrying value of those assets may not be recoverable due to various external or internal factors. In such event, if we determine that our estimates of future cash flows were inaccurate or our actual results are materially different from what we have predicted, we could record additional impairment charges in future periods, which could have a material adverse effect on our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waiver, repeal or administrative weakening of the Jones Act could adversely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Substantial portions of our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 (d) 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us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our business, financial position, results of operations, cash flows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must continue to comply with the Jones Act’s citizenship requirements. </w:t>
      </w:r>
    </w:p>
    <w:p>
      <w:pPr>
        <w:pStyle w:val="TextBody"/>
        <w:bidi w:val="0"/>
        <w:spacing w:before="120" w:after="0"/>
        <w:jc w:val="left"/>
        <w:rPr>
          <w:rFonts w:ascii="Times New Roman" w:hAnsi="Times New Roman"/>
          <w:sz w:val="20"/>
        </w:rPr>
      </w:pPr>
      <w:r>
        <w:rPr>
          <w:rFonts w:ascii="Times New Roman" w:hAnsi="Times New Roman"/>
          <w:sz w:val="20"/>
        </w:rPr>
        <w:t xml:space="preserve">Because we own and operate U.S.-flagged vessels in the U.S. coastwise trade, the Jones Act requires that at least 75% of the outstanding shares of each class or series of our capital stock must be owned and controlled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citizens. We are responsible for monitoring the ownership of our equity securities and subsidiaries to ensure compliance with the citizenship requirements of the Jones Act.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operations may be impacted by changing macroeconomic conditions, including inflation. </w:t>
      </w:r>
    </w:p>
    <w:p>
      <w:pPr>
        <w:pStyle w:val="TextBody"/>
        <w:bidi w:val="0"/>
        <w:spacing w:before="120" w:after="0"/>
        <w:jc w:val="left"/>
        <w:rPr>
          <w:rFonts w:ascii="Times New Roman" w:hAnsi="Times New Roman"/>
          <w:sz w:val="20"/>
        </w:rPr>
      </w:pPr>
      <w:r>
        <w:rPr>
          <w:rFonts w:ascii="Times New Roman" w:hAnsi="Times New Roman"/>
          <w:sz w:val="20"/>
        </w:rPr>
        <w:t xml:space="preserve">Inflation has been an ongoing concern since 2021 and has continued into 2025. Ongoing inflationary pressures have resulted in, and may continue to result in, additional increases to the costs of goods, services and personnel, which in turn could cause our capital expenditures and operating costs to rise, as well as a scarcity of certain products and raw materials. Like others in our industry, in 2022, 2023 and 2024, we faced, and continue to face, considerable inflation in the cost of raw materials and personnel. International conflicts or other geopolitical events, such as the continuing Russia-Ukraine war and the ongoing conflicts in the Middle East, may also cause upward pressure on the cost of raw materials due to transportation disruptions, higher manufacturing costs, disruptions in supply chains and availability of raw materials, interruptions in manufacturing operations and heightened inflation. To the extent inflation remains elevated, we may experience further cost increases for our operations, as well as increased labor costs. Sustained levels of high inflation caused the U.S. Federal Reserve to raise its target range for the federal funds rate multiple times in 2022 and 2023, but the U.S. Federal Reserve cut rates multiple times between September and December of 2024, resulting in a total aggregate increase of 425 basis points for the period 2022 through September 30, 2025. The U.S. Federal Reserve’s target rate is currently between 3.75% and 4.00%. Future rate hikes from the U.S. Federal Reserve (or its equivalent in other nations) or other efforts to curb inflationary pressure on the costs of goods and services could have the effect of raising the cost of capital and depressing economic growth, either of which (or the combination thereof) could hurt the financial and operating results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High oil prices are also inflationary and governmental or economic responses to high oil prices could impact the operations of our customers. Sustained high oil prices could also drive over-investment and create the potential for global over-supply, which could cause prices to fall, also impacting investment by our customers. </w:t>
      </w:r>
    </w:p>
    <w:p>
      <w:pPr>
        <w:pStyle w:val="TextBody"/>
        <w:bidi w:val="0"/>
        <w:spacing w:before="240" w:after="0"/>
        <w:jc w:val="left"/>
        <w:rPr>
          <w:rFonts w:ascii="Times New Roman" w:hAnsi="Times New Roman"/>
          <w:sz w:val="20"/>
        </w:rPr>
      </w:pPr>
      <w:r>
        <w:rPr>
          <w:rFonts w:ascii="Times New Roman" w:hAnsi="Times New Roman"/>
          <w:sz w:val="20"/>
        </w:rPr>
        <w:t xml:space="preserve">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our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developments in the global oil and gas markets, such as the Russian war with Ukraine and related sanctions, and ongoing conflicts in the Middle East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 </w:t>
      </w:r>
    </w:p>
    <w:p>
      <w:pPr>
        <w:pStyle w:val="TextBody"/>
        <w:bidi w:val="0"/>
        <w:spacing w:before="120" w:after="0"/>
        <w:jc w:val="left"/>
        <w:rPr>
          <w:rFonts w:ascii="Times New Roman" w:hAnsi="Times New Roman"/>
          <w:sz w:val="20"/>
        </w:rPr>
      </w:pPr>
      <w:r>
        <w:rPr>
          <w:rFonts w:ascii="Times New Roman" w:hAnsi="Times New Roman"/>
          <w:sz w:val="20"/>
        </w:rPr>
        <w:t xml:space="preserve">Changes in the supply of and demand for oil and gas impacts the level of services that we provide to customers, which in turn impacts our financial position,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Although as of the date of this prospectus we have not been materially impacted by the resulting supply chain disruptions, the Russian war with Ukraine and related sanctions have significantly disrupted supply chains for crude oil and natural gas. We cannot predict the level of future demand, effects on domestic pricing, and impacts on U.S. oil and gas production. Further, the Russia Ukraine conflict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 costs to increase, and also result in the scarcity of certain materials. Any economic slowdown or recession in Europe or globally,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The U.S. government has also implemented geographic restrictions for certain offshore oil and gas operators and projects, which may reduce the number of projects our vessels may support. While the geographic areas in which we operate are largely unaffected by these sanctions, they could negatively impact our business and financial condition. Further, ongoing conflicts in the Middle East could escalate into a broader conflict that could disrupt energy operations and supply chains globally. </w:t>
      </w:r>
    </w:p>
    <w:p>
      <w:pPr>
        <w:pStyle w:val="TextBody"/>
        <w:bidi w:val="0"/>
        <w:spacing w:before="240" w:after="0"/>
        <w:jc w:val="left"/>
        <w:rPr>
          <w:rFonts w:ascii="Times New Roman" w:hAnsi="Times New Roman"/>
          <w:sz w:val="20"/>
        </w:rPr>
      </w:pPr>
      <w:r>
        <w:rPr>
          <w:rFonts w:ascii="Times New Roman" w:hAnsi="Times New Roman"/>
          <w:sz w:val="20"/>
        </w:rPr>
        <w:t xml:space="preserve">Our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 of credit markets could cause our customers and potential customers to postpone or reduce spending on products or services or put downward pressure on prices, which could have an adverse effect on our business, results of operations or cash flows. In the event of extreme prolonged adverse market events, such as a global credit crisis, we could incur significant losses. The future impact of these current events on our financial condition, results of operations and cash flows depends largely on developments outside our control which cannot be predicted with certainty.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our customers’ businesses are subject to complex laws and regulations that can adversely affect the cost, manner, or feasibility of doing business.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extensive federal, state and local laws and regulations, including complex environmental laws and occupational health and safety laws. We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us to administrative, civil, and criminal penalties. In the event of environmental violations or accidental spills or releases, we may be charged with the costs of investigation, remediation or other corrective actions. In addition, citizen groups and other third parties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our operations were lawful at the time or in accordance with industry standards. In addition, pollution and similar environmental risks generally are not fully insurable. These liabilities and costs could have a material adverse effect on our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Additionally, changes in environmental laws or regulations, including laws relating to the emission of carbon dioxide and other GHGs, disclosure of climate-related information or other climate change concerns, could require us to devote capital or other resources to comply with these laws and regulations. These changes could also subject us to additional costs and restrictions, including increased fuel costs. Such changes in laws or regulations could increase costs of compliance and doing business for our customers and thereby decrease the demand for our services. Because our business depends on the level of activity in the offshore oil and gas industry, existing or future laws and regulations related to GHGs and climate change, including incentives to conserve energy or use alternative energy sources, could have a negative impact on our business if such laws and regulations reduce the worldwide demand for oil and gas or limit drilling opportunities for our customers.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operate our vessels in a number of international markets and are subject to various international treaties and the local laws and regulations in jurisdictions where our vessels operate and/or are registered. These conventions, laws and regulations govern matters of environmental protection, GHG emissions, worker health and safety, vessel and port security, and the manning, construction, ownership and operation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vessels, including cabotage requirements similar to the Jones Act. Changes in such international treaties and such local laws and regulations can be unpredictable and may adversely affect our ability to carry out operations overseas.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provide services for oil and natural gas exploration and production customers operating offshore in the deepwaters of the U.S. and offshore in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Any new legislation, executive actions or regulatory initiatives, whether in the U.S. or in other countries, that impose increased costs, more stringent operational standards or result in significant delays, cancellations or disruptions in our customers’ operations, could increase the risk of losing leasing or permitting opportunities, expired leases due to the time required to develop new technology, increased supplemental bonding costs, or cause our customers to incur penalties, fines or shut-in production at one or more of their facilities, any or all of which could reduce demand for our services. We cannot predict with any certainty the full impact of any new laws, regulations, executive actions or regulatory initiatives on our customers’ drilling operations or the opportunity to pursue such operations, or on the cost or availability of insurance to cover the risks associated with such operations. The matters described above, individually or in the aggregate,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operate in a highly competitive industry. </w:t>
      </w:r>
    </w:p>
    <w:p>
      <w:pPr>
        <w:pStyle w:val="TextBody"/>
        <w:bidi w:val="0"/>
        <w:spacing w:before="120" w:after="0"/>
        <w:jc w:val="left"/>
        <w:rPr>
          <w:rFonts w:ascii="Times New Roman" w:hAnsi="Times New Roman"/>
          <w:sz w:val="20"/>
        </w:rPr>
      </w:pPr>
      <w:r>
        <w:rPr>
          <w:rFonts w:ascii="Times New Roman" w:hAnsi="Times New Roman"/>
          <w:sz w:val="20"/>
        </w:rPr>
        <w:t xml:space="preserve">The offshore drilling and production support industry is both highly competitive and capital intensive and requires substantial resources and investment to satisfy customers and maintain profitability. Our customers award contracts based on price, industry reputation, service quality, vessel offerings and capabilities, transit costs and other similar factors. Increased competition for deepwater and ultra-deepwater drilling contracts could depress dayrates and utilization rates, adversely affecting our profitability. A sustained inability to win contracts in our key markets would put pressure on our ability to service our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diversification into non-oilfield markets could be impacted by reduced investments in the U.S. offshore wind energy market.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may be impacted by reduced investments in the U.S. offshore wind energy market and the inherent complexity of developing wind energy projects. In addition to the state and federal government policies relating to renewable energy, the growth and development of the offshore wind energy market is subject to a number of factors,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and complex permitting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development costs than onshore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cost of financing for the estimated pipeline of offshore wind energy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fixed price contracts of wind development projects make it difficult to recover cost increases;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deferral or cancellation of offshore wind projects, such as when several operators for east coast wind projects terminated their agreements for the provision of wind power due to higher than expected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dynamics of the electricity market, which may be affected by a number of factors, including government regulation, power transmission, seasonality, fluctuations in demand, and the cost and availability of fuel, particularly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raw materials used to make wind turbines, particularly steel;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increase in demand for electricity or “load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competing power sources, including natural gas, nuclear power, solar power and other power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new power generating technology, advances in existing technology or discovery of power generating natural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electrical transmission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and federal laws and regulations, particularly those favoring low carbon energy generation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and legal challenges to proposed offshore wind energy development projects;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heightened focus on environmental or habitat concerns.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attract and retain qualified, skilled employees necessary to operate our business, and the loss of key personnel could adversely affect our relationship with the military. </w:t>
      </w:r>
    </w:p>
    <w:p>
      <w:pPr>
        <w:pStyle w:val="TextBody"/>
        <w:bidi w:val="0"/>
        <w:spacing w:before="120" w:after="0"/>
        <w:jc w:val="left"/>
        <w:rPr>
          <w:rFonts w:ascii="Times New Roman" w:hAnsi="Times New Roman"/>
          <w:sz w:val="20"/>
        </w:rPr>
      </w:pPr>
      <w:r>
        <w:rPr>
          <w:rFonts w:ascii="Times New Roman" w:hAnsi="Times New Roman"/>
          <w:sz w:val="20"/>
        </w:rPr>
        <w:t xml:space="preserve">Much of our success depends on our ability to attract and retain highly skilled and qualified personnel. Our inability to hire, train and retain a sufficient number of qualified employees, including mariners, could impair our ability to manage, maintain and grow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crewing our vessels, we require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 industry have improved, it has become more challenging to engage experienced personnel as crews on our vessels. We face strong competition within the broader oilfield industry for employees and potential employees, including competition from drilling rig operators for fleet personnel. We may have difficulty hiring employees or finding suitable replacements as needed and it is possible that we would have to raise wage rates or increase benefits offered to attract workers and to retain current employees. In such circumstances, if we are unable to increase our service rates to customers to compensate for wage increases or recruit qualified personnel to operate vessels at full utilization, our financial condition and results of operations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ongoing viability and potential growth of our contractual relationship with the U.S. military is dependent on our continued employment of certain key personnel. Any action taken by the U.S. military in response to the loss of key personnel, or potential loss of key personnel, from our operations could adversely affect our current and future business with the military and, in turn, adversely affect our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Further, our operations are dependent upon the efforts and continued employment of our executive officers and key management personnel, including, but not limited to, our Founder, Chairman, President and Chief Executive Officer, Todd M. Hornbeck, who has substantial experience and relationships with our major customers. Given industry management turnover resulting from restructurings and other corporate changes, seasoned managers are in demand. Although we have entered into employment agreements with our executive officers and key management personnel, there is no guarantee that they will remain employed by us. In the event of the loss of key management personnel, we would be required to hire a replacement and there can be no assurance that the replacement will be suitable or favorable to us, which could adversely affect our financial results and operations. The loss of services of one or more of our executive officers or key management personnel could have a negative impact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adversely affected by potential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become parties to litigation. In general, litigation can be expensive and time consuming to bring or defend against. Such litigation could result in settlements or damages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significantly affect our financial results or operations. It is not possible to predict the potential litigation that we may become party to nor the final resolution of such litigation. The impact of any such litigation on our businesses and financial stability, however, could be 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Stacked vessels, and the reactivation of such vessels, may require substantial capital and operating expenditures and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Due to then-applicable difficult market conditions, we have in the past elected, and may in the future elect, to stack certain vessels in our fleet in order to reduce the number of crew and personnel that operate and maintain such vessels. Though vessel stacking reduces the costs of operating a vessel, it reduces the number of available vessels we can deploy to service our customers and limits potential revenues. If market conditions should decline, we may be required to stack additional vessels. </w:t>
      </w:r>
    </w:p>
    <w:p>
      <w:pPr>
        <w:pStyle w:val="TextBody"/>
        <w:bidi w:val="0"/>
        <w:spacing w:before="240" w:after="0"/>
        <w:jc w:val="left"/>
        <w:rPr>
          <w:rFonts w:ascii="Times New Roman" w:hAnsi="Times New Roman"/>
          <w:sz w:val="20"/>
        </w:rPr>
      </w:pPr>
      <w:r>
        <w:rPr>
          <w:rFonts w:ascii="Times New Roman" w:hAnsi="Times New Roman"/>
          <w:sz w:val="20"/>
        </w:rPr>
        <w:t xml:space="preserve">When we elect to reactivate the stacked vessels, we will incur substantial capital and operating expenditures. These expenditures could increase as a result of changes in the cost of labor and materials, changes in technology, customer requirements for new or upgraded equipment, the size of our fleet, the cost of replacement parts for existing vessels, the geographic location of the vessels or the length of contracts. We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our financial results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fund these capital expenditures with our liquidity, we may be required to incur additional borrowings, or seek out additional financing arrangements with banks or other capital providers. Our failure to obtain the funds for necessary future capital expenditures could have a material adverse effect on our business and on our financial position,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Reactivation of vessels could adversely impact the market for OSVs and MPSVs. </w:t>
      </w:r>
    </w:p>
    <w:p>
      <w:pPr>
        <w:pStyle w:val="TextBody"/>
        <w:bidi w:val="0"/>
        <w:spacing w:before="120" w:after="0"/>
        <w:jc w:val="left"/>
        <w:rPr>
          <w:rFonts w:ascii="Times New Roman" w:hAnsi="Times New Roman"/>
          <w:sz w:val="20"/>
        </w:rPr>
      </w:pPr>
      <w:r>
        <w:rPr>
          <w:rFonts w:ascii="Times New Roman" w:hAnsi="Times New Roman"/>
          <w:sz w:val="20"/>
        </w:rPr>
        <w:t xml:space="preserve">As of October 31, 2025, within our fleet, 19 U.S.-flagged OSVs, three foreign-flagged OSVs and two U.S.-flagged MPSVs were stacked. Certain of our competitors have also stacked OSVs and may also stack additional OSVs from time to time. To the extent that we or our competitors reactivate vessels in response to improvement or perceived improvement in market conditions faster than the market can absorb such additional vessels, the market for OSVs could become oversaturated and would adversely affect dayrates and utilization for our vessels.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the supply of vessels could decrease dayrates. </w:t>
      </w:r>
    </w:p>
    <w:p>
      <w:pPr>
        <w:pStyle w:val="TextBody"/>
        <w:bidi w:val="0"/>
        <w:spacing w:before="120" w:after="0"/>
        <w:jc w:val="left"/>
        <w:rPr>
          <w:rFonts w:ascii="Times New Roman" w:hAnsi="Times New Roman"/>
          <w:sz w:val="20"/>
        </w:rPr>
      </w:pPr>
      <w:r>
        <w:rPr>
          <w:rFonts w:ascii="Times New Roman" w:hAnsi="Times New Roman"/>
          <w:sz w:val="20"/>
        </w:rPr>
        <w:t xml:space="preserve">A material increase in the supply of OSVs or MPSVs, whether through new construction (including our own), refurbishment or conversion of vessels from other uses, remobilization, reactivation or changes in law or its application could increase competition for charters, lower utilization or lower dayrates, any of which would adversely affect our revenues and profitability. Such an increase in vessel capacity could also exacerbate the impact of any future downturn in the oil and gas industry, which would have an adverse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Additionally, because the Jones Act does not cover certain services provided by MPSVs, foreign competitors may deploy additional MPSVs to the U.S. GoA or build additional MPSVs that will compete with us in the U.S. GoA.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early termination of or inability to renew contracts for our vessels could have an adverse effect on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Certain contracts for our vessels, including contracts with the United States government, allow for early termination at the customer’s option. Many of our contracts that contain early termination provisions contain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remedies or other provisions that would compensate us in the event an option is exercised, such as early termination fees, but customers may choose to exercise their termination rights in spite of such remedies or provisions and such remedies may not fully compensate us for the loss of the contract.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economic downturns, customers have requested that we adjust the terms of their contracts to be more customer-friendly, including by assuming greater risks. While we are not required to give such concessions, commercial considerations may dictate that we do so, given the relatively few deepwater and ultra-deepwater customers operating in the U.S. GoA. Certain customers who seek to terminate our contracts may attempt to defeat or circumvent our protections against certain liabilities for which we receive indemnity. Our customers’ ability to perform their obligations under their contracts, including their ability to fulfill their indemnity obligations to us, may be negatively impacted by an economic downturn. Our customers, which include national energy companies, often have significant bargaining leverage over us. Should a counterparty fail to honor its obligations under an agreement with us, we could sustain losses, which could have an adverse effect on our business and on our financial position,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Until we replace the terminated contracts with new contracts, our business could be temporarily disrupted or adversely affected, as there may be a gap in the operation of the vessels between the current contracts and subsequent contracts, or we may not be able to secure new contracts on substantially similar terms due to the prevailing market or industry conditions at the time of expiration. The fluctuation in the demand for our services may be impacted by volatility in oil and gas markets, which could ultimately adversely affect our financial position, results of operations or cash flows. As of October 31, 2025, within our fleet, 19 U.S.-flagged OSVs, three foreign-flagged OSVs and two U.S.-flagged MPSVs were stacked. Further, as of October 31, 2025, we had 44 existing contracts for our vessels that are currently operating, which have durations ranging from eight days to five years. When oil and natural gas prices are low or it is expected that such prices will decrease in the future, we may be unable to obtain contracts at attractive dayrates or at all. We may not be able to obtain new contracts in direct continuation with existing contracts, or depending on prevailing market conditions, we may enter into contracts at dayrates substantially below the existing dayrates or on terms otherwise less favorable.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complete the construction of our remaining two newbuilds and may experience delays related to the newbuilds. </w:t>
      </w:r>
    </w:p>
    <w:p>
      <w:pPr>
        <w:pStyle w:val="TextBody"/>
        <w:bidi w:val="0"/>
        <w:spacing w:before="120" w:after="0"/>
        <w:jc w:val="left"/>
        <w:rPr>
          <w:rFonts w:ascii="Times New Roman" w:hAnsi="Times New Roman"/>
          <w:sz w:val="20"/>
        </w:rPr>
      </w:pPr>
      <w:r>
        <w:rPr>
          <w:rFonts w:ascii="Times New Roman" w:hAnsi="Times New Roman"/>
          <w:sz w:val="20"/>
        </w:rPr>
        <w:t xml:space="preserve">We began constructing two Jones Act-qualified MPSVs under our prior newbuild program. These vessels are large and complex. The cost to complete these vessels will exceed the $42.7 million total remaining contract price we have paid for their completion under the settlement agreement with the Surety. The Surety that has taken over their construction will be required to pay significant sums in excess of our remaining original contract contribution. While the Surety is contractually required to fund these excess costs, it might not do so, which would result in delay and disputes. </w:t>
      </w:r>
    </w:p>
    <w:p>
      <w:pPr>
        <w:pStyle w:val="TextBody"/>
        <w:bidi w:val="0"/>
        <w:spacing w:before="240" w:after="0"/>
        <w:jc w:val="left"/>
        <w:rPr>
          <w:rFonts w:ascii="Times New Roman" w:hAnsi="Times New Roman"/>
          <w:sz w:val="20"/>
        </w:rPr>
      </w:pPr>
      <w:r>
        <w:rPr>
          <w:rFonts w:ascii="Times New Roman" w:hAnsi="Times New Roman"/>
          <w:sz w:val="20"/>
        </w:rPr>
        <w:t xml:space="preserve">Moreover, the vessels are complex and the shipyard performing the completion work for the Surety may be unable or unwilling to perform on the anticipated timeline or at all, also potentially causing delay and disruption to our planned uses for the vessels.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successfully complete repairs, maintenance and routine drydockings on-time and on-budget could adversely affect our financial condition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routinely engage shipyards to drydock vessels for regulatory compliance, repairs and maintenance. Equipment shortages, insufficient shipyard availability, unforeseen engineering issues, work stoppages, weather interference, unanticipated cost increases, inability to obtain necessary certifications and approvals, material shortages, labor issues, and other similar factors could lead to extended delays or additional costs. Significant delays could adversely affect our ability to perform under our contracts, and significant cost overruns could adversely affect our operations and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October 31, 2025, our total contracted backlog was $776.9 million.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 </w:t>
      </w:r>
    </w:p>
    <w:p>
      <w:pPr>
        <w:pStyle w:val="TextBody"/>
        <w:bidi w:val="0"/>
        <w:spacing w:before="240" w:after="0"/>
        <w:jc w:val="left"/>
        <w:rPr>
          <w:rFonts w:ascii="Times New Roman" w:hAnsi="Times New Roman"/>
          <w:sz w:val="20"/>
        </w:rPr>
      </w:pPr>
      <w:r>
        <w:rPr>
          <w:rFonts w:ascii="Times New Roman" w:hAnsi="Times New Roman"/>
          <w:sz w:val="20"/>
        </w:rPr>
        <w:t xml:space="preserve">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We may not be able to realize the full amount of our total contracted backlog due to events beyond our control. In addition, some of our customers have experienced liquidity issues in the past, including some recently, and these liquidity issues could be experienced again if commodity prices decline for an extended period of time. Liquidity issues and other market pressures could lead our customers to seek bankruptcy protection or to seek to repudiate, cancel or renegotiate these agreements for various reasons. Our inability to realize the full amount of our total contracted backlog may have an adverse effect on our financial position,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addition to industry concentrations, we have certain customer concentrations, and the loss of a significant customer would adversely impact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nine months ended September 30, 2025 and the year ended December 31, 2024, three customers accounted for 42% and 44%, respectively, of our consolidated revenues. The loss or material reduction of business from a significant customer could therefore have a material adverse effect on our results of operations and cash flows. Moreover, our customer contracts subject us to counterparty risks. See “—We may be unable to collect amounts owed to us by customers.” The ability of each of our counterparties to perform their obligations under a contract with us will depend on a number of factors that are beyond our control such as the overall financial condition of the counterparty. Should a significant customer fail to honor its obligations under an agreement with us, we could sustain losses,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completed and future acquisitions by us may create additional risks. </w:t>
      </w:r>
    </w:p>
    <w:p>
      <w:pPr>
        <w:pStyle w:val="TextBody"/>
        <w:bidi w:val="0"/>
        <w:spacing w:before="120" w:after="0"/>
        <w:jc w:val="left"/>
        <w:rPr>
          <w:rFonts w:ascii="Times New Roman" w:hAnsi="Times New Roman"/>
          <w:sz w:val="20"/>
        </w:rPr>
      </w:pPr>
      <w:r>
        <w:rPr>
          <w:rFonts w:ascii="Times New Roman" w:hAnsi="Times New Roman"/>
          <w:sz w:val="20"/>
        </w:rPr>
        <w:t xml:space="preserve">We regularly consider possible acquisitions of single vessels, vessel fleets and businesses, such as our purchases of 19 OSVs since 2022. The success of this strategy is dependent upon our ability to identify appropriate acquisition targets, negotiate transactions on favorable terms, finance transactions, complete transactions and successfully integrate them into our existing business. Subject to the terms of our indebtedness, we may finance future acquisitions with cash from operations, additional indebtedness and/or by issuing additional equity or debt securities. Acquisitions can involve a number of special risks and challenges,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 time and attention from existing business and other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closing the acquisition due to third-party consents, regulatory approvals or other reasons;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effects from disclosed or undisclosed matters pertaining to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or termination of employees and the costs associated with the termination or replacement of such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of debt, litigation or other liabilities of the acquired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incurrence of additional debt related to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expenses and working capital requirements associated with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dilution of stock ownership of existing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accounting charges for restructuring and related expenses, impairment of goodwill, amortization of intangible assets and stock-based compensation expense;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reactivation of idle vessels, such as higher than anticipated cost or time, unknown condition, and obsolescence or unavailability of spare parts or components.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we consummate an acquisition, the process of integrating the new acquisition into our operations may result in unforeseen operational difficulties and additional costs, and may adversely affect the effectiveness of internal controls over financial reporting. In addition, valuations supporting our acquisitions and strategic investments could change rapidly and integration may be more costly to accomplish than we expect. Moreover, our management may not be able to effectively manage a substantially larger business or successfully operate a new line of business. Failure to manage these acquisition risks could materially and adversely affect our ability to achieve anticipated levels of utilization, profitability or other benefits from the acquisitions, and ultimately could materially and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Uncertainty surrounding potential legal, regulatory and policy changes, as well as the potential for general market volatility and regulatory uncertainty, may have a material adverse effect on our results of operations, cash flows and 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We and our customers, particularly in the oil and natural gas industry, face continued regulatory and tax uncertainties. The nature, timing and economic effects of any potential change to the current legal and regulatory framework affecting our and our customers’ businesses are uncertain. Some changes may adversely affect our or our customers’ operations and have an adverse impact on our business, financial condition, results of operations and growth prospects. In addition, a significant portion of our revenue is generated from contracts with the United States government. For the nine months ended September 30, 2025, charters with the MSC accounted for 16% of our consolidated revenues. Department of Defense (“DoD”) budgets could be negatively impacted by several factors, including, but not limited to, a change in defense spending policy as a result of policy changes or otherwise, the United States government’s budget deficits, any U.S. government shutdown, spending priorities, possible political pressure to reduce United States government military spending and the ability of the U.S. government to enact appropriations bills and other relevant legislation, each of which could cause the DoD budget to remain unchanged or to decline. A significant decline in United States military expenditures could negatively impact our revenue through an inability to enter into favorable charters with the United States government.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contracts with the United States government might not be renewed, may be renewed at lower rates or may impose additional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2023, we were informed that the MSC was conducting a market survey of companies capable of providing services we currently perform pursuant to a ten-year O&amp;M contract scheduled to expire in February 2025. We were subsequently informed that the MSC would seek to renegotiate that O&amp;M contract with us on a sole-source basis. Since beginning the renegotiation, we were awarded contract extensions to continue our support under the O&amp;M contract until February 2026. Due to factors outside our control, including government budget cuts or other political events, such as a prolonged government shutdown, we may be unable to renegotiate the contract on favorable terms or at all. Further, the contract or the sole-source determination may be challenged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Our government contracts may be impacted by new regulatory or legislative requirements that could increase the cost of our government operations or accelerate obsolescence of vessels we employ for the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involves a number of operational risks that may disrupt our business or adversely affect our financial results, and insurance may be unavailable or inadequate to protect against such risks. </w:t>
      </w:r>
    </w:p>
    <w:p>
      <w:pPr>
        <w:pStyle w:val="TextBody"/>
        <w:bidi w:val="0"/>
        <w:spacing w:before="120" w:after="0"/>
        <w:jc w:val="left"/>
        <w:rPr>
          <w:rFonts w:ascii="Times New Roman" w:hAnsi="Times New Roman"/>
          <w:sz w:val="20"/>
        </w:rPr>
      </w:pPr>
      <w:r>
        <w:rPr>
          <w:rFonts w:ascii="Times New Roman" w:hAnsi="Times New Roman"/>
          <w:sz w:val="20"/>
        </w:rPr>
        <w:t xml:space="preserve">Our vessels are subject to operating risks,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catastrophic marine disaster;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weather and sea conditions, which may be exacerbated by the effects of climate change,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mechanical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collisions or allisions;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spills or other hazardous substance releases;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navigational errors;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God;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 terrorism or piracy.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of the enumerated events, or other similar events, may result in vessel damage, vessel loss, personnel injury or death, or environmental contamination. The occurrence of any such event could expose us to liability or costs. </w:t>
      </w:r>
    </w:p>
    <w:p>
      <w:pPr>
        <w:pStyle w:val="TextBody"/>
        <w:bidi w:val="0"/>
        <w:spacing w:before="240" w:after="0"/>
        <w:jc w:val="left"/>
        <w:rPr>
          <w:rFonts w:ascii="Times New Roman" w:hAnsi="Times New Roman"/>
          <w:sz w:val="20"/>
        </w:rPr>
      </w:pPr>
      <w:r>
        <w:rPr>
          <w:rFonts w:ascii="Times New Roman" w:hAnsi="Times New Roman"/>
          <w:sz w:val="20"/>
        </w:rPr>
        <w:t xml:space="preserve">Affected vessels may also be removed from service and thus be unavailable for income-generating activity. </w:t>
      </w:r>
    </w:p>
    <w:p>
      <w:pPr>
        <w:pStyle w:val="TextBody"/>
        <w:bidi w:val="0"/>
        <w:spacing w:before="240" w:after="0"/>
        <w:jc w:val="left"/>
        <w:rPr>
          <w:rFonts w:ascii="Times New Roman" w:hAnsi="Times New Roman"/>
          <w:sz w:val="20"/>
        </w:rPr>
      </w:pPr>
      <w:r>
        <w:rPr>
          <w:rFonts w:ascii="Times New Roman" w:hAnsi="Times New Roman"/>
          <w:sz w:val="20"/>
        </w:rPr>
        <w:t xml:space="preserve">Additionally, certain of our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our premiums or deductible levels could adversely affect our operating costs. </w:t>
      </w:r>
    </w:p>
    <w:p>
      <w:pPr>
        <w:pStyle w:val="TextBody"/>
        <w:bidi w:val="0"/>
        <w:spacing w:before="240" w:after="0"/>
        <w:jc w:val="left"/>
        <w:rPr>
          <w:rFonts w:ascii="Times New Roman" w:hAnsi="Times New Roman"/>
          <w:sz w:val="20"/>
        </w:rPr>
      </w:pPr>
      <w:r>
        <w:rPr>
          <w:rFonts w:ascii="Times New Roman" w:hAnsi="Times New Roman"/>
          <w:sz w:val="20"/>
        </w:rPr>
        <w:t xml:space="preserve">While we believe that our insurance coverage is adequate and insures against risks that are customary in the industry, we may be unable to renew such coverage in the future at commercially reasonable rates. Moreover, existing or future coverage may not be sufficient to cover claims that may arise, and we do not maintain insurance for loss of income resulting from a marine casualty.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Operations in offshore waters have inherent and historically higher risk than onshore activities, and our operations could be affected by third-party actions. </w:t>
      </w:r>
    </w:p>
    <w:p>
      <w:pPr>
        <w:pStyle w:val="TextBody"/>
        <w:bidi w:val="0"/>
        <w:spacing w:before="120" w:after="0"/>
        <w:jc w:val="left"/>
        <w:rPr>
          <w:rFonts w:ascii="Times New Roman" w:hAnsi="Times New Roman"/>
          <w:sz w:val="20"/>
        </w:rPr>
      </w:pPr>
      <w:r>
        <w:rPr>
          <w:rFonts w:ascii="Times New Roman" w:hAnsi="Times New Roman"/>
          <w:sz w:val="20"/>
        </w:rPr>
        <w:t xml:space="preserve">Offshore operations are subject to a variety of operating risks specific to the marine environment, such as perils of the sea and marine casualty events that such perils can cause or contribute to, including capsizing, collisions, allisions and damage or loss from adverse weather conditions. In addition to being vulnerable to the risks associated with operating offshore, we may also be affected by actions of third-parties. For example, a third-party marine vessel may damage or destroy our assets or an accident caused by a third-party marine vessel may cause us to be subject to remediation and other costs resulting from releases of hazardous materials and other environmental and natural resource damages. In addition to utilization loss of our vessels and increased costs, these hazards could cause serious injuries, fatalities, contamination or property damage for which we could be held responsible. </w:t>
      </w:r>
    </w:p>
    <w:p>
      <w:pPr>
        <w:pStyle w:val="TextBody"/>
        <w:bidi w:val="0"/>
        <w:spacing w:before="240" w:after="0"/>
        <w:jc w:val="left"/>
        <w:rPr>
          <w:rFonts w:ascii="Times New Roman" w:hAnsi="Times New Roman"/>
          <w:sz w:val="20"/>
        </w:rPr>
      </w:pPr>
      <w:r>
        <w:rPr>
          <w:rFonts w:ascii="Times New Roman" w:hAnsi="Times New Roman"/>
          <w:sz w:val="20"/>
        </w:rPr>
        <w:t xml:space="preserve">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our business and on our financial position, results of operations and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operations may be materially adversely affected by tropical storms and hurricanes. </w:t>
      </w:r>
    </w:p>
    <w:p>
      <w:pPr>
        <w:pStyle w:val="TextBody"/>
        <w:bidi w:val="0"/>
        <w:spacing w:before="120" w:after="0"/>
        <w:jc w:val="left"/>
        <w:rPr>
          <w:rFonts w:ascii="Times New Roman" w:hAnsi="Times New Roman"/>
          <w:sz w:val="20"/>
        </w:rPr>
      </w:pPr>
      <w:r>
        <w:rPr>
          <w:rFonts w:ascii="Times New Roman" w:hAnsi="Times New Roman"/>
          <w:sz w:val="20"/>
        </w:rPr>
        <w:t xml:space="preserve">Tropical storms, hurricanes and the threat of tropical storms and hurricanes often result in the shutdown of operations in coastal regions, including the GoA, as well as operations within the path and the projected path of the tropical storms or hurricanes. The Atlantic hurricane season is June through November. We may incur losses in our business in excess of: (i) those experienced in prior years, (ii) the average expected level used in pricing, or (iii) current insurance coverage limits. The incidence and severity of severe weather conditions and other natural disasters are inherently unpredictable. In addition, climate change could result in an increase in the frequency and severity of tropical storms, hurricanes or other extreme weather events. Additionally, climate change may adversely impact the demand, price, and availability of insurance. In the future, during a tropical storm or hurricane, we may be unable to operate in the area of the storm. Additionally, tropical storms or hurricanes may cause evacuation of personnel, reduce the areas in which, or the number of days during which, our customers would contract for our vessels in general and cause damage to our vessels and other equipment, which may result in suspension of certain operations. The shutdowns, related evacuations and damage can create unpredictability in activity and utilization rates, as well as delays and cost overruns,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Cybersecurity attacks may result in potential liability or reputational damage or otherwise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 use computerized systems to help run our financial and operations functions, including the processing of payment transactions, store confidential records and conduct vessel operations, which may subject our business to increased risks.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as a result of inadvertent error or by deliberately tampering with or manipulating our operational systems. In addition, dependence upon automated systems, including those on board our vessels, may further increase the risk of operational system flaws, and employee or other tampering or manipulation of those systems will result in losses that are difficult to detect. </w:t>
      </w:r>
    </w:p>
    <w:p>
      <w:pPr>
        <w:pStyle w:val="TextBody"/>
        <w:bidi w:val="0"/>
        <w:spacing w:before="240" w:after="0"/>
        <w:jc w:val="left"/>
        <w:rPr>
          <w:rFonts w:ascii="Times New Roman" w:hAnsi="Times New Roman"/>
          <w:sz w:val="20"/>
        </w:rPr>
      </w:pPr>
      <w:r>
        <w:rPr>
          <w:rFonts w:ascii="Times New Roman" w:hAnsi="Times New Roman"/>
          <w:sz w:val="20"/>
        </w:rPr>
        <w:t xml:space="preserve">Cybersecurity incidents are increasing in frequency and magnitude across all business types. We have experienced attempted cybersecurity attacks but have not suffered any material adverse effect to our business and operations as a result of such attempts. We have implemented security measures, internal controls and testing that are designed to detect and protect against cyberattacks. We regularly update and review our testing protocols, however, no security measure is infallible. Despite these measures and any additional measures we may implement or adopt in the future, our facilities, vessels and systems, and those of our third-party service providers, have been and are vulnerable to security breaches, computer viruses, lost or misplaced data, programming errors, scams, burglary, human errors, misdirected wire transfers, and other adverse events, including threats to our critical operations technologies and process control networks. Third-party systems on which we rely could also suffer such attacks or operational system failures. Any of these occurrences could result in material harm to our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our competitiveness, stock price and long-term shareholder value, or otherwise have an adverse effect on our business, operations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operations in international markets and shipyard activities in foreign shipyards subjects us to risks inherent in conducting business internationally. </w:t>
      </w:r>
    </w:p>
    <w:p>
      <w:pPr>
        <w:pStyle w:val="TextBody"/>
        <w:bidi w:val="0"/>
        <w:spacing w:before="120" w:after="0"/>
        <w:jc w:val="left"/>
        <w:rPr>
          <w:rFonts w:ascii="Times New Roman" w:hAnsi="Times New Roman"/>
          <w:sz w:val="20"/>
        </w:rPr>
      </w:pPr>
      <w:r>
        <w:rPr>
          <w:rFonts w:ascii="Times New Roman" w:hAnsi="Times New Roman"/>
          <w:sz w:val="20"/>
        </w:rPr>
        <w:t xml:space="preserve">We derive a portion of our revenues from foreign sources. In addition, certain of our shipyard repair and procurement activities are being conducted with foreign vendors. We therefore face risks inherent in conducting 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We do not hedge against foreign currency risk. While we endeavor to contract in U.S. dollars when operating internationally, some contracts may be denominated in a foreign currency, which would result in a foreign currency exposure risk. We also face risks related to administrative or other legal changes in foreign cabotage laws, or other legal or administrative changes that adversely impact planned or expected offshore energy development. For instance, in 2023, Mexican regulators challenged our right to perform cabotage services in Mexico. As a result, we took legal action to preserve our cabotage privileges there, and a Mexican court ordered that our privileges be reinstated. On June 3, 2024, we appealed this decision to further clarify the court’s ruling, and our cabotage privileges remain active during the pendency of the appeal, which is expected to last between one and three years, if not longer. If determined in a manner that is unfavorable to us, we expect that we may not be able to continue Mexican cabotage operations under its current structure. If we prevail in our appeal, we expect that we will be able to continue to exercise our reinstated privileges, unless legislative or other actions disallow such operations. In the first quarter of 2026, we expect three of our Mexican-flagged vessels to return to Mexico to perform services under a long-term charter with an integrated oil company. All of these risks associated with our international operations are beyond our control and difficult to insure against. We cannot predict the nature and the likelihood of any such events. If such an event should occur, however, it could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are covered by federal laws that may subject us to job-related claims in addition to those provided by state laws.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Jones Act, the Death on the High Seas Act and general maritime law cover certain of our employees. These laws preempt state workers’ compensation laws and permit employees and their representatives to pursue actions against employers for job-related tort claims in federal courts. Because we are generally not protected by the damage limits imposed by state workers’ compensation statutes for these types of claims, we may be exposed to higher damage awards for these types of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susceptible to unexpected increases in operating expenses such as crew wages, materials and supplies, maintenance and repairs and insurance costs. </w:t>
      </w:r>
    </w:p>
    <w:p>
      <w:pPr>
        <w:pStyle w:val="TextBody"/>
        <w:bidi w:val="0"/>
        <w:spacing w:before="120" w:after="0"/>
        <w:jc w:val="left"/>
        <w:rPr>
          <w:rFonts w:ascii="Times New Roman" w:hAnsi="Times New Roman"/>
          <w:sz w:val="20"/>
        </w:rPr>
      </w:pPr>
      <w:r>
        <w:rPr>
          <w:rFonts w:ascii="Times New Roman" w:hAnsi="Times New Roman"/>
          <w:sz w:val="20"/>
        </w:rPr>
        <w:t xml:space="preserve">Many of our operating costs, such as crew wages, materials and supplies, maintenance and repairs, and insurance costs are unpredictable and vary based on events beyond our control. Our profitability will vary based on fluctuations in operating costs. If our operating costs increase, we may not be able to recover such costs from customers. Such an increase in operating costs could adversely affect our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collect amounts owed to us by customers. </w:t>
      </w:r>
    </w:p>
    <w:p>
      <w:pPr>
        <w:pStyle w:val="TextBody"/>
        <w:bidi w:val="0"/>
        <w:spacing w:before="120" w:after="0"/>
        <w:jc w:val="left"/>
        <w:rPr>
          <w:rFonts w:ascii="Times New Roman" w:hAnsi="Times New Roman"/>
          <w:sz w:val="20"/>
        </w:rPr>
      </w:pPr>
      <w:r>
        <w:rPr>
          <w:rFonts w:ascii="Times New Roman" w:hAnsi="Times New Roman"/>
          <w:sz w:val="20"/>
        </w:rPr>
        <w:t xml:space="preserve">We typically grant customers credit on a short-term basis. Because we do not typically collect collateralized receivables from customers, we are subject to credit risk on the credit we extend. We estimate uncollectible accounts in our financial statements based on historical losses, current economic conditions, and individual customer evaluations. However, our estimates may not be accurate and the receivables due from customers as reflected in our financial statements may not be collectible.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GoA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w:t>
      </w:r>
    </w:p>
    <w:p>
      <w:pPr>
        <w:pStyle w:val="TextBody"/>
        <w:bidi w:val="0"/>
        <w:spacing w:before="240" w:after="0"/>
        <w:jc w:val="left"/>
        <w:rPr>
          <w:rFonts w:ascii="Times New Roman" w:hAnsi="Times New Roman"/>
          <w:sz w:val="20"/>
        </w:rPr>
      </w:pPr>
      <w:r>
        <w:rPr>
          <w:rFonts w:ascii="Times New Roman" w:hAnsi="Times New Roman"/>
          <w:sz w:val="20"/>
        </w:rPr>
        <w:t xml:space="preserve">Combating the effects of climate change continues to attract global attention, including from regulators, legislators, companies in a variety of industries, financial market participants and other stakeholders. This focus, together with government grants, incentives and subsidies focused on alternative energy development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 (ii) 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 </w:t>
      </w:r>
    </w:p>
    <w:p>
      <w:pPr>
        <w:pStyle w:val="TextBody"/>
        <w:bidi w:val="0"/>
        <w:spacing w:before="240" w:after="0"/>
        <w:jc w:val="left"/>
        <w:rPr>
          <w:rFonts w:ascii="Times New Roman" w:hAnsi="Times New Roman"/>
          <w:sz w:val="20"/>
        </w:rPr>
      </w:pPr>
      <w:r>
        <w:rPr>
          <w:rFonts w:ascii="Times New Roman" w:hAnsi="Times New Roman"/>
          <w:sz w:val="20"/>
        </w:rPr>
        <w:t xml:space="preserve">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require reporting of GHG emissions or other climate-related information or otherwise seek to limit GHG emissions (including carbon pricing schemes) from ourselves or our customers, could adversely affect our business and the oil and gas industry. Accordingly, our business and operations, and those of our customers, are subject to executive, regulatory, political and financial risks associated with marine transportation, petroleum products and the emission of GHGs. Any legislation or regulatory programs related to climate change could increase our costs and require substantial capital, compliance, operating and maintenance costs, reduce demand for petroleum and related marine transportation services, reduce our access to financial markets, and create greater potential for governmental investigations or litigation. For example, the adoption of legislation or regulatory programs to reduce GHG emissions could require us or our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our revenues. Furthermore, as our competitors use or develop new technological advances designed to reduce their impacts on the environment or climate change, such as the use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alternative fuels for marine vessels, we may be placed at a competitive disadvantage or may be forced by competitive pressures to implement new technologies at substantial costs.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certain segments of the investor community have recently expressed negative sentiment towards investing in the oil and natural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our services or reduce our access to, and increase the cost of, debt or capital. </w:t>
      </w:r>
    </w:p>
    <w:p>
      <w:pPr>
        <w:pStyle w:val="TextBody"/>
        <w:bidi w:val="0"/>
        <w:spacing w:before="240" w:after="0"/>
        <w:jc w:val="left"/>
        <w:rPr>
          <w:rFonts w:ascii="Times New Roman" w:hAnsi="Times New Roman"/>
          <w:sz w:val="20"/>
        </w:rPr>
      </w:pPr>
      <w:r>
        <w:rPr>
          <w:rFonts w:ascii="Times New Roman" w:hAnsi="Times New Roman"/>
          <w:sz w:val="20"/>
        </w:rPr>
        <w:t xml:space="preserve">Any legislation, regulatory programs, technological advances or social pressures related to climate change could increase our or our customers’ operating and compliance costs, reduce demand for our services, and, together with negative investor sentiment, may have a material adverse effect on our business, financial condition, results of operations and cash flows. For further discussion, please see “Business—Government Regulation—Climate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Increased scrutiny and changing stakeholder expectations with respect to sustainability matters may impact our business and expose us to additional risks. </w:t>
      </w:r>
    </w:p>
    <w:p>
      <w:pPr>
        <w:pStyle w:val="TextBody"/>
        <w:bidi w:val="0"/>
        <w:spacing w:before="120" w:after="0"/>
        <w:jc w:val="left"/>
        <w:rPr>
          <w:rFonts w:ascii="Times New Roman" w:hAnsi="Times New Roman"/>
          <w:sz w:val="20"/>
        </w:rPr>
      </w:pPr>
      <w:r>
        <w:rPr>
          <w:rFonts w:ascii="Times New Roman" w:hAnsi="Times New Roman"/>
          <w:sz w:val="20"/>
        </w:rPr>
        <w:t xml:space="preserve">Companies across all industries are facing increasing scrutiny from stakeholders related to their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our sustainability strategy or any achieve sustainability goals and targets that we have or may set, could damage our reputation, causing our investors or other stakeholders to lose confidence in us, and negatively impact our operations. In addition, we could be criticized for the timing, scope or nature of these initiatives or goals, or for any revisions to them. There can be no assurance that we will be able to accomplish any announced goals, targets initiatives, commitments or objectives related to our sustainability strategy, as statements regarding the same reflect our current plans and aspirations and are not guarantees that we will be able to achieve them within the timelines we announce, or at all. In certain circumstances, we could determine in our discretion that it is not feasible or practical to implement or complete certain of our sustainability goals, targets, initiatives, policies or procedures based on cost, timing or other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Our efforts to research, establish, accomplish and accurately report on the implementation of our sustainability strategy, including any related goals, may also create additional operational risks and expenses and expose us to reputational, legal and other risks. Moreover, while we may create and publish voluntary disclosures regarding sustainability matters from time to time, some of the statements in those voluntary disclosures may be based on hypothetical expectations and assumptions that may or may not be representative of current or actual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Challenges brought by third parties could also result in our being penalized or criticized based on any inaccuracy, inadequacy, or incompleteness of such disclosures. The occurrence of any of the foregoing could have a material adverse effect on our reputation,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Further, our business and growth opportunities require us to have strong relationships with various key stakeholders, including our investors, employees, suppliers, customers and others. We may face pressures from stakeholders, many of whom are increasingly focused on climate change, to prioritize sustainable energy practices, reduce our carbon footprint and promote sustainability while at the same time remaining a successfully operating business. At the same time, stakeholders and regulators have increasingly expressed or pursued divergent and evolving views, legislation and investment expectations with respect to sustainability, including the enactment or proposal of “anti-ESG” legislation or policies. We may also face negative impacts from consumers who do not support climate-related initiatives or concerns. If we do not successfully manage expectations across these varied stakeholder interests, it could erode our stakeholder trust and thereby affect our brand and reputation. Such erosion of confidence could negatively impact our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 </w:t>
      </w:r>
    </w:p>
    <w:p>
      <w:pPr>
        <w:pStyle w:val="TextBody"/>
        <w:bidi w:val="0"/>
        <w:spacing w:before="240" w:after="0"/>
        <w:jc w:val="left"/>
        <w:rPr>
          <w:rFonts w:ascii="Times New Roman" w:hAnsi="Times New Roman"/>
          <w:sz w:val="20"/>
        </w:rPr>
      </w:pPr>
      <w:r>
        <w:rPr>
          <w:rFonts w:ascii="Times New Roman" w:hAnsi="Times New Roman"/>
          <w:sz w:val="20"/>
        </w:rPr>
        <w:t xml:space="preserve">In addition, organizations that provide information to investors on corporate governance and related matters have developed ratings processes and benchmarking assessments for evaluating companies on their approach to sustainability matters. Such ratings are used by some investors to inform their investment decisions and thus unfavorable ratings could have a negative impact on our access to and cost of capital as well as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Supplier capacity constraints or shortages in parts, equipment or materials, supplier production disruptions, supplier quality and sourcing issues or price increases could increase our operating costs, decrease our revenues and adversely impact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reliance on third-party suppliers, manufacturers and service providers to secure equipment and materials used in our operations exposes us to volatility in the quality, price and availability of such items. During periods of reduced demand, many of these third-party suppliers reduced their inventories of parts and equipment and, in some cases, reduced their production capacity. Further, the volatility of the price of steel can impact the construction and repair costs of our vessels. When we seek to reactivate stacked vessels, upgrade our active vessels or purchase additional vessels, these reductions and global supply chain constraints could make it more difficult for us to find equipment, materials, parts and labor for our vessels. If an alternative vendor to obtain equipment or parts is unavailable, many of the specialized parts and equipment we utilize are rebuildable, can be found in the aftermarket, or can be substituted with crossover components in a similar time period, or if such options were unavailable or could not be completed in a timely manner, we have a sufficient fleet size with legacy technology to use component parts from certain vessels to keep our other vessels running. However, there is a risk that the use of one or more of such alternatives could cause a disruption or delay to our operations resulting in an adverse effect on our business. While we believe we maintain a sufficient inventory of spare parts and equipment and have employed highly-trained, internal technical resources, including engineers and repair technicians, capable of maintaining, repairing or rebuilding the specialized machinery and equipment aboard our vessels, there can be no assurance that these measures would be sufficient to avoid an adverse impact on our business during periods of reduced demand or supply chain constraints. A disruption or delay in the deliveries from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our ability to meet our commitments to customers on a timely basis and adversely impact our operations and revenues by resulting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uncompensated downtime, reduced dayrates, the incurrence of liquidated damages or other penalties or the cancellation or termination of contracts, or increase our operating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effectively and efficiently manage our fleet as we expand our business, which could have an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expanded, and plan to continue to expand, the size, scope and nature of our business through mergers and acquisitions, resulting in an increase in the breadth of our fleet and service offerings and an expansion of our business geographically, including in traditional oilfield as well as offshore wind, military and other non-oilfield applications. Business expansion places increasing demands on us and/or our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difficult market conditions or slowdowns in any of the business sectors or various regions in which we operate, could have an adverse effect on our business, financial condition and results of operations. We could experience any of these conditions at the same time, resulting in a relatively greater impact on our results of operations than they might have on other companies that have more diversified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principal stockholders are involved in other ventures related to the offshore services industry and have the ability to take actions that could conflict with our interests.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directors, including those directors appointed by our principal stockholders or their investment managers or respective affiliates are involved in the offshore services industry through their direct and indirect participation in businesses which are our potential competitors, service providers or customers. Situations may arise in connection with potential acquisitions, investments or contractual disputes where the other interests of these directors may conflict with our interests. Although our directors with conflicts of interest will be subject to and expected to follow the procedures set out in applicable legislation, regulations, rules and policies, any conflicts of interest may not be resolved in favor of our interests. Additionally, the involvement of our directors with other business ventures may require their time and attention be shared with their other business ventures.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stockholders may also have an interest in pursuing acquisitions, divestitures, financings or other transactions that, in their judgment, could enhance their equity investment, even though such transactions might involve risks to our other investors and lenders. In addition, our principal stockholders and their investment managers and respective affiliates are in the business of making investments in companies and may, from time to time, acquire interests in businesses that directly or indirectly compete with our business, as well as businesses that are significant existing or potential customers or service providers. Our principal stockholders or their investment managers or respective affiliates may also seek to acquire businesses and/or assets that we seek to acquire and, as a result, these acquisition opportunities may not be available to us or may be more expensive for us to pursue.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Legal, Regulatory, Accounting and Tax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may be unable to maintain an effective system of disclosure controls and procedures or internal control over financial reporting and produce timely and accurate financial statements or comply with applicable regulations.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be subject to the reporting requirements of the Securities Exchange Act of 1934, as amended (the “Exchange Act”), the Sarbanes-Oxley Act of 2002 (the “Sarbanes-Oxley Act”) and, if approved for listing, the rules and regulations and the listing standards of NYSE. </w:t>
      </w:r>
    </w:p>
    <w:p>
      <w:pPr>
        <w:pStyle w:val="TextBody"/>
        <w:bidi w:val="0"/>
        <w:spacing w:before="240" w:after="0"/>
        <w:jc w:val="left"/>
        <w:rPr>
          <w:rFonts w:ascii="Times New Roman" w:hAnsi="Times New Roman"/>
          <w:sz w:val="20"/>
        </w:rPr>
      </w:pPr>
      <w:r>
        <w:rPr>
          <w:rFonts w:ascii="Times New Roman" w:hAnsi="Times New Roman"/>
          <w:sz w:val="20"/>
        </w:rPr>
        <w:t xml:space="preserve">The Sarbanes-Oxley Act requires, among other things, that we maintain effective disclosure controls and procedures and internal control over financial reporting. We are continuing to develop and refine our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controls and other procedures that are designed to ensure that information required to be disclosed by us in the reports that we will file with the U.S. Securities and Exchange Commission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w:t>
      </w:r>
    </w:p>
    <w:p>
      <w:pPr>
        <w:pStyle w:val="TextBody"/>
        <w:bidi w:val="0"/>
        <w:spacing w:before="240" w:after="0"/>
        <w:jc w:val="left"/>
        <w:rPr>
          <w:rFonts w:ascii="Times New Roman" w:hAnsi="Times New Roman"/>
          <w:sz w:val="20"/>
        </w:rPr>
      </w:pPr>
      <w:r>
        <w:rPr>
          <w:rFonts w:ascii="Times New Roman" w:hAnsi="Times New Roman"/>
          <w:sz w:val="20"/>
        </w:rPr>
        <w:t xml:space="preserve">We may discover weaknesses in our disclosure controls and procedures and internal control over financial reporting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cause delays in our ability to comply with public company reporting requirements (including under the Exchange Act or stock exchange rules) and could also cause investors to lose confidence in our reported financial and other information, which could have a negative effect on the trading price of our common stock. In addition, if we are unable to continue to meet these requirements, we may not be able to remain listed on the NYSE. We are not currently required to comply with the SEC rules that implement Section 404 of the Sarbanes-Oxley Act (“Section 404”)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w:t>
      </w:r>
    </w:p>
    <w:p>
      <w:pPr>
        <w:pStyle w:val="TextBody"/>
        <w:bidi w:val="0"/>
        <w:spacing w:before="240" w:after="0"/>
        <w:jc w:val="left"/>
        <w:rPr>
          <w:rFonts w:ascii="Times New Roman" w:hAnsi="Times New Roman"/>
          <w:sz w:val="20"/>
        </w:rPr>
      </w:pPr>
      <w:r>
        <w:rPr>
          <w:rFonts w:ascii="Times New Roman" w:hAnsi="Times New Roman"/>
          <w:sz w:val="20"/>
        </w:rPr>
        <w:t xml:space="preserve">Our independent registered public accounting firm is not currently required to formally attest to the effectiveness of our internal control over financial reporting. Once such reporting becomes required,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adverse effect on our business and operating results and could cause a decline in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directors and executive officers may be subject to litigation for a variety of claims, which could harm our reputation and adversely affect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regulatory, antitrust, alleged securities law violations or other investor claims, environmental damage, claims that our employees have wrongfully disclosed or we have wrongfully used proprietary information of our employees’ former employers and other matters. Claims under any such litigation may be material or may be indeterminate.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may also be subject to litigation. The limitation of liability and indemnification provisions that are included in our amended and restated certificate of incorporation, our amended and restated bylaws and indemnification agreements that we have entered into with our directors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 </w:t>
      </w:r>
    </w:p>
    <w:p>
      <w:pPr>
        <w:pStyle w:val="TextBody"/>
        <w:bidi w:val="0"/>
        <w:spacing w:before="240" w:after="0"/>
        <w:jc w:val="left"/>
        <w:rPr>
          <w:rFonts w:ascii="Times New Roman" w:hAnsi="Times New Roman"/>
          <w:sz w:val="20"/>
        </w:rPr>
      </w:pPr>
      <w:r>
        <w:rPr>
          <w:rFonts w:ascii="Times New Roman" w:hAnsi="Times New Roman"/>
          <w:sz w:val="20"/>
        </w:rPr>
        <w:t xml:space="preserve">As litigation is inherently unpredictable, we cannot assure you that any potential claims or disputes will not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own the Hornbeck Brands, but may use the Hornbeck Brands pursuant to the terms of a license granted by HFR, and our business may be materially harmed if we breach our license agreement or it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this offering, we will amend and restate our Third Amended and Restated Trade Name and Trademark License Agreement, dated September 4, 2020 (the “Third A&amp;R License Agreement”). Pursuant to the Fourth A&amp;R License Agreement (as defined herein) between us and HFR, we will have an exclusive license to use the various Hornbeck trade names and trademarks provided in the Fourth A&amp;R License Agreement, which include “Hornbeck,” “Hornbeck Offshore,” “Hornbeck Offshore Services,” “HOS,” “HOSMAX,” “HOSS” and our current horse head logos (the “Hornbeck Brands”). The Fourth A&amp;R License Agreement will have a term of ten years, which can be extended at our option, provided that Todd M. Hornbeck is our CEO or Chairman of our Board of Directors and we pay a renewal fee of $10 million to HFR (as adjusted for inflation over the first ten-year term). The Fourth A&amp;R License Agreement will be terminable by us for convenience, by HFR for our material breach of the Fourth A&amp;R License Agreement, or if Todd Hornbeck is no longer our CEO or Chairman of our Board of Directors, whether he has been terminated with or without cause or has resigned or departed the Company. In each of these events, we are entitled to a wind-down period of between two and five years, depending upon the reason for termination and the date of its occurrence. </w:t>
      </w:r>
    </w:p>
    <w:p>
      <w:pPr>
        <w:pStyle w:val="TextBody"/>
        <w:bidi w:val="0"/>
        <w:spacing w:before="240" w:after="0"/>
        <w:jc w:val="left"/>
        <w:rPr>
          <w:rFonts w:ascii="Times New Roman" w:hAnsi="Times New Roman"/>
          <w:sz w:val="20"/>
        </w:rPr>
      </w:pPr>
      <w:r>
        <w:rPr>
          <w:rFonts w:ascii="Times New Roman" w:hAnsi="Times New Roman"/>
          <w:sz w:val="20"/>
        </w:rPr>
        <w:t xml:space="preserve">Termination of the Fourth A&amp;R License Agreement would eliminate our rights to use the Hornbeck Brands and to use our corporate name and may result in our having to undergo other significant rebranding efforts. Loss of the rights to use the Hornbeck Brands could disrupt our recognition in the marketplace, damage goodwill we may have generated, and otherwise have a material adverse effect on us. These rebranding efforts may require significant resources and expenses and may affect our ability to attract and retain customers, all of which may have a material adverse effect on our business, contracts, financial condition, operating results, liquidity and prospects. </w:t>
      </w:r>
    </w:p>
    <w:p>
      <w:pPr>
        <w:pStyle w:val="TextBody"/>
        <w:bidi w:val="0"/>
        <w:spacing w:before="240" w:after="0"/>
        <w:jc w:val="left"/>
        <w:rPr>
          <w:rFonts w:ascii="Times New Roman" w:hAnsi="Times New Roman"/>
          <w:sz w:val="20"/>
        </w:rPr>
      </w:pPr>
      <w:r>
        <w:rPr>
          <w:rFonts w:ascii="Times New Roman" w:hAnsi="Times New Roman"/>
          <w:sz w:val="20"/>
        </w:rPr>
        <w:t xml:space="preserve">Our success also depends in part upon successful prosecution, maintenance, enforcement and protection of our owned and licensed intellectual property, including the Hornbeck Brands that we license from HFR. Under the Fourth A&amp;R License Agreement, we will be obligated to take actions to obtain, maintain, enforce and protect the Hornbeck Brands. Should we fail to maintain, enforce or protect the Hornbeck Brands or other intellectual property, we could be materially harmed. See “Certain Relationships and Related Party Transactions—Third and Fourth Amended and Restated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Defending against intellectual property claims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 </w:t>
      </w:r>
    </w:p>
    <w:p>
      <w:pPr>
        <w:pStyle w:val="TextBody"/>
        <w:bidi w:val="0"/>
        <w:spacing w:before="240" w:after="0"/>
        <w:jc w:val="left"/>
        <w:rPr>
          <w:rFonts w:ascii="Times New Roman" w:hAnsi="Times New Roman"/>
          <w:sz w:val="20"/>
        </w:rPr>
      </w:pPr>
      <w:r>
        <w:rPr>
          <w:rFonts w:ascii="Times New Roman" w:hAnsi="Times New Roman"/>
          <w:sz w:val="20"/>
        </w:rPr>
        <w:t xml:space="preserve">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Subjective estimates and judgments used by management in the preparation of our financial statements, including estimates and judgments that may be required by new or changed accounting standards, may impact our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requires management to make estimates and judgments that affect the reported amounts of assets, liabilities, revenue and expenses. Due to the inherent uncertainty in making estimates, results reported in future periods may be affected by changes in estimates reflected in our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our financial statements. These changes can materially impact how we record and report our financial condition and results of operations. In some instances, we could be required to apply a new or revised standard retrospectively. If the estimates and judgments we use in preparing our financial statements are subsequently found to be incorrect or if we are required to restate prior financial statements, our financial condition or results of operations could be significantly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Changes in tax laws in any of the multiple jurisdictions in which we operate, or adverse outcomes from tax audits that we may be subject to in any such jurisdiction, could result in an unfavorable change in our effective tax rate, which could adversely affect our business, financial condition and operating results. The United States has recently enacted significant changes to U.S. tax law. We are continuing to review the impact of this legislation. Additionally, new income, sales, use, or other tax laws, statutes, rules, regulations, or ordinances could be enacted at any time, or interpreted, changed, modified, or applied adversely to us, any of which could adversely affect our business operations and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Further, we operate in a number of jurisdictions, which contributes to the volatility of our effective tax rate. Changes in tax laws or the interpretation of tax laws in the jurisdictions in which we operate may affect our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our tax obligations. In addition, we are required under GAAP to place valuation allowances against our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our effective tax rate. Economic conditions or changes in tax laws may dictate the continued imposition of current valuation allowances and, potentially, the establishment of new valuation allowances. While significant valuation allowances remain, our effective tax rate will likely continue to experience significant fluctuations. Furthermore, certain foreign jurisdictions may take actions to delay our ability to collect value-added tax refunds.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ability to utilize our NOL carryforwards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deferred tax assets related to U.S. federal NOL carryforwards of approximately $59.0 million and state NOL carryforwards of approximately $4.2 million. Our ability to utilize our U.S. federal and state NOL carryforwards depends on many factors, including our future income, which cannot be assured. Section 382 of the Internal Revenue Code of 1986, as amended (the “Code”) generally imposes an annual limitation on the amount of NOLs that may be used to offset taxable income when a corporation has undergone an “ownership change” (as determined under Section 382 of the Code). An ownership change generally occurs if one or more stockholders (or groups of stockholders) who are each deemed to own at least 5% of such corporation’s stock increase their aggregate ownership by more than 50 percentage points over their lowest ownership percentage within a rolling three-year period. In the event that an ownership change occurs, utilization of the relevant corporation’s NOLs would be subject to an annual limitation under Section 382 of the Code, generally determined, subject to certain adjustments, by multiplying (i) the fair market value of the corporation’s equity at the time of the ownership change by (ii) the highest percentage approximately equivalent to the yield on long-term tax-exempt bonds for any month in the three-calendar month period ending with the calendar month in which the ownership change occurs. Any unused annual limitation may be carried over to later years. A portion of our NOLs is already limited under Section 382 of the Code as a result of an ownership change that occurred in connection with our reorganization in September 2020. We do not currently expect that this offering would result in an additional ownership change under Section 382 of the Code; however, future changes in our stock ownership, which may be outside of our control, may trigger an additional ownership change and, consequently, additional limitations under Section 382 of the Code. Any such limitations on our ability to use our NOL carryforwards to offset future taxable income could adversely affect our future cash flows. Many states have similar laws, in addition to laws that suspend, reduce or eliminate the ability to carry losses forward. Our state NOLs relate to Louisiana and a portion of such NOLs are subject to an annual limitation due to the ownership change described above. Accordingly, our state NOLs totaling $4.2 million as of December 31, 2024 may be carried forward indefinitely, but the deductibility of a portion of such state NOLs may be limited to the lesser of 72% of the current year taxable income or the available NOL carryforward for returns filed on or after July 1, 2015.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 prevailing on our pending disputes with Mexican administrative authorities could have a material adverse impact on our operations and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In Mexico, we are regularly confronted with administrative actions taken by tax authorities and SEMAR, which actions create uncertainty for us, require a high degree of effort to challenge and, if determined adversely to us, could have a material adverse impact on our operations and strategic efforts in that market. Mexican courts can be unpredictable and recent legal changes in Mexico make it more difficult to obtain interim constitutional relief from illegal actions taken by Mexican administrative authorities. While a court order has reinstated our cabotage privileges, and we believe that we are fully compliant with Mexican cabotage requirements, SEMAR has yet to record our bylaws, which creates uncertainty for our Mexican franchise. </w:t>
      </w:r>
    </w:p>
    <w:p>
      <w:pPr>
        <w:pStyle w:val="TextBody"/>
        <w:bidi w:val="0"/>
        <w:spacing w:before="240" w:after="0"/>
        <w:jc w:val="left"/>
        <w:rPr>
          <w:rFonts w:ascii="Times New Roman" w:hAnsi="Times New Roman"/>
          <w:sz w:val="20"/>
        </w:rPr>
      </w:pPr>
      <w:r>
        <w:rPr>
          <w:rFonts w:ascii="Times New Roman" w:hAnsi="Times New Roman"/>
          <w:sz w:val="20"/>
        </w:rPr>
        <w:t xml:space="preserve">For several years, we have been audited and assessed substantial taxes, interest and penalties in Mexico that we have determined are not due and have had to pursue administrative and legal challenges against the Mexican tax authorities, several of which are ongoing. We believe that we have properly applied the applicable tax laws for all periods that have been examined and disagree with the positions taken by the tax authorities. However, we expect the Mexican tax authorities will continue to take such positions on future audits. While we are confident in our ability to prevail in our administrative and legal challenges, there can be no assurances we will prevail and an adverse final outcome in any of the pending tax cases could have a material adverse impact on our financial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various anti-corruption laws and regulations and laws and regulations relating to economic sanctions. Violations of these laws and regulations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Our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 </w:t>
      </w:r>
    </w:p>
    <w:p>
      <w:pPr>
        <w:pStyle w:val="TextBody"/>
        <w:bidi w:val="0"/>
        <w:spacing w:before="240" w:after="0"/>
        <w:jc w:val="left"/>
        <w:rPr>
          <w:rFonts w:ascii="Times New Roman" w:hAnsi="Times New Roman"/>
          <w:sz w:val="20"/>
        </w:rPr>
      </w:pPr>
      <w:r>
        <w:rPr>
          <w:rFonts w:ascii="Times New Roman" w:hAnsi="Times New Roman"/>
          <w:sz w:val="20"/>
        </w:rPr>
        <w:t xml:space="preserve">We strive to conduct our business activities in compliance with relevant anti-corruption laws and regulations, and we have adopted proactive procedures to promote such compliance. While we are not aware of issues of historical noncompliance, full compliance cannot be guaranteed. Violations of anti-corruption laws and regulations, or even allegations of such violations, could result in civil or criminal penalties or other fines or sanctions, including prohibition of our participating in or curtailment of business operations in those jurisdictions and the seizure of vessels or other assets, which could have a material adverse effect on our business, financial condition and results of operation. Moreover, we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 </w:t>
      </w:r>
    </w:p>
    <w:p>
      <w:pPr>
        <w:pStyle w:val="TextBody"/>
        <w:bidi w:val="0"/>
        <w:spacing w:before="240" w:after="0"/>
        <w:jc w:val="left"/>
        <w:rPr>
          <w:rFonts w:ascii="Times New Roman" w:hAnsi="Times New Roman"/>
          <w:sz w:val="20"/>
        </w:rPr>
      </w:pPr>
      <w:r>
        <w:rPr>
          <w:rFonts w:ascii="Times New Roman" w:hAnsi="Times New Roman"/>
          <w:sz w:val="20"/>
        </w:rPr>
        <w:t xml:space="preserve">In Mexico, we are regularly confronted with administrative actions taken by tax authorities and SEMAR, which could materially impact our operations there and threaten our strategic efforts in that market.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indebtedness could materially adversely affect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indebtedness. As of September 30, 2025, our total indebtedness was approximately $440.0 million, consisting of outstanding principal amount of Second Lien Term Loans due 2033 under the Second Lien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Our substantial indebtedness could have important consequences,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to fund future working capital, capital expenditures, acquisitions or other general corporate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dedicate a substantial portion of our cash flows to debt service payments instead of other purposes, thereby reducing the amount of cash flows available for working capital, capital expenditures, acquisitions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general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and reacting to changes in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disadvantage compared to other, less leveraged competitors;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cost of borrowing.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of the First Lien Credit Agreement and the Second Lien Credit Agreement contains restrictive covenants that limit our ability to engage in activities that may be in our long-term best interest.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failure to comply with those covenants could result in an event of default which, if not cured or waived, could result in the acceleration of all our debt and/or the exercise of other remedies by the lenders and other secured parties thereunder. See “Management’s Discussion and Analysis of Financial Condition and Results of Operations—Liquidity and Capital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generate sufficient cash to service all of our indebtedness or repay such indebtedness when due and may be forced to take other actions to satisfy our obligations under our indebtedness, such as refinancings, which may not be successful or completed on favorable terms.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cannot be sure that our business will generate sufficient cash flows from operating activities, or that future borrowings will be available, to permit us to pay the principal, premium, if any, and interest on our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if necessary, on a timely basis or at all. Even if successful, we may not be able to negotiate such alternative actions on favorable terms and such actions may not be sufficient to allow us to meet our scheduled debt service obligations.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loans under the Second Lien Credit Agreement mature in January 2033. If, at such time, market conditions are materially different or our credit profile has deteriorated, the cost of refinancing our debt may be significantly higher than our indebtedness existing at that time and may require us to comply with more onerous covenants that could further restrict our business operations, or we may not be able to refinance such debt at all. Additionally, each of the First Lien Credit Agreement and the Second Lien Credit Agreement restricts, and any of our future debt instruments may restrict, our ability to dispose of assets and use the proceeds from those dispositions and may also restrict our ability to raise debt or equity capital to be used to repay other indebtedness when it becomes due. We may not be able to consummate any such dispositions or to obtain proceeds in an amount sufficient to meet any debt service obligations then due. See “Management’s Discussion and Analysis of Financial Condition and Results of Operations—Liquidity and Capital Resources—Debt Agreements.”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meet any future debt service obligations or any inability to obtain any additional financing on terms acceptable to us or to comply therewith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Despite our current level of indebtedness, we and our subsidiaries may still be able to incur substantially more debt. This could further exacerbate the risks to our financial condition described herein. </w:t>
      </w:r>
    </w:p>
    <w:p>
      <w:pPr>
        <w:pStyle w:val="TextBody"/>
        <w:bidi w:val="0"/>
        <w:spacing w:before="120" w:after="0"/>
        <w:jc w:val="left"/>
        <w:rPr>
          <w:rFonts w:ascii="Times New Roman" w:hAnsi="Times New Roman"/>
          <w:sz w:val="20"/>
        </w:rPr>
      </w:pPr>
      <w:r>
        <w:rPr>
          <w:rFonts w:ascii="Times New Roman" w:hAnsi="Times New Roman"/>
          <w:sz w:val="20"/>
        </w:rPr>
        <w:t xml:space="preserve">We and our subsidiaries may be able to incur significant additional indebtedness in the future. Although each of the First Lien Credit Agreement and the Second Lien Credit Agreement contains restrictions on the incurrence of additional indebtedness, these restrictions are subject to a number of qualifications and exceptions, and the additional indebtedness incurred in compliance with these restrictions could be substantial. These restrictions on the incurrence of additional indebtedness also will not prevent us from incurring obligations that do not constitute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the First Lien Credit Agreement and the Second Lien Credit Agreement restrict our current and future operations, including our ability to respond to changes or to take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Each of the First Lien Credit Agreement and the Second Lien Credit Agreement contains a number of restrictive covenants that impose significant operating and financial restrictions on us and may limit our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engage in acts that may be in our long-term best interest. See “Management’s Discussion and Analysis of Financial Condition and Results of Operations—Liquidity and Capital Resources—Debt Agreements.” The restrictive covenants under the First Lien Credit Agreement and the Second Lien Credit Agreement include restrictions on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and guarantee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other distributions or repurchase or redeem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redeem or repurchase subordinated, junior lien and unsecured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certain preferred stock or similar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or property, except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or incur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agreements restricting our subsidiaries’ ability to pay dividends, to enter into and perform certain intercompany debt transactions and to transfer assets to us or other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the sum of our and our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other permitted debt facility) to be less than $25 million as of the last day of any fiscal quarter;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fundamental changes in our business, corporate structure or capital structure, including, among other things, entering into mergers, acquisitions, consolidations and other business combinations.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these restrictions, we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in how we conduct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raise additional debt or equity financing to operate during general economic or business downturns;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compete effectively or to take advantage of new business opportunities. These restrictions may affect our ability to grow in accordance with our strategy.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breach of the covenants or restrictions under the First Lien Credit Agreement or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our bankruptcy or liquidation.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will incur immediate and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Existing stockholders have paid substantially less per share of our common stock than the price in this offering. The initial public offering price per share of our common stock will be substantially higher than the as adjusted net tangible book value per share of outstanding common stock prior to completion of this offering. Based on our as adjusted net tangible book value as of September 30, 2025, and upon the issuance and sale of shares of our common stock by us at an initial public offering price of $     per share (which is the midpoint of the estimated offering price range shown on the cover page of this prospectus), if you purchase our common stock in this offering, you will pay more for your shares than the amounts paid by our existing stockholders for their shares and you will suffer immediate dilution of approximately $     per share. Dilution is the amount by which the offering price paid by purchasers of our common stock in this offering will exceed the as adjusted net tangible book value per share of our common stock upon completion of this offering. You may experience additional dilution upon future equity issuances or upon the exercise of our outstanding Jones Act Warrants or Creditor Warrants, exercise of options to purchase our common stock or the settlement of restricted stock units granted to our employees, executive officers and directors under our 2020 Management Incentive Plan or our 2026 Omnibus Incentive Plan. See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price may change significantly following this offering, and you may not be able to resell shares of our common stock at or above the price you paid or at all, and you could lose all or part of your investment as a result. </w:t>
      </w:r>
    </w:p>
    <w:p>
      <w:pPr>
        <w:pStyle w:val="TextBody"/>
        <w:bidi w:val="0"/>
        <w:spacing w:before="120" w:after="0"/>
        <w:jc w:val="left"/>
        <w:rPr>
          <w:rFonts w:ascii="Times New Roman" w:hAnsi="Times New Roman"/>
          <w:sz w:val="20"/>
        </w:rPr>
      </w:pPr>
      <w:r>
        <w:rPr>
          <w:rFonts w:ascii="Times New Roman" w:hAnsi="Times New Roman"/>
          <w:sz w:val="20"/>
        </w:rPr>
        <w:t xml:space="preserve">We and the underwriters will negotiate to determine the initial public offering price. You may not be able to resell your shares at or above the initial public offering price due to a number of factors such as those listed in “—Risks Relating to Our Business”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the expectations of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expectations as to our future financial performance, including financial estimates and investment recommendations by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economic conditions for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or earnings and other announcements by,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declines in the market prices of stocks generally, particularly those of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our competitors or our suppliers of significant contracts, price reductions, new products or technologies, acquisitions, joint marketing relationships, joint ventures, other strategic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dilution as a result of the exercise of our outstanding Jones Act Warrants or Creditor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preference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or market conditions or trends in our industry or the economy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or regulatory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common stock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perceptions of or the investment opportunity associated with our common stock relative to other investment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response to press releases or other public announcements by us or third parties, including our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relating to litigation or governmental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guidance, if any, that we provide to the public, any changes in this guidance or our failure to meet this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sustainability of an active trading market for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including those resulting from informational technology system failures and disruptions, natural disasters, war, acts of terrorism, pandemics or responses to these events.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have no current plans to pay cash dividends on our common stock, you may not receive any return on investment unless you sell your common stock for a price greater than that which you paid for it. </w:t>
      </w:r>
    </w:p>
    <w:p>
      <w:pPr>
        <w:pStyle w:val="TextBody"/>
        <w:bidi w:val="0"/>
        <w:spacing w:before="120" w:after="0"/>
        <w:jc w:val="left"/>
        <w:rPr>
          <w:rFonts w:ascii="Times New Roman" w:hAnsi="Times New Roman"/>
          <w:sz w:val="20"/>
        </w:rPr>
      </w:pPr>
      <w:r>
        <w:rPr>
          <w:rFonts w:ascii="Times New Roman" w:hAnsi="Times New Roman"/>
          <w:sz w:val="20"/>
        </w:rPr>
        <w:t xml:space="preserve">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See “Dividend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As a result, you may not receive any return on an investment in our common stock unless you sell our common stock for a price greater than your purchase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common stock is subject to restrictions on foreign ownership and possible required divestiture by non-U.S. citizen stockholders. </w:t>
      </w:r>
    </w:p>
    <w:p>
      <w:pPr>
        <w:pStyle w:val="TextBody"/>
        <w:bidi w:val="0"/>
        <w:spacing w:before="120" w:after="0"/>
        <w:jc w:val="left"/>
        <w:rPr>
          <w:rFonts w:ascii="Times New Roman" w:hAnsi="Times New Roman"/>
          <w:sz w:val="20"/>
        </w:rPr>
      </w:pPr>
      <w:r>
        <w:rPr>
          <w:rFonts w:ascii="Times New Roman" w:hAnsi="Times New Roman"/>
          <w:sz w:val="20"/>
        </w:rPr>
        <w:t xml:space="preserve">Hornbeck could lose the privilege of owning and operating vessels in the U.S. coastwise trade if non-U.S. citizens were to own or control, in the aggregate, more than 25% of common stock in Hornbeck. Such loss could have a material adverse effect on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authorize our Board of Directors to establish with respect to any class or series of capital stock of Hornbeck certain rules, policies and procedures, including procedures with respect to transfer of shares, to ensure compliance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Jones Act. In order to provide a reasonable margin for compliance with the Jones Act, our amended and restated certificate of incorporation provides that all non-U.S. citizens in the aggregate may not own more than 21% of the outstanding shares of our common stock, with certain limited grandfathered circumstances allowing up to 24% of the outstanding shares of our common stock to be owned by non-U.S. citizens on and after the effective date of the initial public offering. Our Jones Act trading privileges are conditioned upon foreign ownership of our common stock never exceeding 25%. While we take steps to prevent foreign ownership from exceeding 25%, we do not control trading in our stock and cannot control non-compliance by a foreign purchaser of our stock resulting in our exceeding the foreign citizenship ownership limitations. Moreover, the USCG may temporarily or permanently revoke our coastwise trading privileges if we are not in compliance with the citizenship requirements, which would have a significant negative impact on our operations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As of October 31, 2025, approximately 23.8% of our issued and outstanding common stock is owned by non-U.S. citizens and, after giving effect to this offering, we expect the percentage of our common stock owned by non-U.S. citizens to decrease to approximately    %. Our amended and restated certificate of incorporation provides the Board of Directors with authority to take certain actions to protect our Jones Act status. These actions may include: (i) refusing to recognize any transfer (including our original issuance) that would result in ownership by non-U.S. citizens in the aggregate exceeding 21% of our issued and outstanding common stock, with certain limited grandfathered circumstances allowing up to 24% of the outstanding shares of our common stock to be owned by non-U.S. citizens on and after the effective date of the initial public offering, (ii) treating any such purported transfer as void ab initio or (iii) redeeming any share of our common stock that caused the ownership by non-U.S. citizens to exceed such 21% ownership limitation,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 </w:t>
      </w:r>
    </w:p>
    <w:p>
      <w:pPr>
        <w:pStyle w:val="TextBody"/>
        <w:bidi w:val="0"/>
        <w:spacing w:before="240" w:after="0"/>
        <w:jc w:val="left"/>
        <w:rPr>
          <w:rFonts w:ascii="Times New Roman" w:hAnsi="Times New Roman"/>
          <w:sz w:val="20"/>
        </w:rPr>
      </w:pPr>
      <w:r>
        <w:rPr>
          <w:rFonts w:ascii="Times New Roman" w:hAnsi="Times New Roman"/>
          <w:sz w:val="20"/>
        </w:rPr>
        <w:t xml:space="preserve">U.S. citizens to exceed the applicable permitted limit, and such holder(s)’ interests in those shares will be terminated. Any purported issuance or transfer of shares of our common stock in violation of these ownership provisions will be ineffective to issue or transfer the common stock or any voting, dividend or other rights associated with them. The existence and enforcement of these requirements could have an adverse impact on the liquidity or market value of our equity securities in the event that U.S. citizens were unable to transfer Hornbeck shares to non-U.S. citizens. Furthermore, under certain circumstances, this ownership requirement could discourage, delay or prevent a change of control of Hornbeck.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analysts do not publish research or reports about our business or if they downgrade our stock or our sector,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and the Dodd-Frank Wall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Street Reform and Consumer Protection Act, or the Dodd-Frank Act, as well as rules and regulations implemented by the SEC and the exchange on which we list our shares.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requirements to design, implement and maintain effective internal control over financial reporting could have a material adverse effect on our business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As a privately-held company, we were not required to evaluate our internal control over financial reporting in a manner that meets the standards of publicly traded companies required by Section 404(a)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In addition, our independent registered public accounting firm will be required to issue an attestation report on the effectiveness of our internal control over financial reporting in the second annual report following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w:t>
      </w:r>
    </w:p>
    <w:p>
      <w:pPr>
        <w:pStyle w:val="TextBody"/>
        <w:bidi w:val="0"/>
        <w:spacing w:before="240" w:after="0"/>
        <w:jc w:val="left"/>
        <w:rPr>
          <w:rFonts w:ascii="Times New Roman" w:hAnsi="Times New Roman"/>
          <w:sz w:val="20"/>
        </w:rPr>
      </w:pPr>
      <w:r>
        <w:rPr>
          <w:rFonts w:ascii="Times New Roman" w:hAnsi="Times New Roman"/>
          <w:sz w:val="20"/>
        </w:rPr>
        <w:t xml:space="preserve">Our testing, or the subsequent testing by our independent registered public accounting firm, may reveal deficiencies in our internal controls over financial reporting that are deemed to be material weaknesses which could result in a material misstatement of our annual or quarterly consolidated financial statements or disclosures that may not be prevented or detected.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reporting or our independent registered public accounting firm is unable to provide us with an unqualified opinion, investors could lose confidence in our reported financial information, which could have a material adverse effect on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by us or our existing stockholders in the public market following this offering could cause the market price for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After this offering, the sale of shares of our common stock in the public market, or the perception that such sales could occur, including sales by our existing stockholders and holders of our Jones Act Warrants and Creditor Warrants, could harm the prevailing market price of shares of our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this offering and after giving effect to the stock split, we will have a total of    shares of our common stock outstanding. Additionally,      shares of our common stock will be issuable upon the exercise of Jones Act Warrants and      shares of our common stock will be issuable upon the exercise of Creditor Warrants, with an exercise price of $0.00001 per share and $    per share, respectively,     shares of our common stock will be issuable upon exercise of outstanding options, at an average weighted exercise price of $   , or upon settlement of restricted stock units under the 2020 Management Incentive Plan and      shares of common stock underlying the IPO Grants (calculated using the midpoint of the estimated offering price range shown on the cover page of this prospectus). In addition, shares of our common stock will be authorized and reserved for issuance in relation to potential future awards under our 2020 Management Incentive Plan and our 2026 Omnibus Incentive Plan to be adopted in connection with this offering. Of the outstanding shares, the    shares sold in this offering (or      shares if the underwriters exercise in full their option to purchase additional shares) will be freely tradable, other than certain shares sold pursuant to our directed share program that are subject to “lock up” restrictions as described under “Underwriting (Conflicts of Interest),”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in “Shares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held by our principal stockholders and certain of our directors and executive officers after this offering, representing     % of the total outstanding shares of our common stock following this offering, will be “restricted securities” and/or “control securities” within the meanings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our directors and executive officers and certain holders of our outstanding common stock, Jones Act Warrants or Creditor Warrants prior to this offering, including our principal stockholders, will sign lock-up agreements with the underwriters that will, subject to certain exceptions, restrict the disposition of, or hedging with respect to, the shares of our common stock or securities convertible into or exercisable or exchangeable for shares of common stock, each held by them for 180 days following the date of this prospectus, except with the prior written consent of J.P. Morgan Securities LLC and Barclays Capital Inc. See “Underwriting (Conflicts of Interest)” for a description of these lock-up agreements. J.P. Morgan Securities LLC and Barclays Capital Inc., on behalf of the underwriters, may, in their sole discretion, release all or some portion of the shares subject to the 180-day lock-up agreements prior to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Upon the expiration of the lock-up agreements described above, all of such    shares (other than    shares under the 2020 Management Incentive Plan that are subject to contractual transfer restrictions) will be eligible for resale in a public market, subject, in the case of    shares held by our affiliates, to volume, manner of sale and other limitations under Rule 144. We expect that our principal stockholders and their respective affiliates may be considered our affiliates based on their respective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 ownership (consisting of approximately    shares held by funds, investment vehicles or accounts managed or advised by Ares or its affiliates,     shares held by Whitebox and     shares held by Highbridge, in each case excluding shares of common stock issuable upon exercise of outstanding Jones Act Warrants and Creditor Warrants owned by them), as well as their board designation rights. Certain other of our stockholders may also be considered affiliates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Registration Rights Agreement (as defined herein), upon the completion of this offering, certain of our existing securityholders party thereto will have the right, subject to certain conditions, to require us to register the offer and sale of certain shares of our common stock owned by them (including shares of common stock issuable upon exercise of any Jones Act Warrants or Creditor Warrants owned by them) under the Securities Act. Registration of any of these shares of common stock would result in such shares becoming freely tradable without compliance with Rule 144 upon effectiveness of the registration statement. For a further description of these rights, see the section entitled “Certain Relationships and Related Party Transactions—Registration Rights Agreement.” Following completion of this offering, the outstanding shares of our common stock covered by registration rights would represent approximately     % of our outstanding common stock (or     %, if the underwriters exercise in full their option to purchase additional shares). Additionally,    shares of our common stock issuable upon the exercise of Jones Act Warrants and     shares of our common stock issuable upon the exercise of Creditor Warrants will be covered by these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following this offering, we intend to file one or more registration statements on Form S-8 under the Securities Act to register all shares of our common stock subject to outstanding stock options and subject to issuance upon settlement of restricted stock units the shares of our common stock subject to issuance under our 2020 Management Incentive Plan and our 2026 Omnibus Incentive Plan to be adopted in connection with this offering. Any such Form S-8 registration statements will automatically become effective upon filing. Accordingly, shares registered under such registration statements will be available for sale in the open market. We expect that the initial registration statement on Form S-8 will cover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exercise of all or any number of outstanding Jones Act Warrants or Creditor Warrants or the issuance or vesting of equity awards may dilute your ownership of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Hornbeck has a number of outstanding securities that provide for the right to purchase or receive shares of common stock, including two series of warrants and certain compensatory equity awards. As of October 31, 2025, Hornbeck had 10.5 million shares of common stock issuable upon the exercise of Jones Act Warrants and 1.5 million shares of common stock issuable upon the exercise of Creditor Warrants (    and    , respectively, after giving effect to the stock split), with an exercise price of $0.00001 per share and $27.83 per share ($    per share after giving effect to the stock split), respectively. Investors could be subject to voting dilution upon the exercise of such warrants, each subject to Jones Act-related foreign ownership restrictions. With respect to compensatory equity awards, a total of 1.65 million shares (    shares after giving effect to the stock split) of our common stock have been reserved for issuance under our 2020 Management Incentive Plan as equity-based awards to Hornbeck employees, directors and certain other persons and a total of      shares of our common stock have been reserved for issuance under our 2026 Omnibus Incentive Plan (inclusive of IPO Grants) as equity-based awards to Hornbeck employees, directors and certain other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grant or vesting of equity awards, including any that we may grant or assume in the future, whether under our 2020 Management Incentive Plan, our 2026 Omnibus Incentive Plan to be adopted in connection with this offering, or any other equity plan sponsored by Hornbeck, and the exercise of warrants and the subsequent issuance of shares of common stock, could have an adverse effect on the market for our common stock, including the price that an investor could obtain for their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high level of concentrated stock ownership.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stockholders, including our principal stockholders, have significant influence over us as a result of their share ownership. This concentration could lead to conflicts of interest and difficulties for non-insider investors to effect corporate changes, and could adversely affect our Company’s share price. Our principal stockholders, collectively, would hold approximately     % of our issued and outstanding shares of common stock upon the completion of this offering (giving effect to the exercise of our outstanding Jones Act Warrants and Creditor Warrants) and have the ability to influence all matters submitted to our stockholders for approval (including the election and removal of directors and any merger, consolidation or sale of all or substantially all of our assets).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this concentration of ownership may have the effect of delaying, deferring or preventing a change in control of our Company, impeding a merger, consolidation, takeover or other business combination involving us or discouraging a potential acquirer from making a tender offer or otherwise attempting to obtain control of us, which in turn could have a material adverse effect on the market price of our shares. The issuance of stock options and warrants could lead to greater concentration of share ownership among insiders and could lead to dilution of share ownership which could lead to depressed share prices. In addition, our principal stockholders may have different interests than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organizational documents could delay or prevent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will provide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Appointing Persons (as defined in the amended and restated certificate of incorporation), in the aggregate, hold less than 35% of the outstanding shares of common stock, our amended and restated certificate of incorporation may only be amended by the affirmative vote of the holders of at least two-thirds of the voting power of our then outstanding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advance notice and certain information requirements for nominations for election to our Board of Directors or for proposing matters that can be acted upon by stockholders at stockholder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in such circumstances. See “Description of Capital Stock and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will be authorized to issue and designate shares of our preferred stock without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our Board of Directors, without the approval of our stockholders, to issue shares of our preferred stock, subject to limitations prescribed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series of preferred stock may be senior to or on parity with our common stock, which may reduce its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the completion of this offering, our amended and restated certificate of incorporation will impose certain restrictions that may affect our ability to approve certain corporate actions.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conditions, under our amended and restated certificate of incorporation, for so long as our principal stockholders who maintain director nomination rights collectively own at least 30% of our Fully Diluted Securities (as defined in the amended and restated certificate of incorporation), certain corporate actions will require the prior written consent of the Ares principal stockholders and at least one of Whitebox or Highbridge, including, among other things: changing the size of our Board of Directors, consummating a change of control transaction, acquiring or disposing of certain assets, incurring certain indebtedness, certain issuances of equity, entering into voluntary liquidation or the commencement or bankruptcy proceedings, or entering into certain transactions with related parties. Our principal stockholders may have different interests than our other stockholders and may exercise these consent rights in ways that are adverse to the interests of such other stockholders. For more information about the director nomination rights, see “Management— Composition of the Board of Directors,” and for more information about the principal stockholders’ consent rights under our amended and restated certificate of incorporation, see “Description on Capital Stock and Warrants—Consent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Delaware General Corporation Law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If the Court of Chancery lacks subject matter jurisdiction, a federal district court of the United States of America located in the State of Delaware will be the exclusive forum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the forum selection provision with respect to such claims, and in any event, our stockholders would not be deemed to have waived our compliance with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Any person or entity purchasing or otherwise acquiring any interest in shares of our capital stock will be deemed to have notice of, and consented to, the provisions of our amended and restated certificate of incorporation described in the preceding sentences.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Although we believe the provision benefits us by providing increased consistency in the application of Delaware law in the types of lawsuits to which it applies, this choice of forum provision may limit a stockholder’s ability to bring a claim in a judicial forum that it finds favorable for disputes with us or our directors, officers, employees or agents, which may discourage such lawsuits against us and such persons. Additionally, we cannot be certain that a court will decide that these provisions are either applicable or enforceable, and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the business, operating results and financial condition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rom65571_4"/>
      <w:bookmarkEnd w:id="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after deducting estimated underwriting discounts and commissions and estimated offering expenses payable by us, will be approximately $     million, assuming an initial public offering price of $     per share (which is the midpoint of the estimated offering price range shown on the cover page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to us from this offering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A $1.00 increase (decrease) in the assumed initial public offering price of $     per share, based on the mid-point of the estimated offering price range set forth on the cover page of this prospectus, would increase (decrease) the net proceeds to us from this offering by approximately $     million, assuming the number of shares offered by us, as set forth on the cover page of this prospectus, remains the same and after deducting estimated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 the estimated offering price range set forth on the cover page of this prospectus, would increase (decrease) our net proceeds from this offering by $     million. To the extent we raise more proceeds in this offering than currently estimated, we will use such proceeds for general corporate purposes. To the extent we raise less proceeds in this offering than currently estimated, we will use less proceeds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our common stock by the selling stockholders. We will, however, bear the costs associated with the sale of shares of common stock by the selling stockholders, other than underwriting discounts and commissions. For more information, see “Principal and Selling Stockholders” and “Underwriting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rom65571_5"/>
      <w:bookmarkEnd w:id="6"/>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If we elect to pay such dividends in the future, we may reduce or discontinue entirely the payment of such dividends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rom65571_6"/>
      <w:bookmarkEnd w:id="7"/>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September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giving effect to (i) the filing and effectiveness of our amended and restated certificate of incorporation in connection with the completion of this offering and the implementation of the      -for-one stock split and increase in our authorized shares of common stock to be effected pursuant thereto and (ii) the sale of     shares of our common stock in this offering at the assumed initial offering price of $     per share (the midpoint of the estimated offering price range on the cover page of this prospectus), after deducting underwriting discounts, commissions and estimated offering expenses and the application of the net proceeds to us as described in “Use of Proceeds.”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the information in this table in conjunction with our Financial Statements and the notes to those Financial Statements appearing in this prospectus, as well as the information under the headings “Use of Proceeds” and “Management’s Discussion and Analysis of Financial Condition and Results of Operations.”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170"/>
        <w:gridCol w:w="378"/>
        <w:gridCol w:w="140"/>
        <w:gridCol w:w="994"/>
        <w:gridCol w:w="155"/>
        <w:gridCol w:w="335"/>
        <w:gridCol w:w="202"/>
        <w:gridCol w:w="1235"/>
        <w:gridCol w:w="65"/>
      </w:tblGrid>
      <w:tr>
        <w:trPr/>
        <w:tc>
          <w:tcPr>
            <w:tcW w:w="517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7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5" w:type="dxa"/>
            <w:tcBorders/>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b/>
                <w:i/>
              </w:rPr>
            </w:pPr>
            <w:r>
              <w:rPr>
                <w:b/>
                <w:i/>
              </w:rPr>
              <w:t>(in thousands, except for share amounts)</w:t>
            </w:r>
          </w:p>
        </w:tc>
        <w:tc>
          <w:tcPr>
            <w:tcW w:w="378"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Adjusted(1)(2)</w:t>
            </w:r>
          </w:p>
        </w:tc>
        <w:tc>
          <w:tcPr>
            <w:tcW w:w="65"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equivalents(3)</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97,757</w:t>
            </w:r>
          </w:p>
        </w:tc>
        <w:tc>
          <w:tcPr>
            <w:tcW w:w="15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Long-term indebtedness(4)</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Lien Term Loans(5)</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440,314</w:t>
            </w:r>
          </w:p>
        </w:tc>
        <w:tc>
          <w:tcPr>
            <w:tcW w:w="15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including paid-in capital: par value $0.00001 per share; 50,000,000 shares authorized and 5,419,847 shares issued and outstanding, actual;    shares authorized and    shares issued and outstanding, as adjusted</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268,358</w:t>
            </w:r>
          </w:p>
        </w:tc>
        <w:tc>
          <w:tcPr>
            <w:tcW w:w="15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303,420</w:t>
            </w:r>
          </w:p>
        </w:tc>
        <w:tc>
          <w:tcPr>
            <w:tcW w:w="15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(809</w:t>
            </w:r>
          </w:p>
        </w:tc>
        <w:tc>
          <w:tcPr>
            <w:tcW w:w="15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17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570,969</w:t>
            </w:r>
          </w:p>
        </w:tc>
        <w:tc>
          <w:tcPr>
            <w:tcW w:w="15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4" w:type="dxa"/>
            <w:tcBorders/>
            <w:vAlign w:val="bottom"/>
          </w:tcPr>
          <w:p>
            <w:pPr>
              <w:pStyle w:val="TableContents"/>
              <w:bidi w:val="0"/>
              <w:spacing w:before="0" w:after="283"/>
              <w:jc w:val="right"/>
              <w:rPr/>
            </w:pPr>
            <w:r>
              <w:rPr/>
              <w:t>1,011,283</w:t>
            </w:r>
          </w:p>
        </w:tc>
        <w:tc>
          <w:tcPr>
            <w:tcW w:w="15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$1.00 increase (decrease) in the assumed initial public offering price of $    per share, based on the midpoint of the estimated offering price range set forth on the cover page of this prospectus, would increase (decrease), as applicable, cash and cash equivalents, additional paid-in-capital, total stockholders’ equity and total capitalization by approximately $    million, assuming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shares offered by us from the expected number of shares to be sold by us in this offering, assuming no change in the assumed initial public offering price per share, the midpoint of the estimated offering price range set forth on the cover page of this prospectus, would increase (decrease), as applicable, cash and cash equivalents, additional paid-in capital, total stockholders’ equity and total capitalization by approximately $    million, after deducting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give effect to (i) the 2025 Tender Offer completed subsequent to September 30, 2025, pursuant to which we used cash on hand to repurchase shares of common stock,      Jones Act Warrants and     Creditor Warrants for an aggregate purchase price of approximately $    million, or (ii) the 2025 MIP Repurchases completed subsequent to September 30, 2025, pursuant to which we used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cash on hand to repurchase certain stock-based compensation awards on December     , 2025 for an aggregate purchase price of approximately $     million.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give effect to $65.2 million remaining to be incurred in connection with additional outfitting of the two newbuild MPSVs.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November 14, 2025, there were no Revolving Loans outstanding under the First Lien Revolving Credit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are net of original issue discount of $6,044 and deferred financing costs of $1,986.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outstanding share information in the table above is based on      shares of our common stock outstanding as of September 30, 2025 (and therefore does not reflect the 2025 Tender Offer), after giving effect to the stock split, and does not reflect: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exercise of outstanding Jones Act Warrants, at an exercise price of $0.00001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exercise of outstanding Creditor Warrants, at an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the exercise of outstanding options at an average weighted exercise price of $    or the vesting of restricted stock units issued under our 2020 Management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xml:space="preserve">     </w:t>
            </w:r>
            <w:r>
              <w:rPr>
                <w:rFonts w:ascii="Times New Roman" w:hAnsi="Times New Roman"/>
                <w:sz w:val="20"/>
              </w:rPr>
              <w:t xml:space="preserve">shares of common stock underlying the IPO Grants (calculated using the midpoint of the estimated offering price range shown on the cover page of this prospectus) as described in “Executive Compensation—Go-Forward Compensation Arrangements-IPO Equity Grants”;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pursuant to future awards under our 2020 Management Incentive Plan or our 2026 Omnibus Incentive Plan to be in effect following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rom65571_7"/>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in us will be diluted to the extent of the difference between the initial public offering price per share of our common stock and the as adjusted net tangible book value per share of our common stock after this offering. Dilution results from the fact that the per share offering price of the common stock is substantially in excess of the book value per share attributable to the shares of common stock held by existing stockholders. Because the stock split will take place prior to or concurrently with the closing of this offering, we have presented dilution in as adjusted net tangible book value per share before this offering assuming the implementation of a     -for-one stock split with respect to our common stock, in order to more meaningfully present the dilutive impact on the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as adjusted net tangible book value as of September 30, 2025 was approximately $    million, or $    per share of our common stock ($    per share after giving effect to the stock split). We calculate as adjusted net tangible book value per share by taking the amount of our total tangible assets, reduced by the amount of our total liabilities, and then dividing that amount by the total number of shares of common stock outstanding after giving effect to the stock split.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(i) the sale of shares of our common stock in this offering by the Company and the selling stockholders at an initial public offering price of $     per share (the midpoint of the estimated offering price range shown on the cover of this prospectus), after deducting the underwriting discounts and commissions and estimated offering expenses payable by us, (ii) the application of the net proceeds to us from this offering as set forth under “Use of Proceeds,” and (iii) the stock split, our as adjusted net tangible book value as of September 30, 2025 would have been $     million, or $     per share of our common stock. This amount represents an immediate increase in net tangible book value of $     per share to existing stockholders and an immediate and substantial dilution in net tangible book value of $     per share to investors purchasing shares in this offering at the initial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6115"/>
        <w:gridCol w:w="273"/>
        <w:gridCol w:w="140"/>
        <w:gridCol w:w="805"/>
        <w:gridCol w:w="60"/>
        <w:gridCol w:w="273"/>
        <w:gridCol w:w="140"/>
        <w:gridCol w:w="805"/>
        <w:gridCol w:w="63"/>
      </w:tblGrid>
      <w:tr>
        <w:trPr/>
        <w:tc>
          <w:tcPr>
            <w:tcW w:w="6115"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 per share of common stock (the midpoint of the estimated offering price range shown on the cover page of this prospectus)</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115"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September 30, 2025</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tangible book value per share attributable to investors in this offering</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11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in this offering</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Dilution is determined by subtracting as adjusted net tangible book value per share of common stock after the offering from the initial public offering price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as of September 30, 2025,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an initial public offering price of $     per share for shares purchased in this offering and excludes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08"/>
        <w:gridCol w:w="199"/>
        <w:gridCol w:w="65"/>
        <w:gridCol w:w="847"/>
        <w:gridCol w:w="352"/>
        <w:gridCol w:w="146"/>
        <w:gridCol w:w="60"/>
        <w:gridCol w:w="647"/>
        <w:gridCol w:w="286"/>
        <w:gridCol w:w="146"/>
        <w:gridCol w:w="95"/>
        <w:gridCol w:w="1256"/>
        <w:gridCol w:w="95"/>
        <w:gridCol w:w="260"/>
        <w:gridCol w:w="95"/>
        <w:gridCol w:w="501"/>
        <w:gridCol w:w="286"/>
        <w:gridCol w:w="146"/>
        <w:gridCol w:w="169"/>
        <w:gridCol w:w="677"/>
        <w:gridCol w:w="69"/>
      </w:tblGrid>
      <w:tr>
        <w:trPr/>
        <w:tc>
          <w:tcPr>
            <w:tcW w:w="3808"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8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1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6" w:type="dxa"/>
            <w:gridSpan w:val="2"/>
            <w:tcBorders/>
            <w:vAlign w:val="bottom"/>
          </w:tcPr>
          <w:p>
            <w:pPr>
              <w:pStyle w:val="TableContents"/>
              <w:pBdr>
                <w:bottom w:val="single" w:sz="8" w:space="1" w:color="000000"/>
              </w:pBdr>
              <w:bidi w:val="0"/>
              <w:spacing w:before="0" w:after="0"/>
              <w:jc w:val="left"/>
              <w:rPr/>
            </w:pPr>
            <w:r>
              <w:rPr/>
              <w:t> </w:t>
            </w:r>
          </w:p>
        </w:tc>
        <w:tc>
          <w:tcPr>
            <w:tcW w:w="69" w:type="dxa"/>
            <w:tcBorders/>
            <w:vAlign w:val="bottom"/>
          </w:tcPr>
          <w:p>
            <w:pPr>
              <w:pStyle w:val="TableContents"/>
              <w:bidi w:val="0"/>
              <w:spacing w:before="0" w:after="283"/>
              <w:jc w:val="left"/>
              <w:rPr/>
            </w:pPr>
            <w:r>
              <w:rPr/>
              <w:t> </w:t>
            </w:r>
          </w:p>
        </w:tc>
      </w:tr>
      <w:tr>
        <w:trPr/>
        <w:tc>
          <w:tcPr>
            <w:tcW w:w="3808" w:type="dxa"/>
            <w:tcBorders/>
            <w:vAlign w:val="bottom"/>
          </w:tcPr>
          <w:p>
            <w:pPr>
              <w:pStyle w:val="TableContents"/>
              <w:bidi w:val="0"/>
              <w:spacing w:before="0" w:after="283"/>
              <w:jc w:val="left"/>
              <w:rPr>
                <w:b/>
                <w:i/>
              </w:rPr>
            </w:pPr>
            <w:r>
              <w:rPr>
                <w:b/>
                <w:i/>
              </w:rPr>
              <w:t>($ in millions, except per share amounts)</w:t>
            </w:r>
          </w:p>
        </w:tc>
        <w:tc>
          <w:tcPr>
            <w:tcW w:w="199"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9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Avg/Share</w:t>
            </w:r>
          </w:p>
        </w:tc>
        <w:tc>
          <w:tcPr>
            <w:tcW w:w="69" w:type="dxa"/>
            <w:tcBorders/>
            <w:vAlign w:val="bottom"/>
          </w:tcPr>
          <w:p>
            <w:pPr>
              <w:pStyle w:val="TableContents"/>
              <w:bidi w:val="0"/>
              <w:spacing w:before="0" w:after="283"/>
              <w:jc w:val="left"/>
              <w:rPr/>
            </w:pPr>
            <w:r>
              <w:rPr/>
              <w:t> </w:t>
            </w:r>
          </w:p>
        </w:tc>
      </w:tr>
      <w:tr>
        <w:trPr/>
        <w:tc>
          <w:tcPr>
            <w:tcW w:w="3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stockholders</w:t>
            </w:r>
          </w:p>
        </w:tc>
        <w:tc>
          <w:tcPr>
            <w:tcW w:w="19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283"/>
              <w:jc w:val="left"/>
              <w:rPr/>
            </w:pPr>
            <w:r>
              <w:rPr/>
              <w:t>(1)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677"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808"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 in this offering</w:t>
            </w:r>
          </w:p>
        </w:tc>
        <w:tc>
          <w:tcPr>
            <w:tcW w:w="19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 </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808"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67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677"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808"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501"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677"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shares owned by the selling stockholders that will be purchased by new investors as a result of this offering: </w:t>
            </w:r>
          </w:p>
        </w:tc>
      </w:tr>
    </w:tbl>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3646"/>
        <w:gridCol w:w="145"/>
        <w:gridCol w:w="85"/>
        <w:gridCol w:w="1105"/>
        <w:gridCol w:w="85"/>
        <w:gridCol w:w="186"/>
        <w:gridCol w:w="85"/>
        <w:gridCol w:w="490"/>
        <w:gridCol w:w="275"/>
        <w:gridCol w:w="94"/>
        <w:gridCol w:w="95"/>
        <w:gridCol w:w="1248"/>
        <w:gridCol w:w="95"/>
        <w:gridCol w:w="203"/>
        <w:gridCol w:w="95"/>
        <w:gridCol w:w="524"/>
        <w:gridCol w:w="275"/>
        <w:gridCol w:w="94"/>
        <w:gridCol w:w="60"/>
        <w:gridCol w:w="843"/>
        <w:gridCol w:w="68"/>
      </w:tblGrid>
      <w:tr>
        <w:trPr/>
        <w:tc>
          <w:tcPr>
            <w:tcW w:w="3646"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0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3" w:type="dxa"/>
            <w:gridSpan w:val="2"/>
            <w:tcBorders/>
            <w:vAlign w:val="bottom"/>
          </w:tcPr>
          <w:p>
            <w:pPr>
              <w:pStyle w:val="TableContents"/>
              <w:pBdr>
                <w:bottom w:val="single" w:sz="8" w:space="1" w:color="000000"/>
              </w:pBdr>
              <w:bidi w:val="0"/>
              <w:spacing w:before="0" w:after="0"/>
              <w:jc w:val="left"/>
              <w:rPr/>
            </w:pPr>
            <w:r>
              <w:rPr/>
              <w:t> </w:t>
            </w:r>
          </w:p>
        </w:tc>
        <w:tc>
          <w:tcPr>
            <w:tcW w:w="68" w:type="dxa"/>
            <w:tcBorders/>
            <w:vAlign w:val="bottom"/>
          </w:tcPr>
          <w:p>
            <w:pPr>
              <w:pStyle w:val="TableContents"/>
              <w:bidi w:val="0"/>
              <w:spacing w:before="0" w:after="283"/>
              <w:jc w:val="left"/>
              <w:rPr/>
            </w:pPr>
            <w:r>
              <w:rPr/>
              <w:t> </w:t>
            </w:r>
          </w:p>
        </w:tc>
      </w:tr>
      <w:tr>
        <w:trPr/>
        <w:tc>
          <w:tcPr>
            <w:tcW w:w="364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8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9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Avg/Share</w:t>
            </w:r>
          </w:p>
        </w:tc>
        <w:tc>
          <w:tcPr>
            <w:tcW w:w="68" w:type="dxa"/>
            <w:tcBorders/>
            <w:vAlign w:val="bottom"/>
          </w:tcPr>
          <w:p>
            <w:pPr>
              <w:pStyle w:val="TableContents"/>
              <w:bidi w:val="0"/>
              <w:spacing w:before="0" w:after="283"/>
              <w:jc w:val="left"/>
              <w:rPr/>
            </w:pPr>
            <w:r>
              <w:rPr/>
              <w:t> </w:t>
            </w:r>
          </w:p>
        </w:tc>
      </w:tr>
      <w:tr>
        <w:trPr/>
        <w:tc>
          <w:tcPr>
            <w:tcW w:w="3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stockholders</w:t>
            </w:r>
          </w:p>
        </w:tc>
        <w:tc>
          <w:tcPr>
            <w:tcW w:w="14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646"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5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were to fully exercise their option to purchase additional shares of our common stock, the percentage of shares of our common stock held by existing stockholders as of September 30, 2025 would be     % and the percentage of shares of our common stock held by new investors would be  %.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and tables above are based on     shares of our common stock outstanding as of September 30, 2025 (and therefore does not reflect the 2025 Tender Offer), after giving effect to the stock split, and excludes     million shares of common stock issuable upon exercise of the Jones Act Warrants and Creditor Warrants, with an exercise price of $0.00001 per share and $    per share, respectively,    shares of our common stock issuable upon exercise of options or settlement of restricted stock units under the 2020 Management Incentive Plan and    shares of our common stock underlying the IPO Grants.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Jones Act Warrants or Creditor Warrants are exercised, outstanding options or restricted stock units settle, or we grant options, restricted stock, restricted stock units or other equity-based awards to our employees, executive officers and directors in the future, or other issuances of common stock are made, there will be further dilution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rom65571_8"/>
      <w:bookmarkEnd w:id="9"/>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Management’s Discussion and Analysis of Financial Condition and Results of Operations should be read in conjunction with the information contained in “Summary—Summary Financial and Other Data,” “Business,” “Risk Factors” and the Financial Statements and related notes included elsewhere in this prospectus. Unless the context otherwise requires, all references in this section to “the Company,” “Hornbeck,” “we,” “us,” or “our” refer to the business of Hornbeck Offshore Services, Inc. Additionally, unless noted otherwise, discussions surrounding our vessels are as of October 31, 2025. Such discussions also include two partially constructed Jones Act-qualified MPSV newbuilds to be completed pursuant to our settlement with the Surety, as discussed further in “—Recent Developments—MPSV Newbuild Construction.” Our vessels exclude four OSVs formerly owned by us that we now operate and maintain for the U.S. Navy. </w:t>
      </w:r>
    </w:p>
    <w:p>
      <w:pPr>
        <w:pStyle w:val="TextBody"/>
        <w:bidi w:val="0"/>
        <w:spacing w:before="240" w:after="0"/>
        <w:jc w:val="left"/>
        <w:rPr>
          <w:rFonts w:ascii="Times New Roman" w:hAnsi="Times New Roman"/>
          <w:i/>
          <w:sz w:val="20"/>
        </w:rPr>
      </w:pPr>
      <w:r>
        <w:rPr>
          <w:rFonts w:ascii="Times New Roman" w:hAnsi="Times New Roman"/>
          <w:i/>
          <w:sz w:val="20"/>
        </w:rPr>
        <w:t xml:space="preserve">During the fourth quarter of 2022, the Company reclassified certain vessels from OSVs to MPSVs and MPSVs to OSVs based on the nature of each vessel’s current operations and technical capabilities. For purposes of the following discussion and analysis, we have comparably calculated and classified prior-period amounts to conform with the current vessel classifications.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prospectus. See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HADR and aerospace support services. We own a fleet of 74 offshore vessels comprised of 15 MPSVs, two of which are under construction, and 59 OSVs. In addition, we provide ongoing operation and maintenance of four highly specialized OSVs (which we previously developed, constructed, and sold to the U.S. Navy) via a long-term O&amp;M contract. Since our founding nearly 30 years ago, we have focused on providing innovative,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240" w:after="0"/>
        <w:jc w:val="left"/>
        <w:rPr>
          <w:rFonts w:ascii="Times New Roman" w:hAnsi="Times New Roman"/>
          <w:sz w:val="20"/>
        </w:rPr>
      </w:pPr>
      <w:r>
        <w:rPr>
          <w:rFonts w:ascii="Times New Roman" w:hAnsi="Times New Roman"/>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47 vessels are classified as either high- or ultra-high spec and have an expected remaining economic useful life that exceeds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is capable of generating enhanced returns for our investors. </w:t>
      </w:r>
    </w:p>
    <w:p>
      <w:pPr>
        <w:pStyle w:val="TextBody"/>
        <w:bidi w:val="0"/>
        <w:spacing w:before="240" w:after="0"/>
        <w:jc w:val="left"/>
        <w:rPr>
          <w:rFonts w:ascii="Times New Roman" w:hAnsi="Times New Roman"/>
          <w:sz w:val="20"/>
        </w:rPr>
      </w:pPr>
      <w:r>
        <w:rPr>
          <w:rFonts w:ascii="Times New Roman" w:hAnsi="Times New Roman"/>
          <w:sz w:val="20"/>
        </w:rPr>
        <w:t xml:space="preserve">Our fleet of 15 MPSVs provides services ranging from offshore construction to recurring IRM services, as well as commissioning and decommissioning for offshore and subsea energy and infrastructure projects. Most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have the ability to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Given the breadth of capabilities of our MPSV fleet, our vessels are highly relevant to our customers across a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strategically repositioned our fleet to capture value across these diversified end-markets. As of September 30, 2025, approximately 68% of our trailing twelve-month revenues were derived from oilfield specialty and non-oilfield services, providing a more consistent operating environment for our Company that is less impacted by industry cyclicality associated with oilfield drilling operations. </w:t>
      </w:r>
    </w:p>
    <w:p>
      <w:pPr>
        <w:pStyle w:val="TextBody"/>
        <w:bidi w:val="0"/>
        <w:spacing w:before="240" w:after="0"/>
        <w:jc w:val="left"/>
        <w:rPr>
          <w:rFonts w:ascii="Times New Roman" w:hAnsi="Times New Roman"/>
          <w:sz w:val="20"/>
        </w:rPr>
      </w:pPr>
      <w:r>
        <w:rPr>
          <w:rFonts w:ascii="Times New Roman" w:hAnsi="Times New Roman"/>
          <w:sz w:val="20"/>
        </w:rPr>
        <w:t xml:space="preserve">Included in our pro forma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industry-leading technologies that will make them some of the most sophisticated MPSVs in the world. Each vessel will be equipped with one 250-ton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After enduring a multi-year down-turn in the oil and gas industry due principally to an over-supply of oil, in addition to the COVID-19 pandemic, we developed a strategic plan focused on (i) right-sizing its fleet to focus on high-spec and ultra high-spec vessels, (ii) diversifying further into oilfield services to more broadly serve customer requirements that are less reliant on drilling operations and (iii) growing our non-oilfield revenue base. As oil markets have recovered, drilling activity across our operating region has grown. Drilling in the GoA has recently stabilized to an active drilling rig count ranging from 18 to 20 rigs. The Brazilian rig count has increased more dramatically to 33 rigs, whereas Guyana, Suriname and other South American regions have also seen increases. Non-drilling activities have also increased, creating demand for MPSVs, and to a lesser extent OSVs. We have also seen increased activity in non-oilfield markets, with offshore wind development playing a significant part. In 2025, we had as many as eight vessels working outside of the oilfield supporting offshore wind development projects. Moreover, our services to the United States military have also increased. Geopolitical tensions, particularly in Ukraine, the Middle East and the Pacific theater, are driving increased inquiries regarding the unique capabilities of our vessels as platforms that can perform military missions. Our strategy to diversify our revenue base and high grade our fleet has produced favorable results. We achieved our highest operating results in the second quarter of 2025, with 17% of our revenue derived from non-oilfield drilling operations, 22% from oilfield specialty operations, 16% from military operations and 15% from other non-oilfield operations, including wind, HADR and aerospace operations. </w:t>
      </w:r>
    </w:p>
    <w:p>
      <w:pPr>
        <w:pStyle w:val="TextBody"/>
        <w:bidi w:val="0"/>
        <w:spacing w:before="240" w:after="0"/>
        <w:jc w:val="left"/>
        <w:rPr>
          <w:rFonts w:ascii="Times New Roman" w:hAnsi="Times New Roman"/>
          <w:sz w:val="20"/>
        </w:rPr>
      </w:pPr>
      <w:r>
        <w:rPr>
          <w:rFonts w:ascii="Times New Roman" w:hAnsi="Times New Roman"/>
          <w:sz w:val="20"/>
        </w:rPr>
        <w:t xml:space="preserve">Oil prices remain volatile. During 2022, the domestic oil price peaked at $124 per barrel, representing a near 14-year high, which was driven by geopolitical tensions, low investment by our customers and increased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the COVID-19 pandemic. In 2025, the domestic oil price has averaged $66.63, as supply has increased and demand softened as a result of global economic weakness, especially in China. Current forecasts call for an over-supplied oil market in 2026, which is likely to result in softer prices. However, forecasts also call for steady increases in oil prices as supply shortages from under-investment and strengthening demand in the developing world increase the demand for hydrocarbons. </w:t>
      </w:r>
    </w:p>
    <w:p>
      <w:pPr>
        <w:pStyle w:val="TextBody"/>
        <w:bidi w:val="0"/>
        <w:spacing w:before="240" w:after="0"/>
        <w:jc w:val="left"/>
        <w:rPr>
          <w:rFonts w:ascii="Times New Roman" w:hAnsi="Times New Roman"/>
          <w:sz w:val="20"/>
        </w:rPr>
      </w:pPr>
      <w:r>
        <w:rPr>
          <w:rFonts w:ascii="Times New Roman" w:hAnsi="Times New Roman"/>
          <w:sz w:val="20"/>
        </w:rPr>
        <w:t xml:space="preserve">Because the majority of our fleet is Jones Act-qualified, our primary market focus is in the United States, as foreign competition is limited and the supply of U.S.-built OSVs and MPSVs is not growing. The supply of OSVs and MPSVs working in the United States can have a significant impact on our utilization and pricing. As U.S.-flagged vessels are drawn into other proximate regional markets, such as Brazil and Northern South America, fewer vessels are available domestically to serve the oilfield and non-oilfield markets. This dynamic has been particularly true during 2025. As of October 31, 2025, 20% of the U.S.-flagged high- and ultra high-spec OSVs were working in foreign markets, limiting the supply domestically at a time when vessel demand for offshore wind development increased, despite relatively flat demand in the GoA for drilling support.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by 2027, drilling will increase modestly in the GoA and will continue to have grown in Brazil and other Latin American markets, increasing the demand from drilling markets for our vessels. We have grown our presence in Brazil since 2021 from one vessel to nine. Two of those vessels are Brazilian-flagged and therefore have the ability to block foreign competitors. We have also increased our presence on the Northern Slope of South America. A potential threat to these positive developments is the possible movement of vessels from other parts of the world into the non-U.S. regional markets that we serve. The North Sea has been particularly soft for the last two years, owing in part to efforts to decarbonize in the U.K. and Norway. However, as the oil price increases, it is expected that drilling will likewise increase globally, dampening the temptation of foreign operators to mobilize vessels into our markets at a high cost. During 2026, we expect that offshore wind development in the United States will continue to develop, notwithstanding the Trump Administration’s efforts to curtail offshore wind development. Several such projects in development will likely be completed over the next several years. These projects are vessel intensive and, because they are located in the United States, require Jones Act-qualified vessels for much of the work. We also expect in 2026 to renew our contract with the United States Navy to provide operations and management services for four vessels that we sold to the United States in 2015. Moreover, we expect other government chartering opportunities to materialize, especially given escalation of geopolitical tensions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In Mexico, we have faced challenges on several fronts, notwithstanding the enormous potential of that country’s deepwater prospects. Our fleet in Mexico is comprised of 13 OSVs and one MPSV. In 2023, Mexican regulators challenged our right to perform cabotage services in Mexico. As a result, we took legal action to preserve our cabotage privileges there, and a Mexican court ordered that our privileges be reinstated. On June 3, 2024, we appealed this decision to further clarify the court’s ruling, and our cabotage privileges remain active during the pendency of the appeal, which is expected to last between one and three years, if not longer. Concomitantly, the Mexican offshore market has deteriorated significantly owing to the departure of several international oil companies (“IOCs”) that faced administrative and other challenges under the prior administration and PEMEX’s financial deterioration, which has left a large portion of its supply- and service- chain unpaid for over a year. We have been able to mobilize 73% of our active Mexican-flagged vessels into adjacent regional markets during this period of market uncertainty in Mexico. Only our Mexican-flagged MPSV is currently operating in Mexico. The charterer of that vessel is working directly for PEMEX and has experienced delays in payments from PEMEX, which has affected the timing of its payments to us. While the administration of President Sheinbaum is seeking a solution to the PEMEX financial crisis, it has also taken steps to seek renewed investment from IOCs, including a deepwater project to be developed in Mexico by an IOC. We have recently been awarded a three-vessel charter for this project that is expected to last several years and require more vessels, including MPSVs which will commence in 2026. We are unaware as to whether such legal challenges will be resolved by the time such project commences.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recent and current inflationary environment has affected the cost of our operations, including but not limited to increased labor, repair and maintenance, consumable supply and insurance costs, and we have budgeted for an increase of approximately 3.5% in such costs in 2026 compared to 2025. To date, we have largely mitigated the impact on our operating margins through price escalation clauses in our customer contracts or higher pricing for our vessels operating in the spot market. If we are unable to secure price escalation clauses in our customer contracts or if market prices for our services do not increase at a rate at least commensurate with general inflation, the effects of inflation could have a materially adverse impact on our results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HOS C/SOV + Flotel MPSV Delivery </w:t>
      </w:r>
    </w:p>
    <w:p>
      <w:pPr>
        <w:pStyle w:val="TextBody"/>
        <w:bidi w:val="0"/>
        <w:spacing w:before="120" w:after="0"/>
        <w:jc w:val="left"/>
        <w:rPr>
          <w:rFonts w:ascii="Times New Roman" w:hAnsi="Times New Roman"/>
          <w:sz w:val="20"/>
        </w:rPr>
      </w:pPr>
      <w:r>
        <w:rPr>
          <w:rFonts w:ascii="Times New Roman" w:hAnsi="Times New Roman"/>
          <w:sz w:val="20"/>
        </w:rPr>
        <w:t xml:space="preserve">In July 2023, we announced that we had contracted Eastern to convert one of our U.S.-flagged, Jones Act-qualified, HOSMAX 280 class DP-2 OSVs acquired from the MARAD into a MPSV for dual-service as either a C/SOV or flotel to meet the growing demand of the U.S. offshore wind or oilfield markets for large personnel accommodations with “walk-to-work” capability. Following delivery from the shipyard in early November 2025, the converted vessel was placed into active service and will commence a charter to support an offshore wind project off the U.S. East Coast. The total cost of the conversion is estimated to be $96.0 million, including owner-furnished equipment, outfitting, engineering and overhead costs. Our HOS C/SOV+Flotel MPSV is capable of providing services to the U.S. offshore wind market both during the commissioning phase of an offshore wind farm and during its operational life, as well as to offshore facilities engaged in the exploration and production of hydrocarbons.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2025 Tender Offer and MIP Repurchases </w:t>
      </w:r>
    </w:p>
    <w:p>
      <w:pPr>
        <w:pStyle w:val="TextBody"/>
        <w:bidi w:val="0"/>
        <w:spacing w:before="120" w:after="0"/>
        <w:jc w:val="left"/>
        <w:rPr>
          <w:rFonts w:ascii="Times New Roman" w:hAnsi="Times New Roman"/>
          <w:i/>
          <w:sz w:val="20"/>
        </w:rPr>
      </w:pPr>
      <w:r>
        <w:rPr>
          <w:rFonts w:ascii="Times New Roman" w:hAnsi="Times New Roman"/>
          <w:i/>
          <w:sz w:val="20"/>
        </w:rPr>
        <w:t xml:space="preserve">2025 Tender Offer </w:t>
      </w:r>
    </w:p>
    <w:p>
      <w:pPr>
        <w:pStyle w:val="TextBody"/>
        <w:bidi w:val="0"/>
        <w:spacing w:before="120" w:after="0"/>
        <w:jc w:val="left"/>
        <w:rPr>
          <w:rFonts w:ascii="Times New Roman" w:hAnsi="Times New Roman"/>
          <w:sz w:val="20"/>
        </w:rPr>
      </w:pPr>
      <w:r>
        <w:rPr>
          <w:rFonts w:ascii="Times New Roman" w:hAnsi="Times New Roman"/>
          <w:sz w:val="20"/>
        </w:rPr>
        <w:t xml:space="preserve">On November    , 2025, we commenced the 2025 Tender Offer to purchase up to an aggregate purchase price of $     of our common stock, Jones Act Warrants and Creditor Warrants at a price of $     per security (less, solely with respect to tendered Creditor Warrants accepted for purchase in the 2025 Tender Offer, the applicable exercise price). Pursuant to the 2025 Tender Offer,     shares of common stock,     Jones Act Warrants and     Creditor Warrants were validly tendered and not withdrawn, and we accepted for purchase on December  , 2025   shares of common stock,      Jones Act Warrants and     Creditor Warrants, for an aggregate purchase price of $    . We used cash on hand to fund the 2025 Tender Offer, and to pay fees and expenses related thereto. </w:t>
      </w:r>
    </w:p>
    <w:p>
      <w:pPr>
        <w:pStyle w:val="TextBody"/>
        <w:bidi w:val="0"/>
        <w:spacing w:before="360" w:after="0"/>
        <w:jc w:val="left"/>
        <w:rPr>
          <w:rFonts w:ascii="Times New Roman" w:hAnsi="Times New Roman"/>
          <w:i/>
          <w:sz w:val="20"/>
        </w:rPr>
      </w:pPr>
      <w:r>
        <w:rPr>
          <w:rFonts w:ascii="Times New Roman" w:hAnsi="Times New Roman"/>
          <w:i/>
          <w:sz w:val="20"/>
        </w:rPr>
        <w:t xml:space="preserve">2025 MIP Repurchases </w:t>
      </w:r>
    </w:p>
    <w:p>
      <w:pPr>
        <w:pStyle w:val="TextBody"/>
        <w:bidi w:val="0"/>
        <w:spacing w:before="120" w:after="0"/>
        <w:jc w:val="left"/>
        <w:rPr>
          <w:rFonts w:ascii="Times New Roman" w:hAnsi="Times New Roman"/>
          <w:sz w:val="20"/>
        </w:rPr>
      </w:pPr>
      <w:r>
        <w:rPr>
          <w:rFonts w:ascii="Times New Roman" w:hAnsi="Times New Roman"/>
          <w:sz w:val="20"/>
        </w:rPr>
        <w:t xml:space="preserve">On December  , 2025, we accelerated the vesting of an aggregate of     stock options,      restricted stock units and     performance stock units and repurchased from employees and non-employee directors of the Company the shares of common stock underlying such accelerated stock options, restricted stock units and performance stock units at a price equal to $     per share (less, solely with respect to such options, the applicable exercise price) for an aggregate purchase price of $    . The 2025 MIP Repurchases were not made pursuant to the 2025 Tender Offer, and were open to all employees and non-employee directors that held stock options, restricted stock units and performance stock units. We used cash on hand to fund the 2025 MIP Repurchases.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MPSV Newbuild Construction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shipyard acceptable to us. In December 2023, Eastern was mutually selected by the parties and was contracted by the Surety to complete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 As of September 30, 2025, we have fulfilled our $42.6 million contractual obligation and all remaining construction costs are to be paid by the Surety to Eastern. </w:t>
      </w:r>
    </w:p>
    <w:p>
      <w:pPr>
        <w:pStyle w:val="TextBody"/>
        <w:bidi w:val="0"/>
        <w:spacing w:before="240" w:after="0"/>
        <w:jc w:val="left"/>
        <w:rPr>
          <w:rFonts w:ascii="Times New Roman" w:hAnsi="Times New Roman"/>
          <w:sz w:val="20"/>
        </w:rPr>
      </w:pPr>
      <w:r>
        <w:rPr>
          <w:rFonts w:ascii="Times New Roman" w:hAnsi="Times New Roman"/>
          <w:sz w:val="20"/>
        </w:rPr>
        <w:t xml:space="preserve">Following physical delivery by the shipyard, each vessel is expected to undergo crane and other system installations and both vessels are expected to be available for commercial service in 2027. In addition to the fully satisfied $42.6 million contractual obligation, we expect to incur an additional $87.1 million in the aggregate for outfitting, engineering, overhead and the post-delivery discretionary enhancements, of which $59.6 million solely relates to the purchase and installation of the cranes. As of September 30, 2025, we had incurred $21.9 million of such incremental amounts, excluding capitalized interest. Once placed in service, we expect that our book carrying value for each vessel will approximate $80.0 million, including estimated capitalized interest, which is significantly below the expected market value of Jones Act-qualified vessels of this type, size and specifications.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Mexico Cabotage Status </w:t>
      </w:r>
    </w:p>
    <w:p>
      <w:pPr>
        <w:pStyle w:val="TextBody"/>
        <w:bidi w:val="0"/>
        <w:spacing w:before="120" w:after="0"/>
        <w:jc w:val="left"/>
        <w:rPr>
          <w:rFonts w:ascii="Times New Roman" w:hAnsi="Times New Roman"/>
          <w:sz w:val="20"/>
        </w:rPr>
      </w:pPr>
      <w:r>
        <w:rPr>
          <w:rFonts w:ascii="Times New Roman" w:hAnsi="Times New Roman"/>
          <w:sz w:val="20"/>
        </w:rPr>
        <w:t xml:space="preserve">In 2023, Mexican regulators challenged our right to perform cabotage services in Mexico. As a result, we took legal action to preserve our cabotage privileges there, and a Mexican court ordered that our privileges be reinstated. On June 3, 2024, we appealed this decision to further clarify the court’s ruling, and our cabotage privileges remain active during the pendency of the appeal, which is expected to last between one and three years, if not longer. In the first quarter of 2026, we expect three of our Mexican-flagged vessels to return to Mexico to perform services under a long-term charter with an integrated oil company. </w:t>
      </w:r>
    </w:p>
    <w:p>
      <w:pPr>
        <w:pStyle w:val="TextBody"/>
        <w:bidi w:val="0"/>
        <w:spacing w:before="360" w:after="0"/>
        <w:jc w:val="left"/>
        <w:rPr>
          <w:rFonts w:ascii="Times New Roman" w:hAnsi="Times New Roman"/>
          <w:b/>
          <w:sz w:val="20"/>
        </w:rPr>
      </w:pPr>
      <w:r>
        <w:rPr>
          <w:rFonts w:ascii="Times New Roman" w:hAnsi="Times New Roman"/>
          <w:b/>
          <w:sz w:val="20"/>
        </w:rPr>
        <w:t xml:space="preserve">Performance and other Key Indicators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Vessel Count, Utilization and Dayrates </w:t>
      </w:r>
    </w:p>
    <w:p>
      <w:pPr>
        <w:pStyle w:val="TextBody"/>
        <w:bidi w:val="0"/>
        <w:spacing w:before="120" w:after="0"/>
        <w:jc w:val="left"/>
        <w:rPr>
          <w:rFonts w:ascii="Times New Roman" w:hAnsi="Times New Roman"/>
          <w:sz w:val="20"/>
        </w:rPr>
      </w:pPr>
      <w:r>
        <w:rPr>
          <w:rFonts w:ascii="Times New Roman" w:hAnsi="Times New Roman"/>
          <w:sz w:val="20"/>
        </w:rPr>
        <w:t xml:space="preserve">Our revenues, net income and cash flows from operating activities are largely dependent upon the activity level of our marine service vessels. In analyzing our activity level, we focus primarily on vessel count (including whether vessels are active or stacked), average and effective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 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average dayrates, utilization rates and effective dayrates for our owned OSVs and MPSVs and the average number and size of such vessels owned during the periods indicated. These vessels generate the majority of our revenues. Excluded from the OSV and MPSV information below is the results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operations for our shore-based port facility and vessel management services, including the four vessels formerly owned by us that we now operate and maintain for the U.S. Navy.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6"/>
        <w:gridCol w:w="248"/>
        <w:gridCol w:w="140"/>
        <w:gridCol w:w="806"/>
        <w:gridCol w:w="276"/>
        <w:gridCol w:w="196"/>
        <w:gridCol w:w="140"/>
        <w:gridCol w:w="806"/>
        <w:gridCol w:w="276"/>
        <w:gridCol w:w="196"/>
        <w:gridCol w:w="140"/>
        <w:gridCol w:w="806"/>
        <w:gridCol w:w="276"/>
        <w:gridCol w:w="196"/>
        <w:gridCol w:w="140"/>
        <w:gridCol w:w="806"/>
        <w:gridCol w:w="276"/>
        <w:gridCol w:w="196"/>
        <w:gridCol w:w="140"/>
        <w:gridCol w:w="806"/>
        <w:gridCol w:w="283"/>
      </w:tblGrid>
      <w:tr>
        <w:trPr/>
        <w:tc>
          <w:tcPr>
            <w:tcW w:w="3056"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64"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378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3"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Offshore Supply Vessels: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OSVs(1)</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58.6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53.8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57.0</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active OSVs(2)</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37.7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37.6</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38.0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32.2</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26.7</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fleet capacity (DWT)(3)</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264,485</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259,870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261,528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235,514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229,001</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OSV capacity (DWT)(4)</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4,449</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4,435</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4,437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4,374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4,020</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utilization rate(5)</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47.9</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42.8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41.3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44.3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37.7</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Active OSV utilization rate(6)</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75.6</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66.7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64.1</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74.0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80.7</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dayrate(7)</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44,366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41,014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41,956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39,297</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32,305</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OSV dayrate(8)</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21,251</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17,554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17,328</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17,409</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12,179</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b/>
                <w:sz w:val="20"/>
              </w:rPr>
            </w:pPr>
            <w:r>
              <w:rPr>
                <w:rFonts w:ascii="Times New Roman" w:hAnsi="Times New Roman"/>
                <w:b/>
                <w:sz w:val="20"/>
              </w:rPr>
              <w:t>Multi-Purpose Support Vessels: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MPSVs(1)</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active MPSVs(2)</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11.2</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10.4</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MPSV utilization rate(5)</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60.3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75.0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73.4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68.4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65.2</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Active MPSV utilization rate(6)</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65.1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75.0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75.0</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MPSV dayrate(7)</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82,518</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65,943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67,853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62,372</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53,421</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Effective MPSV dayrate(8)</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49,758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49,457</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49,804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42,662</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34,830</w:t>
            </w:r>
          </w:p>
        </w:tc>
        <w:tc>
          <w:tcPr>
            <w:tcW w:w="28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number of vessels owned during the period, adjusted to reflect date of acquisition or disposition of vessels. We owned 59, 60, 60, 55, and 54 OSVs and 12 MPSVs as of September 30, 2025 and 2024 and December 31, 2024, 2023 and 2022, respectively. Excluded from the data are four non-owned vessels that we now manage for the U.S. Navy, one OSV acquired from the U.S. Department of Transportation’s Maritime Administration that was at September 30, 2025 undergoing conversion into a MPSV for dual-service as either a C/SOV or flotel, which was completed in early November 2025,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2022, eight such vessels, (ii) as of December 31, 2023, five such vessels, (iii) as of December 31, 2024, no such vessels, (iv) as of September 30, 2025, no such vessels and (v) as of September 30, 2025, no such vessels. We also sold zero, two and ten OSVs during 2024, 2023 and 2022, respectively.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number of OSVs owned during the period multiplied by the weighted-average DWT cargo-carrying capacity of OSVs during the same period.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actual capacity of OSVs owned during the period on a weighted-average basis, adjusted to reflect the date of acquisition or disposition of vessels.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utilization rates are weighted-average rates based on a 365-day year. Vessels are considered utilized when they are generating revenues.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Active utilization rate is based on a denominator comprised only of vessel-days available for service by the active fleet, which excludes the impact of inactive or stacked vessel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OSV and MPSV dayrates represent weighted-average revenues per day, which includes charter hire, crewing services and net brokerage revenues, based on the number of days during the period that the OSVs and MPSVs, respectively, generated revenues.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dayrate represents the average dayrate multiplied by the average utilization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Operating Expense </w:t>
      </w:r>
    </w:p>
    <w:p>
      <w:pPr>
        <w:pStyle w:val="TextBody"/>
        <w:bidi w:val="0"/>
        <w:spacing w:before="120" w:after="0"/>
        <w:jc w:val="left"/>
        <w:rPr>
          <w:rFonts w:ascii="Times New Roman" w:hAnsi="Times New Roman"/>
          <w:sz w:val="20"/>
        </w:rPr>
      </w:pPr>
      <w:r>
        <w:rPr>
          <w:rFonts w:ascii="Times New Roman" w:hAnsi="Times New Roman"/>
          <w:sz w:val="20"/>
        </w:rPr>
        <w:t xml:space="preserve">Our operating costs are primarily a function of total fleet size, the number of active vessels and areas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These costs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wages paid to vessel crews;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and repairs to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contract-specific cost of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marine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materials and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routine inspections to ensure compliance with applicable regulations and to maintain certifications for our vessels with the USCG and various classification societies.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19 U.S.-flagged OSVs, three foreign-flagged OSVs and one U.S.-flagged MPSV stacked. By removing these vessels from our active operating fleet, we significantly reduced our operating costs, including crew costs. As of September 30, 2025, our fixed operating costs were spread over 48 owned and operated vessels in active service and four vessels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sz w:val="20"/>
        </w:rPr>
        <w:t xml:space="preserve">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a breakdown of our operating expenses by type and the corresponding percent of total operating expenses (in thousands, except percent of total and amounts per day): </w:t>
      </w:r>
    </w:p>
    <w:p>
      <w:pPr>
        <w:pStyle w:val="TextBody"/>
        <w:bidi w:val="0"/>
        <w:spacing w:before="0" w:after="0"/>
        <w:jc w:val="left"/>
        <w:rPr/>
      </w:pPr>
      <w:r>
        <w:rPr/>
        <w:t> </w:t>
      </w:r>
    </w:p>
    <w:tbl>
      <w:tblPr>
        <w:tblW w:w="12620" w:type="dxa"/>
        <w:jc w:val="center"/>
        <w:tblInd w:w="0" w:type="dxa"/>
        <w:tblLayout w:type="fixed"/>
        <w:tblCellMar>
          <w:top w:w="0" w:type="dxa"/>
          <w:left w:w="0" w:type="dxa"/>
          <w:bottom w:w="0" w:type="dxa"/>
          <w:right w:w="0" w:type="dxa"/>
        </w:tblCellMar>
      </w:tblPr>
      <w:tblGrid>
        <w:gridCol w:w="1130"/>
        <w:gridCol w:w="60"/>
        <w:gridCol w:w="140"/>
        <w:gridCol w:w="680"/>
        <w:gridCol w:w="60"/>
        <w:gridCol w:w="120"/>
        <w:gridCol w:w="60"/>
        <w:gridCol w:w="440"/>
        <w:gridCol w:w="275"/>
        <w:gridCol w:w="60"/>
        <w:gridCol w:w="140"/>
        <w:gridCol w:w="680"/>
        <w:gridCol w:w="60"/>
        <w:gridCol w:w="120"/>
        <w:gridCol w:w="60"/>
        <w:gridCol w:w="440"/>
        <w:gridCol w:w="275"/>
        <w:gridCol w:w="60"/>
        <w:gridCol w:w="140"/>
        <w:gridCol w:w="800"/>
        <w:gridCol w:w="60"/>
        <w:gridCol w:w="120"/>
        <w:gridCol w:w="60"/>
        <w:gridCol w:w="440"/>
        <w:gridCol w:w="275"/>
        <w:gridCol w:w="60"/>
        <w:gridCol w:w="140"/>
        <w:gridCol w:w="800"/>
        <w:gridCol w:w="60"/>
        <w:gridCol w:w="120"/>
        <w:gridCol w:w="60"/>
        <w:gridCol w:w="440"/>
        <w:gridCol w:w="275"/>
        <w:gridCol w:w="60"/>
        <w:gridCol w:w="140"/>
        <w:gridCol w:w="800"/>
        <w:gridCol w:w="60"/>
        <w:gridCol w:w="120"/>
        <w:gridCol w:w="60"/>
        <w:gridCol w:w="440"/>
        <w:gridCol w:w="275"/>
        <w:gridCol w:w="60"/>
        <w:gridCol w:w="140"/>
        <w:gridCol w:w="800"/>
        <w:gridCol w:w="60"/>
        <w:gridCol w:w="120"/>
        <w:gridCol w:w="60"/>
        <w:gridCol w:w="440"/>
        <w:gridCol w:w="275"/>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27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Operating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0"/>
              <w:jc w:val="left"/>
              <w:rPr>
                <w:rFonts w:ascii="Times New Roman" w:hAnsi="Times New Roman"/>
                <w:sz w:val="16"/>
              </w:rPr>
            </w:pPr>
            <w:r>
              <w:rPr>
                <w:rFonts w:ascii="Times New Roman" w:hAnsi="Times New Roman"/>
                <w:sz w:val="16"/>
              </w:rPr>
              <w:t>Contract-related cost of sales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7,320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4,998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24,617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15,746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21,335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5.9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20,804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Personnel </w:t>
              <w:br/>
              <w:t>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54,979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58.8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56,283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60.8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163,853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58.4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164,142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59.8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216,225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59.3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194,091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63.5</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tbl>
      <w:tblPr>
        <w:tblW w:w="13115" w:type="dxa"/>
        <w:jc w:val="center"/>
        <w:tblInd w:w="0" w:type="dxa"/>
        <w:tblLayout w:type="fixed"/>
        <w:tblCellMar>
          <w:top w:w="0" w:type="dxa"/>
          <w:left w:w="0" w:type="dxa"/>
          <w:bottom w:w="0" w:type="dxa"/>
          <w:right w:w="0" w:type="dxa"/>
        </w:tblCellMar>
      </w:tblPr>
      <w:tblGrid>
        <w:gridCol w:w="905"/>
        <w:gridCol w:w="60"/>
        <w:gridCol w:w="140"/>
        <w:gridCol w:w="680"/>
        <w:gridCol w:w="60"/>
        <w:gridCol w:w="120"/>
        <w:gridCol w:w="60"/>
        <w:gridCol w:w="560"/>
        <w:gridCol w:w="275"/>
        <w:gridCol w:w="60"/>
        <w:gridCol w:w="140"/>
        <w:gridCol w:w="680"/>
        <w:gridCol w:w="60"/>
        <w:gridCol w:w="120"/>
        <w:gridCol w:w="60"/>
        <w:gridCol w:w="560"/>
        <w:gridCol w:w="275"/>
        <w:gridCol w:w="60"/>
        <w:gridCol w:w="140"/>
        <w:gridCol w:w="800"/>
        <w:gridCol w:w="60"/>
        <w:gridCol w:w="120"/>
        <w:gridCol w:w="60"/>
        <w:gridCol w:w="560"/>
        <w:gridCol w:w="275"/>
        <w:gridCol w:w="60"/>
        <w:gridCol w:w="140"/>
        <w:gridCol w:w="800"/>
        <w:gridCol w:w="60"/>
        <w:gridCol w:w="120"/>
        <w:gridCol w:w="60"/>
        <w:gridCol w:w="560"/>
        <w:gridCol w:w="275"/>
        <w:gridCol w:w="60"/>
        <w:gridCol w:w="140"/>
        <w:gridCol w:w="800"/>
        <w:gridCol w:w="60"/>
        <w:gridCol w:w="120"/>
        <w:gridCol w:w="60"/>
        <w:gridCol w:w="560"/>
        <w:gridCol w:w="275"/>
        <w:gridCol w:w="60"/>
        <w:gridCol w:w="140"/>
        <w:gridCol w:w="800"/>
        <w:gridCol w:w="60"/>
        <w:gridCol w:w="120"/>
        <w:gridCol w:w="60"/>
        <w:gridCol w:w="560"/>
        <w:gridCol w:w="275"/>
      </w:tblGrid>
      <w:tr>
        <w:trPr/>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275" w:type="dxa"/>
            <w:tcBorders/>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Maintenance and repair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15,865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17,234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47,205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53,635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19.6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71,877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46,095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15.1</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6"/>
              </w:rPr>
            </w:pPr>
            <w:r>
              <w:rPr>
                <w:rFonts w:ascii="Times New Roman" w:hAnsi="Times New Roman"/>
                <w:sz w:val="16"/>
              </w:rPr>
              <w:t>Insurance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3,632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8,005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9,917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12,521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9,925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Materials and supplies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5,645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16,371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14,947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16,329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6"/>
              </w:rPr>
            </w:pPr>
            <w:r>
              <w:rPr>
                <w:rFonts w:ascii="Times New Roman" w:hAnsi="Times New Roman"/>
                <w:sz w:val="16"/>
              </w:rPr>
              <w:t>Other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6,820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20,618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15,930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23,096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18,219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6.1</w:t>
            </w:r>
          </w:p>
        </w:tc>
        <w:tc>
          <w:tcPr>
            <w:tcW w:w="275" w:type="dxa"/>
            <w:tcBorders/>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operating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93,437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92,499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280,669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274,317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364,584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305,463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6"/>
              </w:rPr>
            </w:pPr>
            <w:r>
              <w:rPr>
                <w:rFonts w:ascii="Times New Roman" w:hAnsi="Times New Roman"/>
                <w:sz w:val="16"/>
              </w:rPr>
              <w:t>Active OSV opex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63,606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58,613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63.4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189,659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165,022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226,813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178,784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58.5</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Active MPSV </w:t>
              <w:br/>
              <w:t>opex</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20,686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24,877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63,412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76,910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96,690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84,260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27.6</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sz w:val="16"/>
              </w:rPr>
            </w:pPr>
            <w:r>
              <w:rPr>
                <w:rFonts w:ascii="Times New Roman" w:hAnsi="Times New Roman"/>
                <w:sz w:val="16"/>
              </w:rPr>
              <w:t>Stacked Vessel opex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7,649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8,202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4.1</w:t>
            </w:r>
          </w:p>
        </w:tc>
        <w:tc>
          <w:tcPr>
            <w:tcW w:w="275" w:type="dxa"/>
            <w:tcBorders/>
            <w:vAlign w:val="bottom"/>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Non-vessel opex</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8,148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8,225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24,736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32,879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30,005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9.8</w:t>
            </w:r>
          </w:p>
        </w:tc>
        <w:tc>
          <w:tcPr>
            <w:tcW w:w="275" w:type="dxa"/>
            <w:tcBorders/>
            <w:shd w:fill="CCEEFF" w:val="clear"/>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905"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operating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93,437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92,499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280,669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274,317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364,584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305,463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Active OSV opex per day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18,686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16,336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18,428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16,018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16,308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15,212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0"/>
              <w:jc w:val="left"/>
              <w:rPr>
                <w:rFonts w:ascii="Times New Roman" w:hAnsi="Times New Roman"/>
                <w:sz w:val="16"/>
              </w:rPr>
            </w:pPr>
            <w:r>
              <w:rPr>
                <w:rFonts w:ascii="Times New Roman" w:hAnsi="Times New Roman"/>
                <w:sz w:val="16"/>
              </w:rPr>
              <w:t>Active MPSV opex per day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20,441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22,534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20,926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23,391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22,015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20,612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Stacked vessel opex per day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471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406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1,067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1,518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0"/>
              <w:jc w:val="left"/>
              <w:rPr>
                <w:rFonts w:ascii="Times New Roman" w:hAnsi="Times New Roman"/>
                <w:sz w:val="16"/>
              </w:rPr>
            </w:pPr>
            <w:r>
              <w:rPr>
                <w:rFonts w:ascii="Times New Roman" w:hAnsi="Times New Roman"/>
                <w:sz w:val="16"/>
              </w:rPr>
              <w:t>Total vessel opex per day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13,057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12,723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13,098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12,902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12,765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11,469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&amp; Administrative (G&amp;A) Expense </w:t>
      </w:r>
    </w:p>
    <w:p>
      <w:pPr>
        <w:pStyle w:val="TextBody"/>
        <w:bidi w:val="0"/>
        <w:spacing w:before="120" w:after="0"/>
        <w:jc w:val="left"/>
        <w:rPr>
          <w:rFonts w:ascii="Times New Roman" w:hAnsi="Times New Roman"/>
          <w:sz w:val="20"/>
        </w:rPr>
      </w:pPr>
      <w:r>
        <w:rPr>
          <w:rFonts w:ascii="Times New Roman" w:hAnsi="Times New Roman"/>
          <w:sz w:val="20"/>
        </w:rPr>
        <w:t xml:space="preserve">Our G&amp;A expenses are primarily a function of the number of shoreside personnel and include, but are not limited to, base salaries, benefits and incentive compensation for shoreside employees, legal and other third-party advisor expenses, rent and other items.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general and administrative expenses in total, as a percentage of total revenue and per vessel day (in thousands, except percent of revenue and amounts per day): </w:t>
      </w:r>
    </w:p>
    <w:p>
      <w:pPr>
        <w:pStyle w:val="TextBody"/>
        <w:bidi w:val="0"/>
        <w:spacing w:before="0" w:after="0"/>
        <w:jc w:val="left"/>
        <w:rPr/>
      </w:pPr>
      <w:r>
        <w:rPr/>
        <w:t> </w:t>
      </w:r>
    </w:p>
    <w:tbl>
      <w:tblPr>
        <w:tblW w:w="12125" w:type="dxa"/>
        <w:jc w:val="center"/>
        <w:tblInd w:w="0" w:type="dxa"/>
        <w:tblLayout w:type="fixed"/>
        <w:tblCellMar>
          <w:top w:w="0" w:type="dxa"/>
          <w:left w:w="0" w:type="dxa"/>
          <w:bottom w:w="0" w:type="dxa"/>
          <w:right w:w="0" w:type="dxa"/>
        </w:tblCellMar>
      </w:tblPr>
      <w:tblGrid>
        <w:gridCol w:w="1265"/>
        <w:gridCol w:w="60"/>
        <w:gridCol w:w="259"/>
        <w:gridCol w:w="1261"/>
        <w:gridCol w:w="510"/>
        <w:gridCol w:w="111"/>
        <w:gridCol w:w="259"/>
        <w:gridCol w:w="1265"/>
        <w:gridCol w:w="275"/>
        <w:gridCol w:w="60"/>
        <w:gridCol w:w="250"/>
        <w:gridCol w:w="1215"/>
        <w:gridCol w:w="491"/>
        <w:gridCol w:w="107"/>
        <w:gridCol w:w="250"/>
        <w:gridCol w:w="1217"/>
        <w:gridCol w:w="275"/>
        <w:gridCol w:w="60"/>
        <w:gridCol w:w="188"/>
        <w:gridCol w:w="915"/>
        <w:gridCol w:w="370"/>
        <w:gridCol w:w="80"/>
        <w:gridCol w:w="188"/>
        <w:gridCol w:w="919"/>
        <w:gridCol w:w="275"/>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5"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51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49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7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75"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General and administrative expense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261" w:type="dxa"/>
            <w:tcBorders/>
            <w:shd w:fill="CCEEFF" w:val="clear"/>
            <w:vAlign w:val="bottom"/>
          </w:tcPr>
          <w:p>
            <w:pPr>
              <w:pStyle w:val="TableContents"/>
              <w:bidi w:val="0"/>
              <w:spacing w:before="0" w:after="283"/>
              <w:jc w:val="right"/>
              <w:rPr/>
            </w:pPr>
            <w:r>
              <w:rPr/>
              <w:t>22,259</w:t>
            </w:r>
          </w:p>
        </w:tc>
        <w:tc>
          <w:tcPr>
            <w:tcW w:w="51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19,230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57,274</w:t>
            </w:r>
          </w:p>
        </w:tc>
        <w:tc>
          <w:tcPr>
            <w:tcW w:w="49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51,660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71,110</w:t>
            </w:r>
          </w:p>
        </w:tc>
        <w:tc>
          <w:tcPr>
            <w:tcW w:w="37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66,108</w:t>
            </w:r>
          </w:p>
        </w:tc>
        <w:tc>
          <w:tcPr>
            <w:tcW w:w="275"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G&amp;A as a % of total revenues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11.2</w:t>
            </w:r>
          </w:p>
        </w:tc>
        <w:tc>
          <w:tcPr>
            <w:tcW w:w="51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10.5</w:t>
            </w:r>
          </w:p>
        </w:tc>
        <w:tc>
          <w:tcPr>
            <w:tcW w:w="49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11.1</w:t>
            </w:r>
          </w:p>
        </w:tc>
        <w:tc>
          <w:tcPr>
            <w:tcW w:w="37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11.5</w:t>
            </w:r>
          </w:p>
        </w:tc>
        <w:tc>
          <w:tcPr>
            <w:tcW w:w="275"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G&amp;A per active vessel day</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5,041</w:t>
            </w:r>
          </w:p>
        </w:tc>
        <w:tc>
          <w:tcPr>
            <w:tcW w:w="51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4,098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4,299</w:t>
            </w:r>
          </w:p>
        </w:tc>
        <w:tc>
          <w:tcPr>
            <w:tcW w:w="49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3,801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3,886</w:t>
            </w:r>
          </w:p>
        </w:tc>
        <w:tc>
          <w:tcPr>
            <w:tcW w:w="37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4,173</w:t>
            </w:r>
          </w:p>
        </w:tc>
        <w:tc>
          <w:tcPr>
            <w:tcW w:w="275"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G&amp;A per total vessel day</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3,408</w:t>
            </w:r>
          </w:p>
        </w:tc>
        <w:tc>
          <w:tcPr>
            <w:tcW w:w="51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2,903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2,934</w:t>
            </w:r>
          </w:p>
        </w:tc>
        <w:tc>
          <w:tcPr>
            <w:tcW w:w="49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2,671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2,736</w:t>
            </w:r>
          </w:p>
        </w:tc>
        <w:tc>
          <w:tcPr>
            <w:tcW w:w="37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2,753</w:t>
            </w:r>
          </w:p>
        </w:tc>
        <w:tc>
          <w:tcPr>
            <w:tcW w:w="27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operating metrics, we also focus on capital expenditures. Growth capital expenditures are expenditures undertaken by us to expand our fleet of vessels through acquisition or newbuild construction, while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maintenance capital expenditures consist of deferred drydocking charges and maintenance capital improvements of existing vessels. Fluctuations in maintenance capital expenditures are primarily driven by the number of required recertification drydockings undertaken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“—Liquidity and Capital Resources—Capital Expenditures and Related Commitments.”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a breakdown of our capital expenditures by type and the corresponding vessel downtime related to deferred drydockings vessel counts and days (dollars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36"/>
        <w:gridCol w:w="175"/>
        <w:gridCol w:w="170"/>
        <w:gridCol w:w="832"/>
        <w:gridCol w:w="72"/>
        <w:gridCol w:w="194"/>
        <w:gridCol w:w="170"/>
        <w:gridCol w:w="834"/>
        <w:gridCol w:w="59"/>
        <w:gridCol w:w="175"/>
        <w:gridCol w:w="140"/>
        <w:gridCol w:w="813"/>
        <w:gridCol w:w="60"/>
        <w:gridCol w:w="175"/>
        <w:gridCol w:w="140"/>
        <w:gridCol w:w="813"/>
        <w:gridCol w:w="60"/>
        <w:gridCol w:w="175"/>
        <w:gridCol w:w="140"/>
        <w:gridCol w:w="813"/>
        <w:gridCol w:w="59"/>
        <w:gridCol w:w="175"/>
        <w:gridCol w:w="140"/>
        <w:gridCol w:w="813"/>
        <w:gridCol w:w="72"/>
      </w:tblGrid>
      <w:tr>
        <w:trPr/>
        <w:tc>
          <w:tcPr>
            <w:tcW w:w="293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93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2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141"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72" w:type="dxa"/>
            <w:tcBorders/>
            <w:vAlign w:val="bottom"/>
          </w:tcPr>
          <w:p>
            <w:pPr>
              <w:pStyle w:val="TableContents"/>
              <w:bidi w:val="0"/>
              <w:spacing w:before="0" w:after="283"/>
              <w:jc w:val="left"/>
              <w:rPr/>
            </w:pPr>
            <w:r>
              <w:rPr/>
              <w:t> </w:t>
            </w:r>
          </w:p>
        </w:tc>
      </w:tr>
      <w:tr>
        <w:trPr/>
        <w:tc>
          <w:tcPr>
            <w:tcW w:w="293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 expenditures(1)</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0"/>
              <w:jc w:val="left"/>
              <w:rPr>
                <w:rFonts w:ascii="Times New Roman" w:hAnsi="Times New Roman"/>
                <w:sz w:val="20"/>
              </w:rPr>
            </w:pPr>
            <w:r>
              <w:rPr>
                <w:rFonts w:ascii="Times New Roman" w:hAnsi="Times New Roman"/>
                <w:sz w:val="20"/>
              </w:rPr>
              <w:t>Growth capital expenditures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5,883</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10,440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34,771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36,753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55,536</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128,547</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 capital expenditures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20,000</w:t>
            </w:r>
          </w:p>
        </w:tc>
        <w:tc>
          <w:tcPr>
            <w:tcW w:w="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17,801</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63,223</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53,876</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75,662</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37,573</w:t>
            </w:r>
          </w:p>
        </w:tc>
        <w:tc>
          <w:tcPr>
            <w:tcW w:w="72" w:type="dxa"/>
            <w:tcBorders/>
            <w:shd w:fill="CCEEFF" w:val="clear"/>
            <w:vAlign w:val="bottom"/>
          </w:tcPr>
          <w:p>
            <w:pPr>
              <w:pStyle w:val="TableContents"/>
              <w:bidi w:val="0"/>
              <w:spacing w:before="0" w:after="283"/>
              <w:jc w:val="left"/>
              <w:rPr/>
            </w:pPr>
            <w:r>
              <w:rPr/>
              <w:t> </w:t>
            </w:r>
          </w:p>
        </w:tc>
      </w:tr>
      <w:tr>
        <w:trPr/>
        <w:tc>
          <w:tcPr>
            <w:tcW w:w="2936" w:type="dxa"/>
            <w:tcBorders/>
          </w:tcPr>
          <w:p>
            <w:pPr>
              <w:pStyle w:val="TableContents"/>
              <w:bidi w:val="0"/>
              <w:spacing w:before="0" w:after="0"/>
              <w:jc w:val="left"/>
              <w:rPr>
                <w:rFonts w:ascii="Times New Roman" w:hAnsi="Times New Roman"/>
                <w:sz w:val="20"/>
              </w:rPr>
            </w:pPr>
            <w:r>
              <w:rPr>
                <w:rFonts w:ascii="Times New Roman" w:hAnsi="Times New Roman"/>
                <w:sz w:val="20"/>
              </w:rPr>
              <w:t>Commercial capital expenditures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19,474</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19,214</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33,789</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32,137</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47,619</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33,864</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Non-vessel capital expenditures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7,178</w:t>
            </w:r>
          </w:p>
        </w:tc>
        <w:tc>
          <w:tcPr>
            <w:tcW w:w="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392</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7,461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707</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753</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1,087</w:t>
            </w:r>
          </w:p>
        </w:tc>
        <w:tc>
          <w:tcPr>
            <w:tcW w:w="72" w:type="dxa"/>
            <w:tcBorders/>
            <w:shd w:fill="CCEEFF" w:val="clear"/>
            <w:vAlign w:val="bottom"/>
          </w:tcPr>
          <w:p>
            <w:pPr>
              <w:pStyle w:val="TableContents"/>
              <w:bidi w:val="0"/>
              <w:spacing w:before="0" w:after="283"/>
              <w:jc w:val="left"/>
              <w:rPr/>
            </w:pPr>
            <w:r>
              <w:rPr/>
              <w:t> </w:t>
            </w:r>
          </w:p>
        </w:tc>
      </w:tr>
      <w:tr>
        <w:trPr/>
        <w:tc>
          <w:tcPr>
            <w:tcW w:w="293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93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capital expenditures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52,535</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47,847</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139,244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123,473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179,570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201,071</w:t>
            </w:r>
          </w:p>
        </w:tc>
        <w:tc>
          <w:tcPr>
            <w:tcW w:w="72" w:type="dxa"/>
            <w:tcBorders/>
            <w:vAlign w:val="bottom"/>
          </w:tcPr>
          <w:p>
            <w:pPr>
              <w:pStyle w:val="TableContents"/>
              <w:bidi w:val="0"/>
              <w:spacing w:before="0" w:after="283"/>
              <w:jc w:val="left"/>
              <w:rPr/>
            </w:pPr>
            <w:r>
              <w:rPr/>
              <w:t> </w:t>
            </w:r>
          </w:p>
        </w:tc>
      </w:tr>
      <w:tr>
        <w:trPr/>
        <w:tc>
          <w:tcPr>
            <w:tcW w:w="293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Drydock downtime</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0"/>
              <w:jc w:val="left"/>
              <w:rPr>
                <w:rFonts w:ascii="Times New Roman" w:hAnsi="Times New Roman"/>
                <w:i/>
                <w:sz w:val="18"/>
              </w:rPr>
            </w:pPr>
            <w:r>
              <w:rPr>
                <w:rFonts w:ascii="Times New Roman" w:hAnsi="Times New Roman"/>
                <w:i/>
                <w:sz w:val="18"/>
              </w:rPr>
              <w:t>OSVs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vessels commencing drydock activities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3</w:t>
            </w:r>
          </w:p>
        </w:tc>
        <w:tc>
          <w:tcPr>
            <w:tcW w:w="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4</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16</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15</w:t>
            </w:r>
          </w:p>
        </w:tc>
        <w:tc>
          <w:tcPr>
            <w:tcW w:w="72" w:type="dxa"/>
            <w:tcBorders/>
            <w:shd w:fill="CCEEFF" w:val="clear"/>
            <w:vAlign w:val="bottom"/>
          </w:tcPr>
          <w:p>
            <w:pPr>
              <w:pStyle w:val="TableContents"/>
              <w:bidi w:val="0"/>
              <w:spacing w:before="0" w:after="283"/>
              <w:jc w:val="left"/>
              <w:rPr/>
            </w:pPr>
            <w:r>
              <w:rPr/>
              <w:t> </w:t>
            </w:r>
          </w:p>
        </w:tc>
      </w:tr>
      <w:tr>
        <w:trPr/>
        <w:tc>
          <w:tcPr>
            <w:tcW w:w="2936" w:type="dxa"/>
            <w:tcBorders/>
          </w:tcPr>
          <w:p>
            <w:pPr>
              <w:pStyle w:val="TableContents"/>
              <w:bidi w:val="0"/>
              <w:spacing w:before="0" w:after="0"/>
              <w:jc w:val="left"/>
              <w:rPr>
                <w:rFonts w:ascii="Times New Roman" w:hAnsi="Times New Roman"/>
                <w:sz w:val="20"/>
              </w:rPr>
            </w:pPr>
            <w:r>
              <w:rPr>
                <w:rFonts w:ascii="Times New Roman" w:hAnsi="Times New Roman"/>
                <w:sz w:val="20"/>
              </w:rPr>
              <w:t>Out-of-service time for drydock activities (in days)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164</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239</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536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425</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790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608</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MPSVs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0"/>
              <w:jc w:val="left"/>
              <w:rPr>
                <w:rFonts w:ascii="Times New Roman" w:hAnsi="Times New Roman"/>
                <w:sz w:val="20"/>
              </w:rPr>
            </w:pPr>
            <w:r>
              <w:rPr>
                <w:rFonts w:ascii="Times New Roman" w:hAnsi="Times New Roman"/>
                <w:sz w:val="20"/>
              </w:rPr>
              <w:t>Number of vessels commencing drydock activities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Out-of-service time for drydock activities (in days)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52</w:t>
            </w:r>
          </w:p>
        </w:tc>
        <w:tc>
          <w:tcPr>
            <w:tcW w:w="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63</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376</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406</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191</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further explanation on what these items consist of, see “—Liquidity and Capital Resources—Capital Expenditures and Related Commitments.”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Reportable Segments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Revenues from customers are derived from chartering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240" w:after="0"/>
        <w:jc w:val="left"/>
        <w:rPr>
          <w:rFonts w:ascii="Times New Roman" w:hAnsi="Times New Roman"/>
          <w:sz w:val="20"/>
        </w:rPr>
      </w:pPr>
      <w:r>
        <w:rPr>
          <w:rFonts w:ascii="Times New Roman" w:hAnsi="Times New Roman"/>
          <w:sz w:val="20"/>
        </w:rPr>
        <w:t xml:space="preserve">The revenues, expenses and net income of the Company’s one reportable segment, as reviewed and assessed by the chief operating decision maker, are equal to and categorized consistently with the amounts reflected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operations for the periods ended September 30, 2025 and 2024. The measure of segment assets is reported on the consolidated balance sheet as total assets as of September 30, 2025 and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sz w:val="20"/>
        </w:rPr>
      </w:pPr>
      <w:r>
        <w:rPr>
          <w:rFonts w:ascii="Times New Roman" w:hAnsi="Times New Roman"/>
          <w:b/>
          <w:sz w:val="20"/>
        </w:rPr>
        <w:t xml:space="preserve">Three Months Ended September 30, 2025 Compared to Three Months Ended September 30, 2024 </w:t>
      </w:r>
    </w:p>
    <w:p>
      <w:pPr>
        <w:pStyle w:val="TextBody"/>
        <w:bidi w:val="0"/>
        <w:spacing w:before="120" w:after="0"/>
        <w:jc w:val="left"/>
        <w:rPr>
          <w:rFonts w:ascii="Times New Roman" w:hAnsi="Times New Roman"/>
          <w:sz w:val="20"/>
        </w:rPr>
      </w:pPr>
      <w:r>
        <w:rPr>
          <w:rFonts w:ascii="Times New Roman" w:hAnsi="Times New Roman"/>
          <w:sz w:val="20"/>
        </w:rPr>
        <w:t xml:space="preserve">Summarized financial information for the three months ended September 30, 2025 and 2024, respectively, is shown below in the following table (in thousands, except % change):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652"/>
        <w:gridCol w:w="177"/>
        <w:gridCol w:w="140"/>
        <w:gridCol w:w="879"/>
        <w:gridCol w:w="171"/>
        <w:gridCol w:w="125"/>
        <w:gridCol w:w="140"/>
        <w:gridCol w:w="879"/>
        <w:gridCol w:w="171"/>
        <w:gridCol w:w="125"/>
        <w:gridCol w:w="140"/>
        <w:gridCol w:w="738"/>
        <w:gridCol w:w="171"/>
        <w:gridCol w:w="125"/>
        <w:gridCol w:w="59"/>
        <w:gridCol w:w="699"/>
        <w:gridCol w:w="283"/>
      </w:tblGrid>
      <w:tr>
        <w:trPr/>
        <w:tc>
          <w:tcPr>
            <w:tcW w:w="365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65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9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69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132,615</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120,080</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12,535</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10.4</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53,830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41,078</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12,752</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31.0</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186,445</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161,158</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25,287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15.7</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12,671</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12,048</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623</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5.2</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199,116</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173,206</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25,910</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15.0</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93,437</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92,499</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938</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1.0</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21,270</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16,703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4,567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27.3</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22,259</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19,230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3,029</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15.8</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1,737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1,828</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(91</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5.0</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138,703</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130,260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8,443</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6.5</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143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60,556</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42,946</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17,610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41.0</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gain (loss)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(219</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(256</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(14.5</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(7,665</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(6,688</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(977</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14.6</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1,357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1,562</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(205</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(13.1</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5,640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(5,640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(100.0</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11</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(11</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(100.0</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(2,103</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(4,332</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2,229</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(51.5</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51,926</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38,883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13,043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33.5</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699"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Revenues</w:t>
      </w:r>
      <w:r>
        <w:rPr>
          <w:rFonts w:ascii="Times New Roman" w:hAnsi="Times New Roman"/>
          <w:sz w:val="20"/>
        </w:rPr>
        <w:t xml:space="preserve">. Revenues for the three months ended September 30, 2025 and 2024 were $199.1 million and $173.2 million, respectively. Our weighted-average active operating fleet for the three months ended September 30, 2025 and 2024 was 48.0 and 51.0 vessels, respectively. For the three months ended September 30, 2025, we had a weighted-average of 23.0 vessels stacked compared to a weighted-average of 21.0 vessels stacked in the prior-year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Vessel revenues for the three months ended September 30, 2025 and 2024 were $186.4 million and $161.2 million, respectively. The increase in vessel revenues from the prior-year period was primarily due to improved market conditions for our active OSVs. Revenues from our OSV fleet increased $25.1 million, or 25.1%, for the three months ended September 30, 2025 compared to the prior-year period. Average OSV dayrates were $44,596 for the three months ended September 30, 2025 compared to $40,987 for the same period in 2024. Our average OSV utilization rate was 51.7% for the three months ended September 30, 2025 compared to 44.2% for the same period in 2024. Our OSVs incurred 164 days of aggregate downtime for regulatory drydockings and were stacked for an aggregate of 2,024 days during the three months ended September 30, 2025 compared to 239 and 1,932 days, respectively, for the same period in 2024. Excluding stacked vessel days, our active OSV utilization rate was 82.4% and 68.0% for the comparative periods, respectively. Our effective, or utilization-adjusted, OSV dayrates were $23,056 for the three months ended September 30, 2025 compared to $18,116 for the same period in 2024. Revenues from our MPSV fleet increased $0.2 million, or 0.3%, for the three months ended September 30, 2025 compared to the prior-year period. Average MPSV dayrates were $85,735 for the three months ended September 30, 2025 compared to $69,182 for the three months ended September 30, 2024. Our MPSV utilization rate was 64.8% for the three months ended September 30, 2025 compared to 80.1% for the same period in 2024. Our MPSVs incurred 52 days of aggregate downtime for regulatory drydockings and were stacked for an aggregate of 92 days during the three months ended September 30, 2025 compared to 63 and zero days, respectively, for the same period in 2024. Excluding stacked vessel days, our active MPSV utilization rate was 70.7% and 80.1% during the comparative periods, respectively. Our effective MPSV dayrates were $55,556 for the three months ended September 30, 2025 compared to $55,415 for the same period in 2024. Domestic vessel revenues for the three months ended September 30, 2025 increased $12.5 million, or 10.4%, from the year-ago period primarily due to improved market conditions during 2025. Foreign vessel revenues increased $12.8 million, or 31.0%, primarily due to improved market conditions for vessels operating in Brazil and elsewhere in Latin America. Foreign vessel revenues for the three months ended September 30, 2025 comprised 28.9% of our total vessel revenues compared to 25.5% for the year-ago period. </w:t>
      </w:r>
    </w:p>
    <w:p>
      <w:pPr>
        <w:pStyle w:val="TextBody"/>
        <w:bidi w:val="0"/>
        <w:spacing w:before="240" w:after="0"/>
        <w:jc w:val="left"/>
        <w:rPr>
          <w:rFonts w:ascii="Times New Roman" w:hAnsi="Times New Roman"/>
          <w:sz w:val="20"/>
        </w:rPr>
      </w:pPr>
      <w:r>
        <w:rPr>
          <w:rFonts w:ascii="Times New Roman" w:hAnsi="Times New Roman"/>
          <w:sz w:val="20"/>
        </w:rPr>
        <w:t xml:space="preserve">Non-vessel revenues for the three months ended September 30, 2025 and 2024 were $12.7 million and $12.0 million, respectively. The 5.2% year-over-year increase in non-vessel revenues during the three months ended September 30, 2025 was primarily due to higher revenues earned from four vessels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i/>
          <w:sz w:val="20"/>
        </w:rPr>
        <w:t>Operating Expense</w:t>
      </w:r>
      <w:r>
        <w:rPr>
          <w:rFonts w:ascii="Times New Roman" w:hAnsi="Times New Roman"/>
          <w:sz w:val="20"/>
        </w:rPr>
        <w:t xml:space="preserve">. Operating expense for the three months ended September 30, 2025 and 2024 was $93.4 million and $92.5 million, respectively. Operating expenses were slightly higher in the third quarter of 2025 primarily due to increased contract-specific cost of sales. </w:t>
      </w:r>
    </w:p>
    <w:p>
      <w:pPr>
        <w:pStyle w:val="TextBody"/>
        <w:bidi w:val="0"/>
        <w:spacing w:before="24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for the three months ended September 30, 2025 and 2024 was $21.3 million and $16.7 million, respectively. Depreciation in the third quarter of 2025 was consistent with the third quarter of 2024. Amortization increased as a result of 20 vessel recertification drydockings being completed since June 30, 2024 and the lease of certain vessel equipment. In addition, the average cost of vessel recertifications has increased since June 30, 2024.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G&amp;A expense for the three months ended September 30, 2025 and 2024 was $22.3 million and $19.2 million, respectively. The year-over-year increase in G&amp;A expense was primarily attributable to increases in bad debt expense resulting from delays in customer receipts and short-term incentive compensation. </w:t>
      </w:r>
    </w:p>
    <w:p>
      <w:pPr>
        <w:pStyle w:val="TextBody"/>
        <w:bidi w:val="0"/>
        <w:spacing w:before="24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expense for the three months ended September 30, 2025 and 2024 was $1.7 million and $1.8 million, respectively. The stock-based compensation expense decrease from the prior-year period was primarily attributable to the 2024 MIP Repurchases, which resulted in the cash settlement of unvested and vested, unsettled restricted stock units and stock options that were issued through the 2020 Management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Operating Incom</w:t>
      </w:r>
      <w:r>
        <w:rPr>
          <w:rFonts w:ascii="Times New Roman" w:hAnsi="Times New Roman"/>
          <w:sz w:val="20"/>
        </w:rPr>
        <w:t xml:space="preserve">e. Operating income for the three months ended September 30, 2025 and 2024 was $60.6 million and $42.9 million, respectively. Operating income increased by $17.6 million, or 41.0%, for the reasons discussed above, but primarily due to an increase in revenues. Operating income as a percentage of revenues was 30.4% for the three months ended September 30, 2025 and 24.8% for the same period in 2024. </w:t>
      </w:r>
    </w:p>
    <w:p>
      <w:pPr>
        <w:pStyle w:val="TextBody"/>
        <w:bidi w:val="0"/>
        <w:spacing w:before="240" w:after="0"/>
        <w:jc w:val="left"/>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for the three months ended September 30, 2025 and 2024 was $7.7 million and $6.7 million, respectively. Interest expense increased primarily due to the Second Lien Debt Refinancing, resulting in a higher fixed interest rate of 9.25% on a higher outstanding balance, along with the related amortization of the original issue discount and deferred issuance costs for our Second Lien Term Loans due 2033 compared to the prior second-lien fixed rate of 8.25% with no amortized discounts or issuance costs. </w:t>
      </w:r>
    </w:p>
    <w:p>
      <w:pPr>
        <w:pStyle w:val="TextBody"/>
        <w:bidi w:val="0"/>
        <w:spacing w:before="24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for the three months ended September 30, 2025 and 2024 was $1.4 million and $1.6 million, respectively. Our average cash balance decreased to $88.2 million during the three months ended September 30, 2025 compared to $101.4 million for the same period in 2024. The average interest rate earned on our invested cash balances was 5.2% and 6.2% for the three months ended September 30, 2025 and 2024, respectively. The decrease in average cash balance was primarily due to capital expenditures incurred subsequent to September 30, 2024 and the 2024 Tender Offer and 2024 MIP Repurchases (each as defined below), partially offset by net proceeds from the Second Lien Debt Refinancing and the sale of one U.S.-flagged, HOS 265 class DP-2 OSV in May 2025. The decrease in the average interest rate is due to market decreases in bank interest rates earned on invested cash balances. </w:t>
      </w:r>
    </w:p>
    <w:p>
      <w:pPr>
        <w:pStyle w:val="TextBody"/>
        <w:bidi w:val="0"/>
        <w:spacing w:before="240" w:after="0"/>
        <w:jc w:val="left"/>
        <w:rPr>
          <w:rFonts w:ascii="Times New Roman" w:hAnsi="Times New Roman"/>
          <w:sz w:val="20"/>
        </w:rPr>
      </w:pPr>
      <w:r>
        <w:rPr>
          <w:rFonts w:ascii="Times New Roman" w:hAnsi="Times New Roman"/>
          <w:i/>
          <w:sz w:val="20"/>
        </w:rPr>
        <w:t>Fair Value Adjustment of Liability-Classified Warrants</w:t>
      </w:r>
      <w:r>
        <w:rPr>
          <w:rFonts w:ascii="Times New Roman" w:hAnsi="Times New Roman"/>
          <w:sz w:val="20"/>
        </w:rPr>
        <w:t xml:space="preserve">. Fair value adjustment of liability-classified warrants for the three months ended September 30, 2024 was a $5.6 million loss. On December 10, 2024, the Creditor Warrant Agreement (as defined below) was modified to remove the language requiring classification of the warrants as a liability, resulting in the final fair value adjustment of liability-classified warrants being recorded as of the modification date in the fourth quarter of 2024. Accordingly, there was no fair value adjustment for the three months ended September 30, 2025. </w:t>
      </w:r>
    </w:p>
    <w:p>
      <w:pPr>
        <w:pStyle w:val="TextBody"/>
        <w:bidi w:val="0"/>
        <w:spacing w:before="240" w:after="0"/>
        <w:jc w:val="left"/>
        <w:rPr>
          <w:rFonts w:ascii="Times New Roman" w:hAnsi="Times New Roman"/>
          <w:sz w:val="20"/>
        </w:rPr>
      </w:pPr>
      <w:r>
        <w:rPr>
          <w:rFonts w:ascii="Times New Roman" w:hAnsi="Times New Roman"/>
          <w:i/>
          <w:sz w:val="20"/>
        </w:rPr>
        <w:t>Income Tax Expense</w:t>
      </w:r>
      <w:r>
        <w:rPr>
          <w:rFonts w:ascii="Times New Roman" w:hAnsi="Times New Roman"/>
          <w:sz w:val="20"/>
        </w:rPr>
        <w:t xml:space="preserve">. Our effective income tax expense rate was 3.9% and 10.0% for the three months ended September 30, 2025 and 2024, respectively. Our current income tax expense reflects current U.S. and foreign tax liabilities and certain deferred tax liabilities that could not be offset with a reduction in the valuation allowance. The tax rate for the third quarter of 2025 was lower than the same period in 2024 primarily due to lower U.S. deferred taxes, as impacted by the One Big Beautiful Bill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Nine Months Ended September 30, 2025 Compared to Nine Months Ended September 30, 2024 </w:t>
      </w:r>
    </w:p>
    <w:p>
      <w:pPr>
        <w:pStyle w:val="TextBody"/>
        <w:bidi w:val="0"/>
        <w:spacing w:before="120" w:after="0"/>
        <w:jc w:val="left"/>
        <w:rPr>
          <w:rFonts w:ascii="Times New Roman" w:hAnsi="Times New Roman"/>
          <w:sz w:val="20"/>
        </w:rPr>
      </w:pPr>
      <w:r>
        <w:rPr>
          <w:rFonts w:ascii="Times New Roman" w:hAnsi="Times New Roman"/>
          <w:sz w:val="20"/>
        </w:rPr>
        <w:t xml:space="preserve">Summarized financial information for the nine months ended September 30, 2025 and 2024, respectively, is shown below in the following table (in thousands, except % change):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544"/>
        <w:gridCol w:w="175"/>
        <w:gridCol w:w="140"/>
        <w:gridCol w:w="874"/>
        <w:gridCol w:w="170"/>
        <w:gridCol w:w="123"/>
        <w:gridCol w:w="140"/>
        <w:gridCol w:w="874"/>
        <w:gridCol w:w="170"/>
        <w:gridCol w:w="123"/>
        <w:gridCol w:w="140"/>
        <w:gridCol w:w="733"/>
        <w:gridCol w:w="170"/>
        <w:gridCol w:w="123"/>
        <w:gridCol w:w="60"/>
        <w:gridCol w:w="835"/>
        <w:gridCol w:w="280"/>
      </w:tblGrid>
      <w:tr>
        <w:trPr/>
        <w:tc>
          <w:tcPr>
            <w:tcW w:w="354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4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345,605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323,681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21,924</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6.8</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161,977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120,684</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41,293</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34.2</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507,582</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444,365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63,217</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14.2</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37,963</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35,617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2,346</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6.6</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545,545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479,982</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65,563</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13.7</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280,669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274,317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6,352</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2.3</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60,225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46,959</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13,266</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28.3</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57,274</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51,660</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5,614</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10.9</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5,190</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6,251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(1,061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(17.0</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403,358</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379,187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24,171</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6.4</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13,022</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31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12,991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&gt; 100.0</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155,209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100,826</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54,383</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53.9</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gain (loss)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(148</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(1,013</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865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(85.4</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(67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(67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(23,594</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(20,125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(3,469</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17.2</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3,702</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4,569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(867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(19.0</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6,336</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(6,336</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(100.0</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11</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(11</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(8,443</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(7,495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(948</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(12.6</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126,659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83,109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43,550</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52.4</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Revenues</w:t>
      </w:r>
      <w:r>
        <w:rPr>
          <w:rFonts w:ascii="Times New Roman" w:hAnsi="Times New Roman"/>
          <w:sz w:val="20"/>
        </w:rPr>
        <w:t xml:space="preserve">. Revenues for the nine months ended September 30, 2025 and 2024 were $545.5 million and 480.0 million, respectively. Our weighted-average active operating fleet for the nine months ended September 30, 2025 and 2024 was 48.8 and 49.6 vessels, respectively. For the nine months ended September 30, 2025, we had an average of 22.6 vessels stacked compared to an average of 21.0 vessels stacked in the prior-year period. </w:t>
      </w:r>
    </w:p>
    <w:p>
      <w:pPr>
        <w:pStyle w:val="TextBody"/>
        <w:bidi w:val="0"/>
        <w:spacing w:before="240" w:after="0"/>
        <w:jc w:val="left"/>
        <w:rPr>
          <w:rFonts w:ascii="Times New Roman" w:hAnsi="Times New Roman"/>
          <w:sz w:val="20"/>
        </w:rPr>
      </w:pPr>
      <w:r>
        <w:rPr>
          <w:rFonts w:ascii="Times New Roman" w:hAnsi="Times New Roman"/>
          <w:sz w:val="20"/>
        </w:rPr>
        <w:t xml:space="preserve">Vessel revenues for the nine months ended September 30, 2025 and 2024 were $507.6 million and $444.4 million, respectively. The increase in vessel revenues is primarily due to improved market conditions for our active OSVs during the nine months ended September 30, 2025. Revenues from our OSV fleet increased $62.8 million, or 22.3%, for the nine months ended September 30, 2025 compared to the prior-year period. Average OSV dayrates were $44,366 for the nine months ended September 30, 2025 compared to $41,014 for the same period in 2024. Our average OSV utilization rate was 47.9% for the nine months ended September 30, 2025 compared to 42.8% for the same period in 2024. Our OSVs incurred 536 days of aggregate downtime for regulatory drydockings and were stacked for an aggregate of 5,947 days during the nine months ended September 30, 2025 compared to 425 and 5,754 days, respectively, for the same period in 2024. Excluding stacked vessel days, our active OSV utilization rate was 75.6% and 66.7% for the comparative periods, respectively. Our effective OSV dayrates were $21,251 for the nine months ended September 30, 2025 compared to $17,554 for the same period in 2024. Revenues from our MPSV fleet increased $0.4 million, or 0.2%, for the nine months ended September 30, 2025 compared to the prior-year period. Average MPSV dayrates were $82,518 for the nine months ended September 30, 2025 compared to $65,943 for the same period in 2024.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MPSV utilization rate was 60.3% for the nine months ended September 30, 2025 compared to 75.0% for the same period in 2024. Our MPSVs incurred 78 days of aggregate downtime for regulatory drydockings and were stacked for an aggregate of 243 days during the nine months ended September 30, 2025 compared to 376 and zero days, respectively, for the same period in 2024. Excluding stacked vessel days, our active MPSV utilization rate was 65.1% and 75.0% during the comparative periods, respectively. Our effective MPSV dayrates were $49,758 for the nine months ended September 30, 2025 compared to $49,457 for the same period in 2024. Domestic vessel revenues increased $22.0 million, or 6.8%, from the year-ago period primarily due to improved market conditions for vessels operating domestically during the nine months ended September 30, 2025. Foreign vessel revenues increased $41.3 million, or 34.2%, primarily due to improved market conditions for vessels operating in Brazil and elsewhere in Latin America during the nine months ended September 30, 2025. Foreign vessel revenues for the nine months ended September 30, 2025 comprised 31.9% of our total vessel revenues compared to 27.2% for the prior-year period. </w:t>
      </w:r>
    </w:p>
    <w:p>
      <w:pPr>
        <w:pStyle w:val="TextBody"/>
        <w:bidi w:val="0"/>
        <w:spacing w:before="240" w:after="0"/>
        <w:jc w:val="left"/>
        <w:rPr>
          <w:rFonts w:ascii="Times New Roman" w:hAnsi="Times New Roman"/>
          <w:sz w:val="20"/>
        </w:rPr>
      </w:pPr>
      <w:r>
        <w:rPr>
          <w:rFonts w:ascii="Times New Roman" w:hAnsi="Times New Roman"/>
          <w:sz w:val="20"/>
        </w:rPr>
        <w:t xml:space="preserve">Non-vessel revenues for the nine months ended September 30, 2025 and 2024 were $38.0 million and $35.6 million, respectively. The 6.6% year-over-year increase in non-vessel revenues during the nine months ended September 30, 2025 was primarily due to higher revenues earned from four vessels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i/>
          <w:sz w:val="20"/>
        </w:rPr>
        <w:t>Operating Expense</w:t>
      </w:r>
      <w:r>
        <w:rPr>
          <w:rFonts w:ascii="Times New Roman" w:hAnsi="Times New Roman"/>
          <w:sz w:val="20"/>
        </w:rPr>
        <w:t xml:space="preserve">. Operating expense for the nine months ended September 30, 2025 and 2024 was $280.7 million and $274.3 million, respectively. Operating expenses were slightly higher in the nine months ended September 30, 2025 primarily due to increased contract-specific cost of sales. </w:t>
      </w:r>
    </w:p>
    <w:p>
      <w:pPr>
        <w:pStyle w:val="TextBody"/>
        <w:bidi w:val="0"/>
        <w:spacing w:before="24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for the nine months ended September 30, 2025 and 2024 was $60.2 million and $47.0 million, respectively. Depreciation increased from the prior year due to five newly acquired vessels being placed into service subsequent to December 31, 2023. Amortization increased primarily due to rising costs of vessel recertifications, as well as a result of 32 vessel recertification drydockings being completed since December 31, 2023.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G&amp;A expense for the nine months ended September 30, 2025 and 2024 was $57.3 million and $51.7 million, respectively. The year-over-year increase in G&amp;A expense was primarily attributable to increases in bad debt expense resulting from delays in customer receipts and short-term incentive compensation. </w:t>
      </w:r>
    </w:p>
    <w:p>
      <w:pPr>
        <w:pStyle w:val="TextBody"/>
        <w:bidi w:val="0"/>
        <w:spacing w:before="24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expense for the nine months ended September 30, 2025 and 2024 was $5.2 million and $6.3 million, respectively. The stock-based compensation expense decrease from the prior-year period was primarily attributable to the 2024 MIP Repurchases, which resulted in the cash settlement of unvested and vested, unsettled restricted stock units and stock options that were issued through the 2020 Management Incentive Plan. </w:t>
      </w:r>
    </w:p>
    <w:p>
      <w:pPr>
        <w:pStyle w:val="TextBody"/>
        <w:bidi w:val="0"/>
        <w:spacing w:before="240" w:after="0"/>
        <w:jc w:val="left"/>
        <w:rPr>
          <w:rFonts w:ascii="Times New Roman" w:hAnsi="Times New Roman"/>
          <w:sz w:val="20"/>
        </w:rPr>
      </w:pPr>
      <w:r>
        <w:rPr>
          <w:rFonts w:ascii="Times New Roman" w:hAnsi="Times New Roman"/>
          <w:i/>
          <w:sz w:val="20"/>
        </w:rPr>
        <w:t>Operating Income</w:t>
      </w:r>
      <w:r>
        <w:rPr>
          <w:rFonts w:ascii="Times New Roman" w:hAnsi="Times New Roman"/>
          <w:sz w:val="20"/>
        </w:rPr>
        <w:t xml:space="preserve">. Operating income for the nine months ended September 30, 2025 and 2024 was $155.2 million and $100.8 million, respectively. Operating income increased by $54.4 million, or 53.9%, during the current-year period compared to the prior-year period for the reasons discussed above and the sale of one U.S.-flagged, HOS 265 class DP-2 OSV at a substantial gain. Operating income as a percentage of revenues was 28.5% for the nine months ended September 30, 2025 and 21.0% for the same period in 2024. Excluding the gain on vessel sale, our operating margin for the nine months ended September 30, 2025 was 26.1%. </w:t>
      </w:r>
    </w:p>
    <w:p>
      <w:pPr>
        <w:pStyle w:val="TextBody"/>
        <w:bidi w:val="0"/>
        <w:spacing w:before="240" w:after="0"/>
        <w:jc w:val="left"/>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for the nine months ended September 30, 2025 and 2024 was $23.6 million and $20.1 million, respectively. Interest expense increased primarily due to the Second Lien Debt Refinancing, resulting in a higher fixed interest rate of 9.25% on a higher outstanding balance, along with the related amortization of the original issue discount and deferred issuance costs for our Second Lien Term Loans due 2033 compared to the prior second-lien fixed rate of 8.25% with no amortized discounts or issuance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for the nine months ended September 30, 2025 and 2024 was $3.7 million and $4.6 million, respectively. Our average cash balance decreased to $76.3 million during the current-year period compared to $105.3 million for the prior-year period. The average interest rate earned on our invested cash balances was 4.8% and 5.8% in the first nine months ended September 30, 2025 and 2024, respectively. The decrease in average cash balance was primarily due to capital expenditures incurred subsequent to September 30, 2024, the 2024 Tender Offer and the 2024 MIP Repurchases, partially offset by net proceeds from the Second Lien Debt Refinancing and the sale of one U.S.-flagged, HOS 265 class DP-2 OSV In May 2025. The decrease in the average interest rate is due to market decreases in bank interest rates earned on invested cash balances. </w:t>
      </w:r>
    </w:p>
    <w:p>
      <w:pPr>
        <w:pStyle w:val="TextBody"/>
        <w:bidi w:val="0"/>
        <w:spacing w:before="240" w:after="0"/>
        <w:jc w:val="left"/>
        <w:rPr>
          <w:rFonts w:ascii="Times New Roman" w:hAnsi="Times New Roman"/>
          <w:sz w:val="20"/>
        </w:rPr>
      </w:pPr>
      <w:r>
        <w:rPr>
          <w:rFonts w:ascii="Times New Roman" w:hAnsi="Times New Roman"/>
          <w:i/>
          <w:sz w:val="20"/>
        </w:rPr>
        <w:t>Fair Value Adjustment of Liability-Classified Warrants</w:t>
      </w:r>
      <w:r>
        <w:rPr>
          <w:rFonts w:ascii="Times New Roman" w:hAnsi="Times New Roman"/>
          <w:sz w:val="20"/>
        </w:rPr>
        <w:t xml:space="preserve">. Fair value adjustment of liability-classified warrants for the nine months ended September 30, 2024 was a $6.3 million gain. On December 10, 2024, the Creditor Warrant Agreement was modified to remove the language requiring classification of the warrants as a liability, resulting in the final fair value adjustment of liability-classified warrants being recorded as of the modification date in the fourth quarter of 2024. Accordingly, there was no fair value adjustment for the nine months ended September 30, 2025. </w:t>
      </w:r>
    </w:p>
    <w:p>
      <w:pPr>
        <w:pStyle w:val="TextBody"/>
        <w:bidi w:val="0"/>
        <w:spacing w:before="240" w:after="0"/>
        <w:jc w:val="left"/>
        <w:rPr>
          <w:rFonts w:ascii="Times New Roman" w:hAnsi="Times New Roman"/>
          <w:sz w:val="20"/>
        </w:rPr>
      </w:pPr>
      <w:r>
        <w:rPr>
          <w:rFonts w:ascii="Times New Roman" w:hAnsi="Times New Roman"/>
          <w:i/>
          <w:sz w:val="20"/>
        </w:rPr>
        <w:t>Income Tax Expense</w:t>
      </w:r>
      <w:r>
        <w:rPr>
          <w:rFonts w:ascii="Times New Roman" w:hAnsi="Times New Roman"/>
          <w:sz w:val="20"/>
        </w:rPr>
        <w:t xml:space="preserve">. Our effective income tax expense rate was 6.2% and 8.3% for the nine months ended September 30, 2025 and 2024, respectively. Our current income tax expense reflects current U.S. and foreign tax liabilities and certain deferred tax liabilities that could not be offset with a reduction in the valuation allowance. </w:t>
      </w:r>
    </w:p>
    <w:p>
      <w:pPr>
        <w:pStyle w:val="TextBody"/>
        <w:bidi w:val="0"/>
        <w:spacing w:before="360" w:after="0"/>
        <w:jc w:val="left"/>
        <w:rPr>
          <w:rFonts w:ascii="Times New Roman" w:hAnsi="Times New Roman"/>
          <w:b/>
          <w:sz w:val="20"/>
        </w:rPr>
      </w:pPr>
      <w:r>
        <w:rPr>
          <w:rFonts w:ascii="Times New Roman" w:hAnsi="Times New Roman"/>
          <w:b/>
          <w:sz w:val="20"/>
        </w:rPr>
        <w:t xml:space="preserve">Year Ended December 31, 2024 Compared to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Summarized financial information for the years ended December 31, 2024 and 2023, respectively, is shown below in the following table (in thousands, except % change):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122"/>
        <w:gridCol w:w="164"/>
        <w:gridCol w:w="187"/>
        <w:gridCol w:w="1080"/>
        <w:gridCol w:w="204"/>
        <w:gridCol w:w="124"/>
        <w:gridCol w:w="187"/>
        <w:gridCol w:w="1083"/>
        <w:gridCol w:w="155"/>
        <w:gridCol w:w="110"/>
        <w:gridCol w:w="140"/>
        <w:gridCol w:w="723"/>
        <w:gridCol w:w="155"/>
        <w:gridCol w:w="109"/>
        <w:gridCol w:w="60"/>
        <w:gridCol w:w="790"/>
        <w:gridCol w:w="281"/>
      </w:tblGrid>
      <w:tr>
        <w:trPr/>
        <w:tc>
          <w:tcPr>
            <w:tcW w:w="312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12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8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429,447</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387,952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41,495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10.7</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162,799</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140,828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21,971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15.6</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592,246</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528,780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63,466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12.0</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48,605</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44,669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3,936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8.8</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640,851</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573,449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67,402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11.8</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364,584</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305,463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59,121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19.4</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64,546</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47,851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16,695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34.9</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71,110</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66,108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5,002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7.6</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9,384</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19,097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(9,713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(50.9</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509,624</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438,519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71,105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16.2</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42</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2,702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(2,660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(98.4</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131,269</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137,632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(6,363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(4.6</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(100.0</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(9,136</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(3,693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(5,443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&gt; 100.0</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(1,434</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(1,559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(8.0</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(26,382</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(39,802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13,420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(33.7</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5,763</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(3,992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(40.9</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5,412</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(10,917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16,329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&gt; 100.0</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(8</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853</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(861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&gt; 100.0</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(12,682</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(16,495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3,813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(23.1</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92,802</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74,538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18,264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24.5</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comparative purposes, references in the explanations below to 2024 reflect the year ended December 31, 2024. References to 2023 reflect the year ended December 31, 2023. </w:t>
      </w:r>
    </w:p>
    <w:p>
      <w:pPr>
        <w:pStyle w:val="TextBody"/>
        <w:bidi w:val="0"/>
        <w:spacing w:before="240" w:after="0"/>
        <w:jc w:val="left"/>
        <w:rPr>
          <w:rFonts w:ascii="Times New Roman" w:hAnsi="Times New Roman"/>
          <w:sz w:val="20"/>
        </w:rPr>
      </w:pPr>
      <w:r>
        <w:rPr>
          <w:rFonts w:ascii="Times New Roman" w:hAnsi="Times New Roman"/>
          <w:i/>
          <w:sz w:val="20"/>
        </w:rPr>
        <w:t>Revenues</w:t>
      </w:r>
      <w:r>
        <w:rPr>
          <w:rFonts w:ascii="Times New Roman" w:hAnsi="Times New Roman"/>
          <w:sz w:val="20"/>
        </w:rPr>
        <w:t xml:space="preserve">. Revenues for 2024 and 2023 were $640.9 million and $573.4 million, respectively. Our weighted-average active operating fleet for 2024 and 2023 was 50.0 and 43.4 vessels, respectively. For 2024, we had a weighted-average of 21.0 vessels stacked compared to a weighted-average of 22.4 vessels stacked in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Vessel revenues for 2024 and 2023 were $592.2 million and $528.8 million, respectively. Revenues from our OSV fleet increased $31.5 million, or 9.2%, for 2024 compared to the prior year. OSVs acquired in 2023 that provided their first full-year contribution to revenues in 2024 and OSVs acquired in 2024 contributed $35.6 million to the year-over-year increase in revenues, partially offset by lower OSV utilization in 2024. Average OSV dayrates were $41,956 for 2024 compared to $39,297 in 2023. Our average OSV utilization rate was 41.3% for 2024 compared to 44.3% in 2023. Our OSVs incurred 790 days of aggregate downtime for regulatory drydockings and were stacked for an aggregate of 7,686 days during 2024 compared to 586 days and 7,887 days, respectively, in 2023. Excluding stacked vessel days, our active OSV utilization rate was 64.1% and 74.0% for the same periods, respectively. Our effective, or utilization-adjusted, OSV dayrates were $17,328 in 2024 compared to $17,409 in 2023. Revenues from our MPSV fleet increased $32.0 million, or 17.1%, in 2024 compared to the prior year. Average MPSV dayrates were $67,853 for 2024 compared to $62,372 for 2023. Our MPSV utilization rate was 73.4% for 2024 compared to 68.4% for 2023. Our MPSVs incurred 406 days of aggregate downtime for regulatory drydockings and were stacked for an aggregate of zero days during 2024 compared to 191 days and 310 days, respectively, in 2023. Excluding stacked vessel days, our active MPSV utilization rate was 73.4% and 73.6% during 2024 and 2023, respectively. Our effective MPSV dayrates were $49,804 for 2024 compared to $42,662 in 2023. Domestic vessel revenues for 2024 increased $41.5 million, or 10.7%, from 2023 primarily due to the addition of acquired vessels, an increase in other active vessels and improved market conditions during 2024. Foreign vessel revenues increased $22.0 million, or 15.6%, primarily due to an increase in vessels operating in Brazil, Columbia and Trinidad. Foreign vessel revenues for 2024 comprised 27.5% of our total vessel revenues compared to 26.6% for 2023. </w:t>
      </w:r>
    </w:p>
    <w:p>
      <w:pPr>
        <w:pStyle w:val="TextBody"/>
        <w:bidi w:val="0"/>
        <w:spacing w:before="240" w:after="0"/>
        <w:jc w:val="left"/>
        <w:rPr>
          <w:rFonts w:ascii="Times New Roman" w:hAnsi="Times New Roman"/>
          <w:sz w:val="20"/>
        </w:rPr>
      </w:pPr>
      <w:r>
        <w:rPr>
          <w:rFonts w:ascii="Times New Roman" w:hAnsi="Times New Roman"/>
          <w:sz w:val="20"/>
        </w:rPr>
        <w:t xml:space="preserve">Non-vessel revenues for 2024 and 2023 were $48.6 million and $44.7 million, respectively. The 8.8% year-over-year increase in non-vessel revenues during 2024 was primarily due to higher revenues earned from four vessels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i/>
          <w:sz w:val="20"/>
        </w:rPr>
        <w:t>Operating Expense</w:t>
      </w:r>
      <w:r>
        <w:rPr>
          <w:rFonts w:ascii="Times New Roman" w:hAnsi="Times New Roman"/>
          <w:sz w:val="20"/>
        </w:rPr>
        <w:t xml:space="preserve">. Operating expense for 2024 and 2023 was $364.6 million and $305.5 million, respectively. Acquired vessels placed in service in 2023 that provided their first full-year contribution to operating expense in 2024 and vessels acquired and placed into service in 2024 contributed $31.5 million to the increase in operating expense, while the remaining variance was due to increases in maintenance and repair costs, mariner headcount and local taxes on revenue for vessels operating in Brazil. </w:t>
      </w:r>
    </w:p>
    <w:p>
      <w:pPr>
        <w:pStyle w:val="TextBody"/>
        <w:bidi w:val="0"/>
        <w:spacing w:before="24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for 2024 and 2023 was $64.5 million and $47.9 million, respectively. Depreciation increased from the prior year due to eight newly acquired vessels being placed into service since 2022. Amortization also increased as a result of 29 vessel recertification drydockings being completed since September 30, 2023. In addition, the average cost of vessel recertifications has increased since 2023.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G&amp;A expense for 2024 and 2023 was $71.1 million and $66.1 million, respectively. The year-over-year increase in G&amp;A expense was primarily attributable to an increase in shoreside employee headcount and an increase in wage rates. </w:t>
      </w:r>
    </w:p>
    <w:p>
      <w:pPr>
        <w:pStyle w:val="TextBody"/>
        <w:bidi w:val="0"/>
        <w:spacing w:before="24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expense for 2024 and 2023 was $9.4 million and $19.1 million, respectively. The stock-based compensation expense decrease from the prior year was primarily attributable to certain new long-term incentive grants of restricted stock units under the 2020 Management Incentive Plan that were issued in the first quarter of 2023, one-half of which immediately vested on the grant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Operating Income</w:t>
      </w:r>
      <w:r>
        <w:rPr>
          <w:rFonts w:ascii="Times New Roman" w:hAnsi="Times New Roman"/>
          <w:sz w:val="20"/>
        </w:rPr>
        <w:t xml:space="preserve">. Operating income for 2024 and 2023 was $131.3 million and $137.6 million, respectively. Operating income decreased by $6.4 million, or 4.6%, for the reasons discussed above, but primarily due to increased vessel recertifications and incremental operating expense. Operating income as a percentage of revenues was 20.5% for 2024 and 24.0% for 2023. </w:t>
      </w:r>
    </w:p>
    <w:p>
      <w:pPr>
        <w:pStyle w:val="TextBody"/>
        <w:bidi w:val="0"/>
        <w:spacing w:before="240" w:after="0"/>
        <w:jc w:val="left"/>
        <w:rPr>
          <w:rFonts w:ascii="Times New Roman" w:hAnsi="Times New Roman"/>
          <w:sz w:val="20"/>
        </w:rPr>
      </w:pPr>
      <w:r>
        <w:rPr>
          <w:rFonts w:ascii="Times New Roman" w:hAnsi="Times New Roman"/>
          <w:i/>
          <w:sz w:val="20"/>
        </w:rPr>
        <w:t>Postponed Offering Costs</w:t>
      </w:r>
      <w:r>
        <w:rPr>
          <w:rFonts w:ascii="Times New Roman" w:hAnsi="Times New Roman"/>
          <w:sz w:val="20"/>
        </w:rPr>
        <w:t xml:space="preserve">. Postponed offering costs for 2024 and 2023 were $9.1 million and $3.7 million, respectively. These non-recurring charges relate to previously deferred costs associated with a postponed initial public equity offering process in 2024 and a terminated senior debt offering to refinance all of our then-outstanding debt in 2023. </w:t>
      </w:r>
    </w:p>
    <w:p>
      <w:pPr>
        <w:pStyle w:val="TextBody"/>
        <w:bidi w:val="0"/>
        <w:spacing w:before="240" w:after="0"/>
        <w:jc w:val="left"/>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for 2024 and 2023 was $26.4 million and $39.8 million, respectively. Interest expense decreased primarily due to the contractual conversion of our Second Lien Term Loans due 2026 to full cash-pay obligations with a lower annual interest rate of 8.25% on September 4, 2023 and the $68.7 million pay-off of the remaining principal balance of our Replacement First Lien Term Loans in August 2023. In addition, we capitalized $3.0 million more of interest in 2024 compared to 2023. </w:t>
      </w:r>
    </w:p>
    <w:p>
      <w:pPr>
        <w:pStyle w:val="TextBody"/>
        <w:bidi w:val="0"/>
        <w:spacing w:before="24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for 2024 and 2023 was $5.8 million and $9.8 million, respectively. Our average cash balance decreased to $132.6 million during 2024 compared to $213.2 million for 2023. The average interest rate earned on our invested cash balances was 5.7% and 4.5% for 2024 and 2023, respectively. The decrease in average cash balance was primarily due to new vessels acquired under the ECO Acquisitions and the repayment in full of our Replacement First Lien Term Loans in August 2023. The increase in the average interest rate is due to market increases in bank interest rates earned on invested cash balances. </w:t>
      </w:r>
    </w:p>
    <w:p>
      <w:pPr>
        <w:pStyle w:val="TextBody"/>
        <w:bidi w:val="0"/>
        <w:spacing w:before="240" w:after="0"/>
        <w:jc w:val="left"/>
        <w:rPr>
          <w:rFonts w:ascii="Times New Roman" w:hAnsi="Times New Roman"/>
          <w:sz w:val="20"/>
        </w:rPr>
      </w:pPr>
      <w:r>
        <w:rPr>
          <w:rFonts w:ascii="Times New Roman" w:hAnsi="Times New Roman"/>
          <w:i/>
          <w:sz w:val="20"/>
        </w:rPr>
        <w:t>Fair Value Adjustment of Liability-Classified Warrants</w:t>
      </w:r>
      <w:r>
        <w:rPr>
          <w:rFonts w:ascii="Times New Roman" w:hAnsi="Times New Roman"/>
          <w:sz w:val="20"/>
        </w:rPr>
        <w:t xml:space="preserve">. Fair value adjustment of liability-classified warrants for 2024 and 2023 was a $5.4 million gain and a $10.9 million loss, respectively. Based on an ASC 718 valuation analysis, the estimated fair value of the outstanding Creditor Warrants decreased by $3.39, or 7.2%, per warrant in 2024. In December 2024, following an amendment to the Creditor Warrant Agreement, all liability-classified warrants were reclassified to stockholders’ equity at their estimated fair value and will be accounted for at such value prospectively. </w:t>
      </w:r>
    </w:p>
    <w:p>
      <w:pPr>
        <w:pStyle w:val="TextBody"/>
        <w:bidi w:val="0"/>
        <w:spacing w:before="240" w:after="0"/>
        <w:jc w:val="left"/>
        <w:rPr>
          <w:rFonts w:ascii="Times New Roman" w:hAnsi="Times New Roman"/>
          <w:sz w:val="20"/>
        </w:rPr>
      </w:pPr>
      <w:r>
        <w:rPr>
          <w:rFonts w:ascii="Times New Roman" w:hAnsi="Times New Roman"/>
          <w:i/>
          <w:sz w:val="20"/>
        </w:rPr>
        <w:t>Income Tax Expense</w:t>
      </w:r>
      <w:r>
        <w:rPr>
          <w:rFonts w:ascii="Times New Roman" w:hAnsi="Times New Roman"/>
          <w:sz w:val="20"/>
        </w:rPr>
        <w:t xml:space="preserve">. Our effective income tax expense rate was 12.0% and 18.1% for 2024 and 2023, respectively. Our current income tax expense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income tax rate from period to period. The 2024 rate is lower than 2023 due to higher current foreign taxes in the prior year resulting from a higher proportion of earnings in foreign jurisdictions, while the related foreign tax credits are being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Year Ended December 31, 2023 Compared to Year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Summarized financial information for the years ended December 31, 2023 and 2022, respectively, is shown below in the following table (in thousands, except % change):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568"/>
        <w:gridCol w:w="171"/>
        <w:gridCol w:w="140"/>
        <w:gridCol w:w="829"/>
        <w:gridCol w:w="161"/>
        <w:gridCol w:w="123"/>
        <w:gridCol w:w="140"/>
        <w:gridCol w:w="829"/>
        <w:gridCol w:w="161"/>
        <w:gridCol w:w="123"/>
        <w:gridCol w:w="140"/>
        <w:gridCol w:w="828"/>
        <w:gridCol w:w="161"/>
        <w:gridCol w:w="123"/>
        <w:gridCol w:w="60"/>
        <w:gridCol w:w="755"/>
        <w:gridCol w:w="362"/>
      </w:tblGrid>
      <w:tr>
        <w:trPr/>
        <w:tc>
          <w:tcPr>
            <w:tcW w:w="3568"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222"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387,952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317,638</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70,314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22.1</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140,828</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88,396</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52,432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59.3</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528,780</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406,034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122,746</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30.2</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44,669</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45,192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(523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(1.2</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573,449</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451,226</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122,223</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27.1</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305,463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214,788</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90,675</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42.2</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47,851</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28,940</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18,911</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65.3</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66,108</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58,946</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7,162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12.2</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19,097</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5,330</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13,767</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&gt; 100.0</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438,519</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308,004</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130,515</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42.4</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2,702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21,837</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(19,135</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(87.6</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137,632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165,059</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(27,427</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(16.6</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(1,236</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(1,192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&gt; 100.0</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(3,693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(3,693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(1,559</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(198</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(1,361</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&gt; 100.0</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(39,802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(41,172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1,370</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(3.3</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9,755</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2,832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6,923</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&gt; 100.0</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(10,917</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(41,408</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30,491</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(73.6</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853</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2,867</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(2,014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(70.2</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(16,495</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(7,174</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(9,321</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&gt; 100.0</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74,538</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80,762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(6,224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(7.7</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comparative purposes, references in the explanations below to 2023 reflect the year ended December 31, 2023. References to 2022 reflect the year ended December 31, 2022. </w:t>
      </w:r>
    </w:p>
    <w:p>
      <w:pPr>
        <w:pStyle w:val="TextBody"/>
        <w:bidi w:val="0"/>
        <w:spacing w:before="240" w:after="0"/>
        <w:jc w:val="left"/>
        <w:rPr>
          <w:rFonts w:ascii="Times New Roman" w:hAnsi="Times New Roman"/>
          <w:sz w:val="20"/>
        </w:rPr>
      </w:pPr>
      <w:r>
        <w:rPr>
          <w:rFonts w:ascii="Times New Roman" w:hAnsi="Times New Roman"/>
          <w:i/>
          <w:sz w:val="20"/>
        </w:rPr>
        <w:t>Revenues</w:t>
      </w:r>
      <w:r>
        <w:rPr>
          <w:rFonts w:ascii="Times New Roman" w:hAnsi="Times New Roman"/>
          <w:sz w:val="20"/>
        </w:rPr>
        <w:t xml:space="preserve">. Revenues for 2023 and 2022 were $573.4 million and $451.2 million, respectively. Our weighted-average active operating fleet for 2023 and 2022 was 43.4 and 37.1 vessels, respectively. For 2023, we had an average of 22.4 vessels stacked compared to an average of 31.9 vessels stacked in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Vessel revenues for 2023 and 2022 were $528.8 million and $406.0 million, respectively. Vessels acquired since 2022 that provided their first full-year contribution to revenues in 2023 and vessels acquired in 2023 contributed $62.7 million to the year-over-year increase in revenues, while the remaining increase was primarily due to improved market conditions for our vessels. Revenues from our OSV fleet increased $88.5 million, or 34.9%, for 2023 compared to 2022. Average OSV dayrates were $39,297 for 2023 compared to $32,305 for the prior year. Our average OSV utilization rate was 44.3% for 2023 compared to 37.7% for 2022. Our OSVs incurred 586 days of aggregate downtime for regulatory drydockings and were stacked for an aggregate of 7,887 days during 2023 compared to 332 days and 11,074 days, respectively, during 2022. Excluding stacked vessel days, our active OSV utilization rate was 74.0% and 80.7% for the same periods, respectively. Revenues from our MPSV fleet increased $34.2 million, or 22.4%, for 2023 compared to 2022. Average MPSV dayrates were $62,372 for 2023 compared to $53,421 for 2022. Our MPSV utilization rate was 68.4% for 2023 compared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65.2% for 2022. Our MPSVs incurred 191 days of aggregate downtime for regulatory drydockings and were stacked for an aggregate of 310 days during 2023 compared to 200 days and 569 days, respectively, during 2022. Excluding stacked vessel days, our active MPSV utilization rate was 73.6% and 75.0% during 2023 and 2022, respectively. Domestic vessel revenues increased $70.3 million, or 22.1%, from 2022 primarily due to an increase in active vessels and improved market conditions for our vessels operating in the U.S. GoA. Foreign vessel revenues increased $52.4 million, or 59.3%, due to improved market conditions for vessels operating in Mexico during the first nine months of 2023 and in Brazil during the full year 2023. Foreign vessel revenues for 2023 comprised 26.6% of our total vessel revenues compared to 21.8% for 2022. </w:t>
      </w:r>
    </w:p>
    <w:p>
      <w:pPr>
        <w:pStyle w:val="TextBody"/>
        <w:bidi w:val="0"/>
        <w:spacing w:before="240" w:after="0"/>
        <w:jc w:val="left"/>
        <w:rPr>
          <w:rFonts w:ascii="Times New Roman" w:hAnsi="Times New Roman"/>
          <w:sz w:val="20"/>
        </w:rPr>
      </w:pPr>
      <w:r>
        <w:rPr>
          <w:rFonts w:ascii="Times New Roman" w:hAnsi="Times New Roman"/>
          <w:sz w:val="20"/>
        </w:rPr>
        <w:t xml:space="preserve">Non-vessel revenues for 2023 and 2022 were $44.7 million and $45.2 million, respectively. The 1.2% year-over-year decrease in non-vessel revenues was primarily due to lower revenues earned from non-military vessel management services during 2023 compared to the prior year. Our non-vessel revenues primarily include our O&amp;M contract with the U.S. Navy, revenues from our HOS Port facilities, and other vessel management services. </w:t>
      </w:r>
    </w:p>
    <w:p>
      <w:pPr>
        <w:pStyle w:val="TextBody"/>
        <w:bidi w:val="0"/>
        <w:spacing w:before="240" w:after="0"/>
        <w:jc w:val="left"/>
        <w:rPr>
          <w:rFonts w:ascii="Times New Roman" w:hAnsi="Times New Roman"/>
          <w:sz w:val="20"/>
        </w:rPr>
      </w:pPr>
      <w:r>
        <w:rPr>
          <w:rFonts w:ascii="Times New Roman" w:hAnsi="Times New Roman"/>
          <w:i/>
          <w:sz w:val="20"/>
        </w:rPr>
        <w:t>Operating Expense</w:t>
      </w:r>
      <w:r>
        <w:rPr>
          <w:rFonts w:ascii="Times New Roman" w:hAnsi="Times New Roman"/>
          <w:sz w:val="20"/>
        </w:rPr>
        <w:t xml:space="preserve">. Operating expense for 2023 and 2022 was $305.5 million and $214.8 million, respectively. Vessels acquired in 2022 that provided their first full-year contribution to operating expense in 2023 and vessels acquired in 2023 contributed $52.1 million to the year-over-year increase in operating expense, while the remaining variance was due to increases in domestic mariner wages, vessel recertifications and related maintenance and repair costs and contract-specific costs of sales to meet customer charter requirements, which were ultimately recovered through the agreed upon charter dayrate. </w:t>
      </w:r>
    </w:p>
    <w:p>
      <w:pPr>
        <w:pStyle w:val="TextBody"/>
        <w:bidi w:val="0"/>
        <w:spacing w:before="24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for 2023 and 2022 was $47.9 million and $28.9 million, respectively. Depreciation increased from the prior year due to nine newly acquired vessels being placed into service in or subsequent to the second quarter of 2022. Amortization also increased as a result of 21 vessel recertification drydockings being completed since September 30, 2022.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G&amp;A expense for 2023 and 2022 was $66.1 million and $58.9 million, respectively. The year-over-year increase in G&amp;A expense was primarily attributable to an increase in shoreside employee headcount and wages and related benefits. </w:t>
      </w:r>
    </w:p>
    <w:p>
      <w:pPr>
        <w:pStyle w:val="TextBody"/>
        <w:bidi w:val="0"/>
        <w:spacing w:before="24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expense for 2023 and 2022 was $19.1 million and $5.3 million, respectively. The stock-based compensation expense increase from the prior year was primarily attributable to certain long-term incentive grants of restricted stock units under the 2020 Management Incentive Plan that were issued in the first quarter of 2023, one-half of which immediately vested on the grant date. </w:t>
      </w:r>
    </w:p>
    <w:p>
      <w:pPr>
        <w:pStyle w:val="TextBody"/>
        <w:bidi w:val="0"/>
        <w:spacing w:before="240" w:after="0"/>
        <w:jc w:val="left"/>
        <w:rPr>
          <w:rFonts w:ascii="Times New Roman" w:hAnsi="Times New Roman"/>
          <w:sz w:val="20"/>
        </w:rPr>
      </w:pPr>
      <w:r>
        <w:rPr>
          <w:rFonts w:ascii="Times New Roman" w:hAnsi="Times New Roman"/>
          <w:i/>
          <w:sz w:val="20"/>
        </w:rPr>
        <w:t>Operating Income</w:t>
      </w:r>
      <w:r>
        <w:rPr>
          <w:rFonts w:ascii="Times New Roman" w:hAnsi="Times New Roman"/>
          <w:sz w:val="20"/>
        </w:rPr>
        <w:t xml:space="preserve">. Operating income for 2023 and 2022 was $137.6 million and $165.1 million, respectively. Operating income decreased by $27.4 million, or 16.6%, during the current-year period compared to the prior-year period for the reasons discussed above, but primarily due to the increase in operating expense from newly acquired vessels. Operating income as a percentage of revenues was 24.0% for 2023 and 36.6% for 2022. </w:t>
      </w:r>
    </w:p>
    <w:p>
      <w:pPr>
        <w:pStyle w:val="TextBody"/>
        <w:bidi w:val="0"/>
        <w:spacing w:before="240" w:after="0"/>
        <w:jc w:val="left"/>
        <w:rPr>
          <w:rFonts w:ascii="Times New Roman" w:hAnsi="Times New Roman"/>
          <w:sz w:val="20"/>
        </w:rPr>
      </w:pPr>
      <w:r>
        <w:rPr>
          <w:rFonts w:ascii="Times New Roman" w:hAnsi="Times New Roman"/>
          <w:i/>
          <w:sz w:val="20"/>
        </w:rPr>
        <w:t>Postponed Offering Costs</w:t>
      </w:r>
      <w:r>
        <w:rPr>
          <w:rFonts w:ascii="Times New Roman" w:hAnsi="Times New Roman"/>
          <w:sz w:val="20"/>
        </w:rPr>
        <w:t xml:space="preserve">. Postponed offering costs for 2023 and 2022 were $(3.7) million and $0.0 million, respectively. These non-recurring charges relate to previously deferred costs associated with a terminated senior debt offering to refinance all of our then-outstanding debt in 2023. </w:t>
      </w:r>
    </w:p>
    <w:p>
      <w:pPr>
        <w:pStyle w:val="TextBody"/>
        <w:bidi w:val="0"/>
        <w:spacing w:before="240" w:after="0"/>
        <w:jc w:val="left"/>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for 2023 and 2022 was $39.8 million and $41.2 million, respectively. The decrease in interest expense was primarily attributable to electing to pay cash interest only in the second quarter of 2023 for the Second Lien Term Loans due 2026, which reduced our interest rate on that debt instrument from 11.5% to 10.25%. In addition, effective September 4, 2023, the Second Lien Term Loans due 2026 contractually converted to full cash-pay obligations with an annual interest rate of 8.25%. The decrease in interest expense is also related to the $68.7 million pay-off of the remaining principal balance of the Replacement First Lien Term Loans in August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for 2023 and 2022 was $9.8 million and $2.8 million, respectively. Our average cash balance increased to $213.2 million during 2023 compared to $167.8 million for 2022. The average interest rate earned on our invested cash balances was 4.5% and 1.7% in 2023 and 2022, respectively. The increase in average cash balance was primarily due to improved operating results and net cash proceeds received during the fourth quarter of 2022 from the delayed draw that was funded under the Replacement First Lien Term Loans. The increase in the average interest rate is due to market increases in bank interest rates earned on invested cash balances. </w:t>
      </w:r>
    </w:p>
    <w:p>
      <w:pPr>
        <w:pStyle w:val="TextBody"/>
        <w:bidi w:val="0"/>
        <w:spacing w:before="240" w:after="0"/>
        <w:jc w:val="left"/>
        <w:rPr>
          <w:rFonts w:ascii="Times New Roman" w:hAnsi="Times New Roman"/>
          <w:sz w:val="20"/>
        </w:rPr>
      </w:pPr>
      <w:r>
        <w:rPr>
          <w:rFonts w:ascii="Times New Roman" w:hAnsi="Times New Roman"/>
          <w:i/>
          <w:sz w:val="20"/>
        </w:rPr>
        <w:t>Fair Value Adjustment of Liability-Classified Warrants</w:t>
      </w:r>
      <w:r>
        <w:rPr>
          <w:rFonts w:ascii="Times New Roman" w:hAnsi="Times New Roman"/>
          <w:sz w:val="20"/>
        </w:rPr>
        <w:t xml:space="preserve">. Fair value adjustment of liability-classified warrants for 2023 and 2022 was a $10.9 million loss and $41.4 million loss, respectively. Creditor Warrants (warrants entitling holders to purchase common stock at a strike price set at an enterprise value of $621.2 million, or $27.83 per share) were issued on September 4, 2020, and we have since recorded a quarterly mark-to-market adjustment beginning with the quarter ended December 30, 2020. Prior to the issuance of these Creditor Warrants, we did not have any issued or outstanding liability-classified warrants. Based on an ASC 718 valuation analysis as of December 31, 2023, the estimated fair value of the outstanding Creditor Warrants increased year-over-year by $6.85, or 16.9%, per warrant. </w:t>
      </w:r>
    </w:p>
    <w:p>
      <w:pPr>
        <w:pStyle w:val="TextBody"/>
        <w:bidi w:val="0"/>
        <w:spacing w:before="240" w:after="0"/>
        <w:jc w:val="left"/>
        <w:rPr>
          <w:rFonts w:ascii="Times New Roman" w:hAnsi="Times New Roman"/>
          <w:sz w:val="20"/>
        </w:rPr>
      </w:pPr>
      <w:r>
        <w:rPr>
          <w:rFonts w:ascii="Times New Roman" w:hAnsi="Times New Roman"/>
          <w:i/>
          <w:sz w:val="20"/>
        </w:rPr>
        <w:t>Income Tax Expense</w:t>
      </w:r>
      <w:r>
        <w:rPr>
          <w:rFonts w:ascii="Times New Roman" w:hAnsi="Times New Roman"/>
          <w:sz w:val="20"/>
        </w:rPr>
        <w:t xml:space="preserve">. Our effective income tax expense rate was 18.1% and 8.2% for 2023 and 2022, respectively. Our current income tax expense reflects our current foreign tax liabilities and certain deferred tax liabilities that could not be offset with a valuation allowance. We have offset most of our deferred tax assets with a valuation allowance, as required in certain circumstances by GAAP, leading to volatility in our effective income tax rate from period to period. The 2023 rate is higher than 2022 due to increased current foreign taxes resulting from a higher proportion of earnings in foreign jurisdictions, while the related foreign tax credits are being reserved.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postponed offering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 </w:t>
      </w:r>
    </w:p>
    <w:p>
      <w:pPr>
        <w:pStyle w:val="TextBody"/>
        <w:bidi w:val="0"/>
        <w:spacing w:before="240" w:after="0"/>
        <w:jc w:val="left"/>
        <w:rPr>
          <w:rFonts w:ascii="Times New Roman" w:hAnsi="Times New Roman"/>
          <w:sz w:val="20"/>
        </w:rPr>
      </w:pPr>
      <w:r>
        <w:rPr>
          <w:rFonts w:ascii="Times New Roman" w:hAnsi="Times New Roman"/>
          <w:sz w:val="20"/>
        </w:rPr>
        <w:t xml:space="preserve">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 </w:t>
      </w:r>
    </w:p>
    <w:p>
      <w:pPr>
        <w:pStyle w:val="TextBody"/>
        <w:bidi w:val="0"/>
        <w:spacing w:before="240" w:after="0"/>
        <w:jc w:val="left"/>
        <w:rPr>
          <w:rFonts w:ascii="Times New Roman" w:hAnsi="Times New Roman"/>
          <w:sz w:val="20"/>
        </w:rPr>
      </w:pPr>
      <w:r>
        <w:rPr>
          <w:rFonts w:ascii="Times New Roman" w:hAnsi="Times New Roman"/>
          <w:sz w:val="20"/>
        </w:rPr>
        <w:t xml:space="preserve">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 </w:t>
      </w:r>
    </w:p>
    <w:p>
      <w:pPr>
        <w:pStyle w:val="TextBody"/>
        <w:bidi w:val="0"/>
        <w:spacing w:before="240" w:after="0"/>
        <w:jc w:val="left"/>
        <w:rPr>
          <w:rFonts w:ascii="Times New Roman" w:hAnsi="Times New Roman"/>
          <w:sz w:val="20"/>
        </w:rPr>
      </w:pPr>
      <w:r>
        <w:rPr>
          <w:rFonts w:ascii="Times New Roman" w:hAnsi="Times New Roman"/>
          <w:sz w:val="20"/>
        </w:rPr>
        <w:t xml:space="preserve">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These ratios are calculated using certain adjustments to EBITDA defined by our credit agreements, which adjustments are consistent with those reflected in Adjusted EBITDA in this prospectus. In addition, we believe that, based on covenants in prior and existing credit facilities, future debt arrangements may require compliance with certain ratios that will likely include EBITDA or Adjusted EBITDA in the computations. Adjusted EBITDA is also currently utilized in connection with our short-term cash bonus incentive compensation programs.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reconcile cash flows provided by operating activities to EBITDA, Adjusted EBITDA and Adjusted Free Cash Flow, as we define those terms, for the nine months ended September 30, 2025 and 2024, and the years ended December 31, 2024, 2023 and 2022, respectively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1"/>
        <w:gridCol w:w="186"/>
        <w:gridCol w:w="140"/>
        <w:gridCol w:w="804"/>
        <w:gridCol w:w="155"/>
        <w:gridCol w:w="146"/>
        <w:gridCol w:w="140"/>
        <w:gridCol w:w="804"/>
        <w:gridCol w:w="155"/>
        <w:gridCol w:w="146"/>
        <w:gridCol w:w="140"/>
        <w:gridCol w:w="804"/>
        <w:gridCol w:w="155"/>
        <w:gridCol w:w="146"/>
        <w:gridCol w:w="140"/>
        <w:gridCol w:w="804"/>
        <w:gridCol w:w="155"/>
        <w:gridCol w:w="146"/>
        <w:gridCol w:w="140"/>
        <w:gridCol w:w="804"/>
        <w:gridCol w:w="164"/>
      </w:tblGrid>
      <w:tr>
        <w:trPr/>
        <w:tc>
          <w:tcPr>
            <w:tcW w:w="3931"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3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EBITDA Reconciliation to GAAP:</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74,375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17,150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20,810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9,311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474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38,995</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(5,190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(6,251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(9,384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(19,097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(5,330</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(1,951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(700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(1,028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6,336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5,412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(10,917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(41,408</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 net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(1,236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13,022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21,837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215,219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153,119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190,649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168,931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155,216</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 Reconciliation to GAAP:</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74,375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17,150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20,810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9,311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474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940"/>
        <w:gridCol w:w="189"/>
        <w:gridCol w:w="140"/>
        <w:gridCol w:w="800"/>
        <w:gridCol w:w="155"/>
        <w:gridCol w:w="149"/>
        <w:gridCol w:w="140"/>
        <w:gridCol w:w="800"/>
        <w:gridCol w:w="155"/>
        <w:gridCol w:w="149"/>
        <w:gridCol w:w="140"/>
        <w:gridCol w:w="800"/>
        <w:gridCol w:w="155"/>
        <w:gridCol w:w="148"/>
        <w:gridCol w:w="140"/>
        <w:gridCol w:w="800"/>
        <w:gridCol w:w="155"/>
        <w:gridCol w:w="149"/>
        <w:gridCol w:w="140"/>
        <w:gridCol w:w="800"/>
        <w:gridCol w:w="161"/>
      </w:tblGrid>
      <w:tr>
        <w:trPr/>
        <w:tc>
          <w:tcPr>
            <w:tcW w:w="394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4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1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42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23,773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1,783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(3,656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(19,166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38,995</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(1,951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(700</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(1,028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2,832</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13,022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21,837</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9,136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3,693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224,178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157,603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209,520</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213,629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204,830</w:t>
            </w:r>
          </w:p>
        </w:tc>
        <w:tc>
          <w:tcPr>
            <w:tcW w:w="161" w:type="dxa"/>
            <w:tcBorders/>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Free Cash Flow Reconciliation to GAAP:</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112,967</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maintenance capital improvements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(15,370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(15,775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(16,171</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(7,745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(3,758</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non-vessel capital expenditures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(7,461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(707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(753</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(1,087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(1,328</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(257</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38,995</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74,375</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2,832</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13,022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21,837</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9,136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3,693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110,177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63,696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82,891</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132,688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171,288</w:t>
            </w:r>
          </w:p>
        </w:tc>
        <w:tc>
          <w:tcPr>
            <w:tcW w:w="161" w:type="dxa"/>
            <w:tcBorders/>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the detailed components of EBITDA, Adjusted EBITDA and Adjusted Free Cash Flow as we define those terms, for the nine months ended September 30, 2025 and 2024, and the years ended December 31, 2024, 2023 and 2022, respectively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0"/>
        <w:gridCol w:w="97"/>
        <w:gridCol w:w="140"/>
        <w:gridCol w:w="804"/>
        <w:gridCol w:w="60"/>
        <w:gridCol w:w="97"/>
        <w:gridCol w:w="140"/>
        <w:gridCol w:w="804"/>
        <w:gridCol w:w="157"/>
        <w:gridCol w:w="97"/>
        <w:gridCol w:w="140"/>
        <w:gridCol w:w="804"/>
        <w:gridCol w:w="157"/>
        <w:gridCol w:w="97"/>
        <w:gridCol w:w="140"/>
        <w:gridCol w:w="804"/>
        <w:gridCol w:w="59"/>
        <w:gridCol w:w="60"/>
        <w:gridCol w:w="140"/>
        <w:gridCol w:w="804"/>
        <w:gridCol w:w="104"/>
      </w:tblGrid>
      <w:tr>
        <w:trPr/>
        <w:tc>
          <w:tcPr>
            <w:tcW w:w="450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r>
      <w:tr>
        <w:trPr/>
        <w:tc>
          <w:tcPr>
            <w:tcW w:w="45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0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32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04" w:type="dxa"/>
            <w:tcBorders/>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Components of EBITDA:</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126,659</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83,109</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92,802</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74,538</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80,762</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23,594</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20,125</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26,382</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39,802</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41,172</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3,702</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4,569</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5,763</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9,755</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2,832</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net</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19,892</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15,556</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20,619</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30,047</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38,340</w:t>
            </w:r>
          </w:p>
        </w:tc>
        <w:tc>
          <w:tcPr>
            <w:tcW w:w="104" w:type="dxa"/>
            <w:tcBorders/>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8,443</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7,495</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12,682</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16,495</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7,174</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30,016</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27,904</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37,812</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26,355</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18,601</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30,209</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19,055</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26,734</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21,496</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10,339</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215,219</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153,119</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190,649</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168,931</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155,216</w:t>
            </w:r>
          </w:p>
        </w:tc>
        <w:tc>
          <w:tcPr>
            <w:tcW w:w="104" w:type="dxa"/>
            <w:tcBorders/>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 net</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1,236</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44</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5,190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6,251</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9,384</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19,097</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5,330</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3,702</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4,569</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5,763</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9,755</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2,832</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liability-classified warrants</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(6,336</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(5,412</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10,917</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41,408</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9,136</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3,693</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224,178</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157,603</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209,520</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213,629</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204,830</w:t>
            </w:r>
          </w:p>
        </w:tc>
        <w:tc>
          <w:tcPr>
            <w:tcW w:w="104" w:type="dxa"/>
            <w:tcBorders/>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122"/>
        <w:gridCol w:w="97"/>
        <w:gridCol w:w="140"/>
        <w:gridCol w:w="845"/>
        <w:gridCol w:w="165"/>
        <w:gridCol w:w="97"/>
        <w:gridCol w:w="140"/>
        <w:gridCol w:w="812"/>
        <w:gridCol w:w="165"/>
        <w:gridCol w:w="97"/>
        <w:gridCol w:w="140"/>
        <w:gridCol w:w="758"/>
        <w:gridCol w:w="164"/>
        <w:gridCol w:w="97"/>
        <w:gridCol w:w="140"/>
        <w:gridCol w:w="845"/>
        <w:gridCol w:w="165"/>
        <w:gridCol w:w="60"/>
        <w:gridCol w:w="140"/>
        <w:gridCol w:w="845"/>
        <w:gridCol w:w="171"/>
      </w:tblGrid>
      <w:tr>
        <w:trPr/>
        <w:tc>
          <w:tcPr>
            <w:tcW w:w="4122"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r>
      <w:tr>
        <w:trPr/>
        <w:tc>
          <w:tcPr>
            <w:tcW w:w="412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33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71"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1"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charges(1)</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(47,853</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(38,101</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(59,491</w:t>
            </w:r>
          </w:p>
        </w:tc>
        <w:tc>
          <w:tcPr>
            <w:tcW w:w="1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(29,828</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(19,114</w:t>
            </w:r>
          </w:p>
        </w:tc>
        <w:tc>
          <w:tcPr>
            <w:tcW w:w="171"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maintenance capital improvements(1)</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(15,370</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(15,775</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(16,171</w:t>
            </w:r>
          </w:p>
        </w:tc>
        <w:tc>
          <w:tcPr>
            <w:tcW w:w="1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(7,745</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(3,758</w:t>
            </w:r>
          </w:p>
        </w:tc>
        <w:tc>
          <w:tcPr>
            <w:tcW w:w="171"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non-vessel capital expenditures(1)</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(7,461</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(707</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(753</w:t>
            </w:r>
          </w:p>
        </w:tc>
        <w:tc>
          <w:tcPr>
            <w:tcW w:w="1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(1,087</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(1,328</w:t>
            </w:r>
          </w:p>
        </w:tc>
        <w:tc>
          <w:tcPr>
            <w:tcW w:w="171"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(29,191</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(22,174</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(29,404</w:t>
            </w:r>
          </w:p>
        </w:tc>
        <w:tc>
          <w:tcPr>
            <w:tcW w:w="1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(32,970</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(8,868</w:t>
            </w:r>
          </w:p>
        </w:tc>
        <w:tc>
          <w:tcPr>
            <w:tcW w:w="171"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(14,126</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(17,150</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(20,810</w:t>
            </w:r>
          </w:p>
        </w:tc>
        <w:tc>
          <w:tcPr>
            <w:tcW w:w="1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(9,311</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(474</w:t>
            </w:r>
          </w:p>
        </w:tc>
        <w:tc>
          <w:tcPr>
            <w:tcW w:w="171" w:type="dxa"/>
            <w:tcBorders/>
            <w:shd w:fill="CCEEFF" w:val="clear"/>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110,177</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63,696</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82,891</w:t>
            </w:r>
          </w:p>
        </w:tc>
        <w:tc>
          <w:tcPr>
            <w:tcW w:w="1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132,688</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171,288</w:t>
            </w:r>
          </w:p>
        </w:tc>
        <w:tc>
          <w:tcPr>
            <w:tcW w:w="171"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information concerning these items, see “—Liquidity and Capital Resources—Capital Expenditures and Related Commitments.”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Set forth below are the material limitations associated with using EBITDA, Adjusted EBITDA and Adjusted Free Cash Flow as non-GAAP financial measures compared to cash flows provided by operating activities: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future capital expenditure requirements that may be necessary to replace our existing vessels upon expiration of their useful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interest, future principal payments and other financing-related charges necessary to service the debt that we have incurred in acquiring and constructing our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deferred income taxes that we will eventually have to pay once we are no longer in an overall NOL carryforward position,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changes in our net working capital position.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Management compensates for the above-described limitations in using EBITDA, Adjusted EBITDA and Adjusted Free Cash Flow as non-GAAP financial measures by only using EBITDA, Adjusted EBITDA and Adjusted Free Cash Flow to supplement our GAAP results.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capital requirements have historically been financed with cash flows from operations, proceeds from issuances of our debt and common equity securities, borrowings under our revolving credit and term loan agreements and cash received from the sale of assets. We require capital to fund on-going operations, discretionary ongoing vessel-modification projects, vessel recertifications, discretionary capital expenditures and debt service and may require capital to fund potential future vessel construction, retrofit or conversion projects, acquisitions, dividends, equity repurchases or the retirement of debt. We believe that existing cash and cash equivalents, available borrowing capacity under our undrawn First Lien Revolving Credit Facility and anticipated positive cash flows from operations will be sufficient to support working capital, maintenance, commercial and growth capital expenditures and other cash requirements for at least the next 12 months and, based on our current expectations, for the foreseeable future thereafter. We believe that existing cash and cash equivalents, available borrowing capacity under our undrawn First Lien Revolving Credit Facility and anticipated positive cash flows from operations will be sufficient to support working capital, maintenance, commercial and growth capital expenditures and other cash requirements for at least the next 12 months and, based on our current expectations, for the foreseeable future thereafter. </w:t>
      </w:r>
    </w:p>
    <w:p>
      <w:pPr>
        <w:pStyle w:val="TextBody"/>
        <w:bidi w:val="0"/>
        <w:spacing w:before="240" w:after="0"/>
        <w:jc w:val="left"/>
        <w:rPr>
          <w:rFonts w:ascii="Times New Roman" w:hAnsi="Times New Roman"/>
          <w:sz w:val="20"/>
        </w:rPr>
      </w:pPr>
      <w:r>
        <w:rPr>
          <w:rFonts w:ascii="Times New Roman" w:hAnsi="Times New Roman"/>
          <w:sz w:val="20"/>
        </w:rPr>
        <w:t xml:space="preserve">As of and for the nine months ended September 30, 2025, we were in compliance with all applicable financial covenants under the First Lien Credit Agreement and Second Lien Credit Agreement. There were no revolving loan amounts outstanding under the First Lien Revolving Credit Facility as of such date and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facility to remain undrawn for the foreseeable future. As of September 30, 2025 and December 31, 2024, we had total cash and cash equivalents of $97.8 million and $80.8 million, respectively, and restricted cash of $0.0 million and $0.8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Years Ended December 31, 2024,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our cash flows for the years ended December 31, 2024, 2023 and 2022. </w:t>
      </w:r>
    </w:p>
    <w:p>
      <w:pPr>
        <w:pStyle w:val="TextBody"/>
        <w:bidi w:val="0"/>
        <w:spacing w:before="240" w:after="0"/>
        <w:jc w:val="left"/>
        <w:rPr>
          <w:rFonts w:ascii="Times New Roman" w:hAnsi="Times New Roman"/>
          <w:sz w:val="20"/>
        </w:rPr>
      </w:pPr>
      <w:r>
        <w:rPr>
          <w:rFonts w:ascii="Times New Roman" w:hAnsi="Times New Roman"/>
          <w:i/>
          <w:sz w:val="20"/>
        </w:rPr>
        <w:t>Operating Activities</w:t>
      </w:r>
      <w:r>
        <w:rPr>
          <w:rFonts w:ascii="Times New Roman" w:hAnsi="Times New Roman"/>
          <w:sz w:val="20"/>
        </w:rPr>
        <w:t xml:space="preserve">. We rely primarily on cash flows from operations to provide working capital for current and future operations, to fund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$16.5 million, $146.1 million and $113.0 million for the years ended December 31, 2024, 2023 and 2022, respectively. Operating cash flows for the years ended December 31, 2024, 2023 and 2022 were favorably affected by improved market conditions for our vessels. The $33.1 million growth in net cash provided by operating activities in 2023 was primarily the result of a substantial increase in cash receipts from customers driven by a 30.2% increase in vessel revenues due to higher average dayrates and active fleet count for our OSVs and MPSVs, including the effects of recent vessel acquisitions. Operating cash flows for 2024 were unfavorably affected by the refinancing of $74.4 million of accumulated PIK interest included in the principal balance of the Second Lien Term Loans due 2026, an increase in operating expense from newly acquired vessels, deferred drydocking charges from vessel recertifications and postponed offering costs. </w:t>
      </w:r>
    </w:p>
    <w:p>
      <w:pPr>
        <w:pStyle w:val="TextBody"/>
        <w:bidi w:val="0"/>
        <w:spacing w:before="240" w:after="0"/>
        <w:jc w:val="left"/>
        <w:rPr>
          <w:rFonts w:ascii="Times New Roman" w:hAnsi="Times New Roman"/>
          <w:sz w:val="20"/>
        </w:rPr>
      </w:pPr>
      <w:r>
        <w:rPr>
          <w:rFonts w:ascii="Times New Roman" w:hAnsi="Times New Roman"/>
          <w:i/>
          <w:sz w:val="20"/>
        </w:rPr>
        <w:t>Investing Activities</w:t>
      </w:r>
      <w:r>
        <w:rPr>
          <w:rFonts w:ascii="Times New Roman" w:hAnsi="Times New Roman"/>
          <w:sz w:val="20"/>
        </w:rPr>
        <w:t xml:space="preserve">. Net cash used in investing activities was $120.0 million, $168.3 million and $109.2 million for 2024, 2023 and 2022, respectively. Net cash used during 2024 was primarily attributable to the purchase of the final vessel delivered from ECO Acquisitions #2, costs related to the conversion of one OSV into a SOV/flotel, costs related to the construction of the two MPSV newbuilds and maintenance capital improvements for active vessels. Net cash used during 2023 and 2022 was primarily attributable to vessel acquisitions, partially offset by proceeds from vessel sales. </w:t>
      </w:r>
    </w:p>
    <w:p>
      <w:pPr>
        <w:pStyle w:val="TextBody"/>
        <w:bidi w:val="0"/>
        <w:spacing w:before="240" w:after="0"/>
        <w:jc w:val="left"/>
        <w:rPr>
          <w:rFonts w:ascii="Times New Roman" w:hAnsi="Times New Roman"/>
          <w:sz w:val="20"/>
        </w:rPr>
      </w:pPr>
      <w:r>
        <w:rPr>
          <w:rFonts w:ascii="Times New Roman" w:hAnsi="Times New Roman"/>
          <w:i/>
          <w:sz w:val="20"/>
        </w:rPr>
        <w:t>Financing Activities</w:t>
      </w:r>
      <w:r>
        <w:rPr>
          <w:rFonts w:ascii="Times New Roman" w:hAnsi="Times New Roman"/>
          <w:sz w:val="20"/>
        </w:rPr>
        <w:t xml:space="preserve">. Net cash provided by (used in) financing activities was $68.3 million, $(76.0) million and $32.9 million for 2024, 2023 and 2022, respectively. Cash provided by financing activities in 2024 was primarily attributable to proceeds from the Second Lien Term Loans due 2033 offset by the repayment of the Second Lien Term Loans due 2026, the repurchase of common stock and outstanding stock-based compensation awards, payments for deferred issuance costs related to the First Lien Revolving Credit Facility due 2029 and Second Lien Term Loans due 2033, and employee taxes related to shares withheld from vested and net-share-settled restricted stock unit awards. Cash used in financing activities for 2023 was primarily attributable to the payoff of the remaining principal balance of the Replacement First Lien Term Loans in the third quarter of 2023. Net cash provided by financing activities for the year ended December 31, 2022 primarily resulted from the proceeds received from the delayed draw term loans that were funded under the Replacement First Lien Term Loans, partially offset by a partial repayment of the Replacement First Lien Term Loans.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Nine Months Ended September 30,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our cash flows for the nine months ended September 30, 2025 and 2024. </w:t>
      </w:r>
    </w:p>
    <w:p>
      <w:pPr>
        <w:pStyle w:val="TextBody"/>
        <w:bidi w:val="0"/>
        <w:spacing w:before="240" w:after="0"/>
        <w:jc w:val="left"/>
        <w:rPr>
          <w:rFonts w:ascii="Times New Roman" w:hAnsi="Times New Roman"/>
          <w:sz w:val="20"/>
        </w:rPr>
      </w:pPr>
      <w:r>
        <w:rPr>
          <w:rFonts w:ascii="Times New Roman" w:hAnsi="Times New Roman"/>
          <w:i/>
          <w:sz w:val="20"/>
        </w:rPr>
        <w:t>Operating Activities</w:t>
      </w:r>
      <w:r>
        <w:rPr>
          <w:rFonts w:ascii="Times New Roman" w:hAnsi="Times New Roman"/>
          <w:sz w:val="20"/>
        </w:rPr>
        <w:t xml:space="preserve">. We rely primarily on cash flows from operations to provide working capital for current and future operations, to fund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$97.0 million and $75.1 million for the nine months ended September 30, 2025 and 2024, respectively. Operating cash flows for the first nine months of 2025 were favorably affected by an increase in vessel revenues.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Investing Activities</w:t>
      </w:r>
      <w:r>
        <w:rPr>
          <w:rFonts w:ascii="Times New Roman" w:hAnsi="Times New Roman"/>
          <w:sz w:val="20"/>
        </w:rPr>
        <w:t xml:space="preserve">. Net cash used in investing activities was $78.2 million and $85.3 million for the nine months ended September 30, 2025 and 2024, respectively. Cash used in investing activities was primarily attributable to costs related to the conversion of one OSV into a SOV/flotel, the construction of the two MPSV newbuilds, as well as maintenance and commercial capital improvements for active vessels, partially offset by net proceeds from the sale of one U.S.-flagged, HOS 265 class DP-2 OSV at a substantial gain. </w:t>
      </w:r>
    </w:p>
    <w:p>
      <w:pPr>
        <w:pStyle w:val="TextBody"/>
        <w:bidi w:val="0"/>
        <w:spacing w:before="240" w:after="0"/>
        <w:jc w:val="left"/>
        <w:rPr>
          <w:rFonts w:ascii="Times New Roman" w:hAnsi="Times New Roman"/>
          <w:sz w:val="20"/>
        </w:rPr>
      </w:pPr>
      <w:r>
        <w:rPr>
          <w:rFonts w:ascii="Times New Roman" w:hAnsi="Times New Roman"/>
          <w:i/>
          <w:sz w:val="20"/>
        </w:rPr>
        <w:t>Financing Activities</w:t>
      </w:r>
      <w:r>
        <w:rPr>
          <w:rFonts w:ascii="Times New Roman" w:hAnsi="Times New Roman"/>
          <w:sz w:val="20"/>
        </w:rPr>
        <w:t xml:space="preserve">. Net cash used in financing activities was $4.0 million and $5.8 million for the nine months ended September 30, 2025 and 2024, respectively. Cash used in financing activities was primarily attributable to the financing costs incurred and principal payment on the Second Lien Term Loans due 2033 and tax payments made by us for employee taxes related to shares withheld from vested and net-share-settled restricted stock unit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Contracted Backlog </w:t>
      </w:r>
    </w:p>
    <w:p>
      <w:pPr>
        <w:pStyle w:val="TextBody"/>
        <w:bidi w:val="0"/>
        <w:spacing w:before="120" w:after="0"/>
        <w:jc w:val="left"/>
        <w:rPr>
          <w:rFonts w:ascii="Times New Roman" w:hAnsi="Times New Roman"/>
          <w:sz w:val="20"/>
        </w:rPr>
      </w:pPr>
      <w:r>
        <w:rPr>
          <w:rFonts w:ascii="Times New Roman" w:hAnsi="Times New Roman"/>
          <w:sz w:val="20"/>
        </w:rPr>
        <w:t xml:space="preserve">Our total contracted revenue backlog was $776.9 million as of October 31, 2025, which we calculate as the dayrates of contracted vessel days multiplied by the contracted days for such vessels.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Tender Offer, MIP Repurchases and Second Lien Debt Refinancing </w:t>
      </w:r>
    </w:p>
    <w:p>
      <w:pPr>
        <w:pStyle w:val="TextBody"/>
        <w:bidi w:val="0"/>
        <w:spacing w:before="120" w:after="0"/>
        <w:jc w:val="left"/>
        <w:rPr>
          <w:rFonts w:ascii="Times New Roman" w:hAnsi="Times New Roman"/>
          <w:i/>
          <w:sz w:val="20"/>
        </w:rPr>
      </w:pPr>
      <w:r>
        <w:rPr>
          <w:rFonts w:ascii="Times New Roman" w:hAnsi="Times New Roman"/>
          <w:i/>
          <w:sz w:val="20"/>
        </w:rPr>
        <w:t xml:space="preserve">2024 Tender Offer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2024, we commenced an offer to purchase for cash up to an aggregate purchase price of $78,200,000 of our common stock, Jones Act Warrants and Creditor Warrants at a price of $65.67 per security (less, solely with respect to tendered Creditor Warrants accepted in the offer, the applicable exercise price) (the “2024 Tender Offer”). Pursuant to the 2024 Tender Offer, 5,303,553 shares of common stock, 10,811,735 Jones Act Warrants and 956,930 Creditor Warrants were validly tendered and not withdrawn, and on December 31, 2024 we accepted for purchase 272,298 shares of common stock, 883,303 Jones Act Warrants and 62,294 Creditor Warrants, for an aggregate purchase price of approximately $78.2 million. We used a portion of the proceeds from the Second Lien Term Loans due 2033, together with cash on hand, to fund the 2024 Tender Offer and to pay fees and expenses related thereto. </w:t>
      </w:r>
    </w:p>
    <w:p>
      <w:pPr>
        <w:pStyle w:val="TextBody"/>
        <w:bidi w:val="0"/>
        <w:spacing w:before="360" w:after="0"/>
        <w:jc w:val="left"/>
        <w:rPr>
          <w:rFonts w:ascii="Times New Roman" w:hAnsi="Times New Roman"/>
          <w:i/>
          <w:sz w:val="20"/>
        </w:rPr>
      </w:pPr>
      <w:r>
        <w:rPr>
          <w:rFonts w:ascii="Times New Roman" w:hAnsi="Times New Roman"/>
          <w:i/>
          <w:sz w:val="20"/>
        </w:rPr>
        <w:t xml:space="preserve">2024 MIP Repurchases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we accelerated the vesting of an aggregate of 38,273 stock options, 66,116 restricted stock units and 10,245 performance stock units, and repurchased from employees and non-employee directors the shares of common stock underlying such accelerated stock options, restricted stock units and performance stock units, as well as 2,316 shares of common stock previously issued upon settlement of stock-based compensation awards, at a price equal to $65.67 per share (less, solely with respect to such options, the applicable exercise price) for an aggregate purchase price of approximately $7.3 million (such repurchases, the “2024 MIP Repurchases”). The 2024 MIP Repurchases were not made pursuant to the 2024 Tender Offer, and were open to all employees and non-employee directors that held stock options, restricted stock units and performance stock units. We used a portion of the proceeds from the Second Lien Term Loans due 2033, together with cash on hand, to fund the 2024 MIP Repurchases.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Second Lien Debt Refinancing </w:t>
      </w:r>
    </w:p>
    <w:p>
      <w:pPr>
        <w:pStyle w:val="TextBody"/>
        <w:bidi w:val="0"/>
        <w:spacing w:before="120" w:after="0"/>
        <w:jc w:val="left"/>
        <w:rPr>
          <w:rFonts w:ascii="Times New Roman" w:hAnsi="Times New Roman"/>
          <w:sz w:val="20"/>
        </w:rPr>
      </w:pPr>
      <w:r>
        <w:rPr>
          <w:rFonts w:ascii="Times New Roman" w:hAnsi="Times New Roman"/>
          <w:sz w:val="20"/>
        </w:rPr>
        <w:t xml:space="preserve">On December 27, 2024, we entered into the Second Lien Credit Agreement with Stonebriar Commercial Finance, LLC, as administrative agent, and Wilmington Trust, National Association, as collateral trustee, and the lenders party thereto, providing for $450.0 million of second-lien term loans with a maturity date of January 1, 2033, all of which were drawn on December 27, 2024, resulting in proceeds of $443.3 million, net of a 1.5% origination fee. We utilized such proceeds to (i) repay in full the then-outstanding $349.0 million, including accumulated paid-in-kind interest, of Second Lien Term Loans due 2026, (ii) pay $7.0 million of related accrued cash interest, (iii) pay a $5.1 million associated redemption fee, (iv) pay $0.1 million in non-lender fees and expenses, and (v) partially fund the repurchase of $78.4 million of certain equity securities and $7.1 million of outstanding stock-based compensation awards associated with the 2024 Tender Offer and the 2024 MIP Repurchases, respectively. See “—Debt Agreements” below for additional information regarding the Second Lien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Agreements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$448.3 million of outstanding principal amount of Second Lien Term Loans due 2033 that bear interest at a fixed annual interest rate of 9.25% and mature in January 2033. There were no amounts outstanding under the First Lien Revolving Credit Facility as of such date, and we expect such facility to remain undrawn for the foreseeable future. As of September 30, 2025, we had the following outstanding debt (in thousands, except effective interest rate):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1359"/>
        <w:gridCol w:w="185"/>
        <w:gridCol w:w="182"/>
        <w:gridCol w:w="1062"/>
        <w:gridCol w:w="60"/>
        <w:gridCol w:w="185"/>
        <w:gridCol w:w="174"/>
        <w:gridCol w:w="1297"/>
        <w:gridCol w:w="275"/>
        <w:gridCol w:w="128"/>
        <w:gridCol w:w="220"/>
        <w:gridCol w:w="924"/>
        <w:gridCol w:w="60"/>
        <w:gridCol w:w="185"/>
        <w:gridCol w:w="2378"/>
      </w:tblGrid>
      <w:tr>
        <w:trPr/>
        <w:tc>
          <w:tcPr>
            <w:tcW w:w="135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13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Debt(1)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Effective</w:t>
              <w:br/>
              <w:t>Interest Rate(1)</w:t>
            </w:r>
          </w:p>
        </w:tc>
        <w:tc>
          <w:tcPr>
            <w:tcW w:w="27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Interest</w:t>
              <w:br/>
              <w:t>Payments(1)(2)</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378" w:type="dxa"/>
            <w:tcBorders>
              <w:bottom w:val="single" w:sz="8" w:space="0" w:color="000000"/>
            </w:tcBorders>
            <w:tcMar>
              <w:bottom w:w="28" w:type="dxa"/>
            </w:tcMar>
            <w:vAlign w:val="bottom"/>
          </w:tcPr>
          <w:p>
            <w:pPr>
              <w:pStyle w:val="TableContents"/>
              <w:bidi w:val="0"/>
              <w:spacing w:before="0" w:after="283"/>
              <w:jc w:val="center"/>
              <w:rPr>
                <w:b/>
              </w:rPr>
            </w:pPr>
            <w:r>
              <w:rPr>
                <w:b/>
              </w:rPr>
              <w:t>Payment Dates(2)</w:t>
            </w:r>
          </w:p>
        </w:tc>
      </w:tr>
      <w:tr>
        <w:trPr/>
        <w:tc>
          <w:tcPr>
            <w:tcW w:w="1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18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 — 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378" w:type="dxa"/>
            <w:tcBorders/>
            <w:shd w:fill="CCEEFF" w:val="clear"/>
            <w:vAlign w:val="bottom"/>
          </w:tcPr>
          <w:p>
            <w:pPr>
              <w:pStyle w:val="TableContents"/>
              <w:bidi w:val="0"/>
              <w:jc w:val="left"/>
              <w:rPr/>
            </w:pPr>
            <w:r>
              <w:rPr/>
              <w:t>Variable</w:t>
            </w:r>
          </w:p>
          <w:p>
            <w:pPr>
              <w:pStyle w:val="TableContents"/>
              <w:bidi w:val="0"/>
              <w:spacing w:before="0" w:after="20"/>
              <w:jc w:val="left"/>
              <w:rPr>
                <w:rFonts w:ascii="Times New Roman" w:hAnsi="Times New Roman"/>
                <w:sz w:val="20"/>
              </w:rPr>
            </w:pPr>
            <w:r>
              <w:rPr>
                <w:rFonts w:ascii="Times New Roman" w:hAnsi="Times New Roman"/>
                <w:sz w:val="20"/>
              </w:rPr>
              <w:t>(determined on date of draw)</w:t>
            </w:r>
          </w:p>
        </w:tc>
      </w:tr>
      <w:tr>
        <w:trPr/>
        <w:tc>
          <w:tcPr>
            <w:tcW w:w="1359"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 net of original issue discount of $6,044 and deferred financing costs of $1,986</w:t>
            </w:r>
          </w:p>
        </w:tc>
        <w:tc>
          <w:tcPr>
            <w:tcW w:w="18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440,314</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9.25</w:t>
            </w:r>
          </w:p>
        </w:tc>
        <w:tc>
          <w:tcPr>
            <w:tcW w:w="27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3,456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378" w:type="dxa"/>
            <w:tcBorders/>
            <w:vAlign w:val="bottom"/>
          </w:tcPr>
          <w:p>
            <w:pPr>
              <w:pStyle w:val="TableContents"/>
              <w:bidi w:val="0"/>
              <w:spacing w:before="0" w:after="283"/>
              <w:jc w:val="left"/>
              <w:rPr/>
            </w:pPr>
            <w:r>
              <w:rPr/>
              <w:t>First day of each month</w:t>
            </w:r>
          </w:p>
        </w:tc>
      </w:tr>
      <w:tr>
        <w:trPr/>
        <w:tc>
          <w:tcPr>
            <w:tcW w:w="135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9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378" w:type="dxa"/>
            <w:tcBorders/>
            <w:vAlign w:val="bottom"/>
          </w:tcPr>
          <w:p>
            <w:pPr>
              <w:pStyle w:val="TableContents"/>
              <w:bidi w:val="0"/>
              <w:spacing w:before="0" w:after="283"/>
              <w:jc w:val="left"/>
              <w:rPr>
                <w:sz w:val="4"/>
                <w:szCs w:val="4"/>
              </w:rPr>
            </w:pPr>
            <w:r>
              <w:rPr>
                <w:sz w:val="4"/>
                <w:szCs w:val="4"/>
              </w:rPr>
            </w:r>
          </w:p>
        </w:tc>
      </w:tr>
      <w:tr>
        <w:trPr/>
        <w:tc>
          <w:tcPr>
            <w:tcW w:w="1359"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440,314</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9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2378" w:type="dxa"/>
            <w:tcBorders/>
            <w:shd w:fill="CCEEFF" w:val="clear"/>
            <w:vAlign w:val="bottom"/>
          </w:tcPr>
          <w:p>
            <w:pPr>
              <w:pStyle w:val="TableContents"/>
              <w:bidi w:val="0"/>
              <w:spacing w:before="0" w:after="283"/>
              <w:jc w:val="left"/>
              <w:rPr>
                <w:sz w:val="4"/>
                <w:szCs w:val="4"/>
              </w:rPr>
            </w:pPr>
            <w:r>
              <w:rPr>
                <w:sz w:val="4"/>
                <w:szCs w:val="4"/>
              </w:rPr>
            </w:r>
          </w:p>
        </w:tc>
      </w:tr>
      <w:tr>
        <w:trPr/>
        <w:tc>
          <w:tcPr>
            <w:tcW w:w="135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9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378"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2025, there were no revolving loan amounts outstanding under the $75.0 million First Lien Revolving Credit Facility due 2029. The undrawn commitments under the First Lien Revolving Credit Facility are subject to an unused fee of 1.0% per annum, paid quarterly, as applicable. Please see Note 8 to our consolidated financial statements for further discussion of the interest rate applicable to the First Lien Revolving Credit Facility.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2025, we are required to make monthly, interest-only payments under the Second Lien Term Loans due 2033. However, beginning January 1, 2026, monthly principal and interest payments will commence on the first day of each month until a final balloon payment in the amount of all unpaid principal, accrued and unpaid interest becomes due on January 1, 2033.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First Lien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we entered into a First Lien Revolving Credit Facility with DNB Bank ASA, New York Branch, as administrative agent, Wilmington Trust, National Association, as collateral agent, and the lenders party thereto. All capitalized terms in the description below not defined herein have the meaning assigned to them in such agreement. The current aggregate commitments for the Revolving Loans under the First Lien Revolving Credit Facility total $75 million, all of which remain undrawn. The First Lien Revolving Credit Facility also has a customary uncommitted incremental facility in an amount up to $50 million (or such greater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will mature on the earlier of (i) the fifth anniversary of the Credit Agreement Closing Date or (ii) the date the Revolving Loans are declared due and payable following the occurrence and during the continuation of an event of default. Borrowings under the First Lien Revolving Credit Facility will be comprised of Base Rate Loans or SOFR Rate Loans, at the option of the Borrower, and accrue interest as follows: (A) for Revolving Loans that are Base Rate Loans, a rate ranging from 1.75% to 2.75% (depending on the total net leverage ratio in effect at such time) per annum, plus the greatest of, subject to a 0.00% floor: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engage in transactions with affiliates and make asset sales, in each case, subject to customary exceptions and baskets. The First Lien Revolving Credit Facility is subject to financial covenants that require us to have (i) a maximum First Lien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First Lien Revolving Credit Facility collateral coverage ratio (measured by total Revolving Loan commitments, whether or not drawn) of no less than 3.00 to 1.00, in each case, tested on the facility closing date, and thereafter as of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the financial covenants, together with other customary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Second Lien Term Loans </w:t>
      </w:r>
    </w:p>
    <w:p>
      <w:pPr>
        <w:pStyle w:val="TextBody"/>
        <w:bidi w:val="0"/>
        <w:spacing w:before="120" w:after="0"/>
        <w:jc w:val="left"/>
        <w:rPr>
          <w:rFonts w:ascii="Times New Roman" w:hAnsi="Times New Roman"/>
          <w:sz w:val="20"/>
        </w:rPr>
      </w:pPr>
      <w:r>
        <w:rPr>
          <w:rFonts w:ascii="Times New Roman" w:hAnsi="Times New Roman"/>
          <w:sz w:val="20"/>
        </w:rPr>
        <w:t xml:space="preserve">On December 27, 2024, we entered into the Second Lien Term Loan Credit Agreement with Stonebriar Commercial Finance, LLC, as administrative agent, and Wilmington Trust, National Association, as collateral trustee, and the lenders party thereto, providing for $450.0 million of second-lien term loans with a maturity date of January 1, 2033, all of which were drawn on December 27, 2024.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scheduled to be repaid in (i) 12 consecutive equal monthly installments of interest, payable on the first day of each month commencing on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We may fully prepay all amounts due under the Second Lien Credit Agreement at any time prior to maturity, subject to the prepayment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fee schedule set forth below. We are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we are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guaranteed by certain of our domestic and foreign subsidiaries and are secured by a second priority security interest in, and lien on, all our U.S.-flagged vessels. The credit agreement contains customary representations and warranties, covenants and events of default, but only one financial maintenance covenant, which is a $25.0 million minimum cash liquidity requirement. The carrying value of our Second Lien Term Loans due 2033 approximates their fair value. </w:t>
      </w:r>
    </w:p>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and as of September 30, 2025, we were in compliance with all applicable financial covenants under our First Lien Revolving Credit Facility and Second Lien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and Related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costs incurred for the purposes set forth below for the nine months ended September 30, 2025 and 2024, and for the years ended December 31, 2024, 2023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95"/>
        <w:gridCol w:w="199"/>
        <w:gridCol w:w="140"/>
        <w:gridCol w:w="802"/>
        <w:gridCol w:w="60"/>
        <w:gridCol w:w="199"/>
        <w:gridCol w:w="140"/>
        <w:gridCol w:w="802"/>
        <w:gridCol w:w="60"/>
        <w:gridCol w:w="199"/>
        <w:gridCol w:w="140"/>
        <w:gridCol w:w="802"/>
        <w:gridCol w:w="60"/>
        <w:gridCol w:w="199"/>
        <w:gridCol w:w="140"/>
        <w:gridCol w:w="802"/>
        <w:gridCol w:w="59"/>
        <w:gridCol w:w="199"/>
        <w:gridCol w:w="140"/>
        <w:gridCol w:w="802"/>
        <w:gridCol w:w="66"/>
      </w:tblGrid>
      <w:tr>
        <w:trPr/>
        <w:tc>
          <w:tcPr>
            <w:tcW w:w="419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1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6" w:type="dxa"/>
            <w:tcBorders/>
            <w:vAlign w:val="bottom"/>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 Expenditures:</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95" w:type="dxa"/>
            <w:tcBorders/>
          </w:tcPr>
          <w:p>
            <w:pPr>
              <w:pStyle w:val="TableContents"/>
              <w:bidi w:val="0"/>
              <w:spacing w:before="0" w:after="0"/>
              <w:jc w:val="left"/>
              <w:rPr>
                <w:rFonts w:ascii="Times New Roman" w:hAnsi="Times New Roman"/>
                <w:i/>
                <w:sz w:val="20"/>
              </w:rPr>
            </w:pPr>
            <w:r>
              <w:rPr>
                <w:rFonts w:ascii="Times New Roman" w:hAnsi="Times New Roman"/>
                <w:i/>
                <w:sz w:val="20"/>
              </w:rPr>
              <w:t>Maintenance Capital Expenditures</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drydocking charges</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47,853</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38,101</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59,491</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29,828</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19,114</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capital improvements</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15,370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15,775</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16,171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7,745</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3,758</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63,223</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53,876</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75,662</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37,573</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22,872</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i/>
                <w:sz w:val="20"/>
              </w:rPr>
            </w:pPr>
            <w:r>
              <w:rPr>
                <w:rFonts w:ascii="Times New Roman" w:hAnsi="Times New Roman"/>
                <w:i/>
                <w:sz w:val="20"/>
              </w:rPr>
              <w:t>Growth Capital Expenditures(1)(2)</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MPSV Newbuild Construction</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34,771</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16,437</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35,173</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sz w:val="20"/>
              </w:rPr>
            </w:pPr>
            <w:r>
              <w:rPr>
                <w:rFonts w:ascii="Times New Roman" w:hAnsi="Times New Roman"/>
                <w:sz w:val="20"/>
              </w:rPr>
              <w:t>ECO Acquisitions</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20,316</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20,363</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119,449</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60,848</w:t>
            </w:r>
          </w:p>
        </w:tc>
        <w:tc>
          <w:tcPr>
            <w:tcW w:w="66" w:type="dxa"/>
            <w:tcBorders/>
            <w:vAlign w:val="bottom"/>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MARAD acquisition</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9,098</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55,199</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34,771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36,753</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55,536</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128,547</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116,047</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Commercial Capital Expenditures(2)</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33,789</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32,137</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47,619</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33,864</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10,949</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i/>
                <w:sz w:val="20"/>
              </w:rPr>
            </w:pPr>
            <w:r>
              <w:rPr>
                <w:rFonts w:ascii="Times New Roman" w:hAnsi="Times New Roman"/>
                <w:i/>
                <w:sz w:val="20"/>
              </w:rPr>
              <w:t>Non-vessel Capital Expenditures</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7,461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707</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753</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1,087</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1,328</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41,250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32,844</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48,372</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34,951</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12,277</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139,244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123,473</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179,570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201,071</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151,196</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purchase price of constructed or acquired vessels, plus the costs incurred to place such vessels into active service, as necessary.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include associated capitalized interest, as applicable.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Maintenance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Maintenance capital expenditures consist of deferred drydocking charges, which are capitalized to Deferred Charges on the consolidated balance sheet, and maintenance capital improvements, which are capitalized to Property, Plant and Equipment on the consolidated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 they are incurred. We elect to defer and amortize recertification costs, or deferred drydocking charges, over the length of time that the recertification is expected to last, which is generally 30 months on average. Deferred drydocking charges vary year-to-year depending on the number of vessels with expiring certifications in a given year. We completed 24 recertification drydockings in 2024 and have completed eight recertification drydockings during the nine months ended September 30, 2025. We plan to complete five additional recertification drydockings by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Maintenance capital improvements include major replacements of, or improvements to, vessel systems, structures and equipment to enhance operability or extend the vessel’s useful life. The costs of such improvements are typically capitalized and depreciated over the vessel’s remaining useful life. Variability in maintenance capital improvements year-to-year is primarily driven by the number of required recertification drydockings in a given year as we utilize the downtime during the planned shipyard event as an opportunity to complete the discretionary vessel improvements. </w:t>
      </w:r>
    </w:p>
    <w:p>
      <w:pPr>
        <w:pStyle w:val="TextBody"/>
        <w:bidi w:val="0"/>
        <w:spacing w:before="360" w:after="0"/>
        <w:jc w:val="left"/>
        <w:rPr>
          <w:rFonts w:ascii="Times New Roman" w:hAnsi="Times New Roman"/>
          <w:i/>
          <w:sz w:val="20"/>
        </w:rPr>
      </w:pPr>
      <w:r>
        <w:rPr>
          <w:rFonts w:ascii="Times New Roman" w:hAnsi="Times New Roman"/>
          <w:i/>
          <w:sz w:val="20"/>
        </w:rPr>
        <w:t xml:space="preserve">Growth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We undertake growth capital expenditures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MPSV Newbuild Construction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contracted by the Surety to complete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costs. As of September 30, 2025, we have fulfilled our $42.6 million contractual obligation and all remaining construction costs are to be paid by the Surety to Eastern. </w:t>
      </w:r>
    </w:p>
    <w:p>
      <w:pPr>
        <w:pStyle w:val="TextBody"/>
        <w:bidi w:val="0"/>
        <w:spacing w:before="240" w:after="0"/>
        <w:jc w:val="left"/>
        <w:rPr>
          <w:rFonts w:ascii="Times New Roman" w:hAnsi="Times New Roman"/>
          <w:sz w:val="20"/>
        </w:rPr>
      </w:pPr>
      <w:r>
        <w:rPr>
          <w:rFonts w:ascii="Times New Roman" w:hAnsi="Times New Roman"/>
          <w:sz w:val="20"/>
        </w:rPr>
        <w:t xml:space="preserve">Following physical delivery by the shipyard, each vessel is expected to undergo crane and other system installations and both vessels are expected to be available for commercial service in 2027. In addition to the fully satisfied $42.6 million contractual obligation, we expect to incur an additional $87.1 million in the aggregate for outfitting, engineering, overhead and the post-delivery discretionary enhancements, of which $59.6 million solely relates to the purchase and installation of the cranes. As of September 30, 2025, we had incurred $21.9 million of such incremental amounts, excluding capitalized interest. Once placed in service, we expect that our book carrying value for each vessel will approximate $80.0 million, including estimated capitalized interest, which is significantly below the expected market value of Jones Act-qualified vessels of this type, size and specifications.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Commercial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 of cranes, ROVs, helidecks, living quarters, and other specialized vessel equipment. Recovery of the related costs are typically included in and offset, in whole or in part, by higher dayrates charged to customers in a lump-sum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 </w:t>
      </w:r>
    </w:p>
    <w:p>
      <w:pPr>
        <w:pStyle w:val="TextBody"/>
        <w:bidi w:val="0"/>
        <w:spacing w:before="360" w:after="0"/>
        <w:jc w:val="left"/>
        <w:rPr>
          <w:rFonts w:ascii="Times New Roman" w:hAnsi="Times New Roman"/>
          <w:b/>
          <w:sz w:val="20"/>
        </w:rPr>
      </w:pPr>
      <w:r>
        <w:rPr>
          <w:rFonts w:ascii="Times New Roman" w:hAnsi="Times New Roman"/>
          <w:b/>
          <w:sz w:val="20"/>
        </w:rPr>
        <w:t xml:space="preserve">HOS C/SOV + Flotel Delivery </w:t>
      </w:r>
    </w:p>
    <w:p>
      <w:pPr>
        <w:pStyle w:val="TextBody"/>
        <w:bidi w:val="0"/>
        <w:spacing w:before="120" w:after="0"/>
        <w:jc w:val="left"/>
        <w:rPr>
          <w:rFonts w:ascii="Times New Roman" w:hAnsi="Times New Roman"/>
          <w:sz w:val="20"/>
        </w:rPr>
      </w:pPr>
      <w:r>
        <w:rPr>
          <w:rFonts w:ascii="Times New Roman" w:hAnsi="Times New Roman"/>
          <w:sz w:val="20"/>
        </w:rPr>
        <w:t xml:space="preserve">In July 2023, we announced that we had contracted Eastern to convert one of our U.S.-flagged, Jones Act-qualified, HOSMAX 280 class DP-2 OSVs acquired from MARAD into a MPSV for dual-service as either a C/SOV or flotel to meet the growing demand of the U.S. offshore wind or oilfield markets for large personnel accommodations with “walk-to-work” capability. Following delivery from the shipyard in early November 2025, the converted vessel was placed into active service and will commence a charter to support an offshore wind project off the U.S. East Coast. The total cost of the conversion is estimated to be $96.0 million, including owner-furnished equipment, outfitting, engineering and overhead costs. Our HOS C/SOV+Flotel MPSV is capable of providing services to the U.S. offshore wind market both during the commissioning phase of an offshore wind farm and during its operational life, as well as to offshore facilities engaged in the exploration and production of hydrocarbons. </w:t>
      </w:r>
    </w:p>
    <w:p>
      <w:pPr>
        <w:pStyle w:val="TextBody"/>
        <w:bidi w:val="0"/>
        <w:spacing w:before="360" w:after="0"/>
        <w:jc w:val="left"/>
        <w:rPr>
          <w:rFonts w:ascii="Times New Roman" w:hAnsi="Times New Roman"/>
          <w:i/>
          <w:sz w:val="20"/>
        </w:rPr>
      </w:pPr>
      <w:r>
        <w:rPr>
          <w:rFonts w:ascii="Times New Roman" w:hAnsi="Times New Roman"/>
          <w:i/>
          <w:sz w:val="20"/>
        </w:rPr>
        <w:t xml:space="preserve">Non-Vessel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Non-vessel capital expenditures primarily relate to fixed asset additions or improvements related to our port facility, office locations, information technology, non-vessel property, plant and equipment or other shoreside support initiatives.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notes set forth our aggregate contractual obligations under our existing debt agreements, non-cancellable property and equipment leases, and vessel construction and conversion programs as of September 30, 2025 (in thousands). These amounts do not include expected capital spending or other related costs that were not contractually committed as of September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7"/>
        <w:gridCol w:w="189"/>
        <w:gridCol w:w="140"/>
        <w:gridCol w:w="817"/>
        <w:gridCol w:w="60"/>
        <w:gridCol w:w="189"/>
        <w:gridCol w:w="169"/>
        <w:gridCol w:w="835"/>
        <w:gridCol w:w="60"/>
        <w:gridCol w:w="189"/>
        <w:gridCol w:w="140"/>
        <w:gridCol w:w="817"/>
        <w:gridCol w:w="60"/>
        <w:gridCol w:w="189"/>
        <w:gridCol w:w="140"/>
        <w:gridCol w:w="816"/>
        <w:gridCol w:w="60"/>
        <w:gridCol w:w="189"/>
        <w:gridCol w:w="167"/>
        <w:gridCol w:w="973"/>
        <w:gridCol w:w="69"/>
      </w:tblGrid>
      <w:tr>
        <w:trPr/>
        <w:tc>
          <w:tcPr>
            <w:tcW w:w="3937"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93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w:t>
              <w:br/>
              <w:t>1 Year</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1-3 Years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3-5 Years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Thereafter</w:t>
            </w:r>
          </w:p>
        </w:tc>
        <w:tc>
          <w:tcPr>
            <w:tcW w:w="69" w:type="dxa"/>
            <w:tcBorders/>
            <w:vAlign w:val="bottom"/>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Crane purchase contracts(1)</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25,163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20,588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4,575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3"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Loans(2)</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448,326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22,715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77,046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92,974</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255,591</w:t>
            </w:r>
          </w:p>
        </w:tc>
        <w:tc>
          <w:tcPr>
            <w:tcW w:w="69" w:type="dxa"/>
            <w:tcBorders/>
            <w:vAlign w:val="bottom"/>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payments(3)</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214,387</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41,422</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73,206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57,277</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42,482</w:t>
            </w:r>
          </w:p>
        </w:tc>
        <w:tc>
          <w:tcPr>
            <w:tcW w:w="69" w:type="dxa"/>
            <w:tcBorders/>
            <w:shd w:fill="CCEEFF" w:val="clear"/>
            <w:vAlign w:val="bottom"/>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Non-cancellable leases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42,769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8,750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15,611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7,265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11,143</w:t>
            </w:r>
          </w:p>
        </w:tc>
        <w:tc>
          <w:tcPr>
            <w:tcW w:w="69" w:type="dxa"/>
            <w:tcBorders/>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730,645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93,475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170,438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6" w:type="dxa"/>
            <w:tcBorders/>
            <w:shd w:fill="CCEEFF" w:val="clear"/>
            <w:vAlign w:val="bottom"/>
          </w:tcPr>
          <w:p>
            <w:pPr>
              <w:pStyle w:val="TableContents"/>
              <w:bidi w:val="0"/>
              <w:spacing w:before="0" w:after="283"/>
              <w:jc w:val="right"/>
              <w:rPr/>
            </w:pPr>
            <w:r>
              <w:rPr/>
              <w:t>157,516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3" w:type="dxa"/>
            <w:tcBorders/>
            <w:shd w:fill="CCEEFF" w:val="clear"/>
            <w:vAlign w:val="bottom"/>
          </w:tcPr>
          <w:p>
            <w:pPr>
              <w:pStyle w:val="TableContents"/>
              <w:bidi w:val="0"/>
              <w:spacing w:before="0" w:after="283"/>
              <w:jc w:val="right"/>
              <w:rPr/>
            </w:pPr>
            <w:r>
              <w:rPr/>
              <w:t>309,216</w:t>
            </w:r>
          </w:p>
        </w:tc>
        <w:tc>
          <w:tcPr>
            <w:tcW w:w="69" w:type="dxa"/>
            <w:tcBorders/>
            <w:shd w:fill="CCEEFF" w:val="clear"/>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7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our contractual agreement to purchase five active heave compensated knuckle boom cranes, consisting of two 250T cranes and three 70T cranes. Two 250T and two 70T cranes are designated for installation on the two MPSV newbuilds currently under construction, while the remaining 70T crane is intended for future installation on an existing vessel. Contractual amounts reflect the equipment acquisition costs covered under the purchase agreement and excludes currently non-contractually obligated costs, such as shipping and installation costs. See “—Capital Expenditures and Related Commitments—MPSV Newbuild Construction” for further discussion related to the crane installation and expected costs related to the two MPSV newbuilds.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Second Lien Term Loans due 2033 mature on January 1, 2033 with monthly principal payments commencing January 1, 2026. Please see Note 11 to our consolidated financial statements within the Annual Report as of and for the year ended December 31, 2024 for further discussion regarding payment obligations under the Second Lien Term Loans due 2033.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December 27, 2024, we entered into a second-lien term loan credit agreement with Stonebriar Commercial Finance, LLC, as administrative agent, and Wilmington Trust, National Association, as collateral trustee, and the lenders party thereto, providing for $450.0 million of second-lien term loans that bear interest at a fixed annual interest rate of 9.25% and mature on January 1, 2033. As of September 30, 2025, there were no amounts drawn on our $75.0 million First Lien Revolving Credit Facility due 2029. The First Lien Revolving Credit Facility is subject to a quarterly unused fee of 1.0% per annum, as applicable, that is excluded from these amounts.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 </w:t>
      </w:r>
    </w:p>
    <w:p>
      <w:pPr>
        <w:pStyle w:val="TextBody"/>
        <w:bidi w:val="0"/>
        <w:spacing w:before="240" w:after="0"/>
        <w:jc w:val="left"/>
        <w:rPr>
          <w:rFonts w:ascii="Times New Roman" w:hAnsi="Times New Roman"/>
          <w:sz w:val="20"/>
        </w:rPr>
      </w:pPr>
      <w:r>
        <w:rPr>
          <w:rFonts w:ascii="Times New Roman" w:hAnsi="Times New Roman"/>
          <w:i/>
          <w:sz w:val="20"/>
        </w:rPr>
        <w:t>Revenue Recognition</w:t>
      </w:r>
      <w:r>
        <w:rPr>
          <w:rFonts w:ascii="Times New Roman" w:hAnsi="Times New Roman"/>
          <w:sz w:val="20"/>
        </w:rPr>
        <w:t xml:space="preserve">. The services that we provide represent a single performance obligation under our contracts that are satisfied at a point in time or over time. Revenues are earned primarily by (1) chartering our vessels, including the operation of such vessels, (2) providing vessel management services to third party vessel owners, and (3) providing shore-based port facility services, including rental of land. Revenues associated with performance obligations satisfied over time are recognized on a daily basis throughout the contract period. </w:t>
      </w:r>
    </w:p>
    <w:p>
      <w:pPr>
        <w:pStyle w:val="TextBody"/>
        <w:bidi w:val="0"/>
        <w:spacing w:before="240" w:after="0"/>
        <w:jc w:val="left"/>
        <w:rPr>
          <w:rFonts w:ascii="Times New Roman" w:hAnsi="Times New Roman"/>
          <w:sz w:val="20"/>
        </w:rPr>
      </w:pPr>
      <w:r>
        <w:rPr>
          <w:rFonts w:ascii="Times New Roman" w:hAnsi="Times New Roman"/>
          <w:sz w:val="20"/>
        </w:rPr>
        <w:t xml:space="preserve">Typically, our application of ASC 606, Revenue from Contracts with Customers 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 contract 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We have not incurred a material adjustment to revenues as a result of changes in our estimates and assumptions associated with customer contracts during the nine months ended September 30, 2025 or during the years ended December 31, 2024, 2023 or 2022. Please see further discussion regarding revenues generated from contracts with customers in Note 4 to our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Allowance for Doubtful Accounts</w:t>
      </w:r>
      <w:r>
        <w:rPr>
          <w:rFonts w:ascii="Times New Roman" w:hAnsi="Times New Roman"/>
          <w:sz w:val="20"/>
        </w:rPr>
        <w:t xml:space="preserve">. Our customers are primarily major and independent, domestic and international, oil and gas and oilfield service companies and national oil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Liability-Classified Warrants</w:t>
      </w:r>
      <w:r>
        <w:rPr>
          <w:rFonts w:ascii="Times New Roman" w:hAnsi="Times New Roman"/>
          <w:sz w:val="20"/>
        </w:rPr>
        <w:t xml:space="preserve">. Common stock warrants are accounted for as either equity instruments or liabilities depending on the specific terms of the applicable warrant agreement. Our outstanding Creditor Warrants were previously classified as liabilities pursuant to ASC 815, Derivatives and Hedging due to certain anti-dilution provisions in the Creditor Warrant Agreement. On December 10, 2024, the Creditor Warrant Agreement was amended to remove such anti-dilution provisions. As a result, the Creditor Warrants are now effectively indexed to our common stock and are thus accounted for as stockholders’ equity since the effective date of the amendment. While classified as a liability, the Creditor Warrants were recorded at their estimated fair value on a recurring basis at each balance sheet date. To estimate their fair value, we, assisted by third-party valuation advisors, used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Our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weighted-average cost of capital and an exit multiple. The fair value of the Creditor Warrants fell within Level 3 of the hierarchy as there is currently no active trading market and certain inputs of the Black-Scholes model are not observable or corroborated by available market data. Based on the lack of trading history of our privately-held equity, we consider the estimated fair value of our common stock to be the most critical assumption in the determination of the fair value of the Creditor Warrants. At December 10, 2024, the date of the amendment to the Creditor Warrant Agreement, every one-dollar change in the estimated fair value per share of the underlying common stock would have had an approximate $1.5 million impact on the estimated fair value of the Creditor Warrants.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reclassification of the warrants to stockholders’ equity resulting from the amendment to the Creditor Warrant Agreement, changes in the estimated fair value of our liability-classified warrants were recognized as a non-cash gain or loss on the consolidated statements of operations. All outstanding warrants are reassessed each reporting period to determine whether their classification continues to be appropriate. Please see further discussion of the inputs and assumptions related to the fair value estimates of our liability-classified warrants in Note 12 to our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awards are accounted for in accordance with ASC 718, Compensation – Stock Compensation, which requires all share-based payments to our employees and directors to be recognized in the consolidated financial statements based on their fair values on the grant date. The fair value of the underlying common stock is based upon a valuation of our equity developed with the assistance of third-party valuation experts using a combination of income and market approaches as of the appropriate measurement date. We recognize compensation expense on a straight-line basis over the expected vesting period of stock-based awards that are ultimately expected to vest based on their estimated fair value on the grant date. Forfeitures are recognized during the period in which they actually occur. Estimates of the fair value of the underlying common stock will not be necessary to determine the fair value of any new awards once the underlying shares begin trading following public registration. Please see further discussion regarding our stock-based compensation in Note 14 to our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Income Taxes</w:t>
      </w:r>
      <w:r>
        <w:rPr>
          <w:rFonts w:ascii="Times New Roman" w:hAnsi="Times New Roman"/>
          <w:sz w:val="20"/>
        </w:rPr>
        <w:t xml:space="preserve">. We follow accounting standards for income taxes that require the use of the liability method of computing deferred income taxes. 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for the period ended December 31, 2022, ASC 740 precluded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$220.6 million and $264.6 million recorded against our deferred tax assets as of December 31, 2024 and 2023, respectively. Such valuation allowances were established because we determined that it was more likely than not such NOL, FTC carryforwards and other deferred tax assets may not be fully utilized prior to their expiration. In addition, each reporting period, we assess and adjust for any significant changes to our liability for unrecognized income tax benefits. We account for any interest and penalties relating to uncertain tax positions in interest expense and G&amp;A expense, respectively. We have made an accounting policy election to account for global intangible low-taxed income, or GILTI, in the year the tax is incurred. Please see further discussion regarding income taxes in Note 15 to our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Legal Contingencies</w:t>
      </w:r>
      <w:r>
        <w:rPr>
          <w:rFonts w:ascii="Times New Roman" w:hAnsi="Times New Roman"/>
          <w:sz w:val="20"/>
        </w:rPr>
        <w:t xml:space="preserve">. We are involved in a variety of claims, lawsuits, investigations and proceedings, as described in Note 17 to our consolidated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 </w:t>
      </w:r>
    </w:p>
    <w:p>
      <w:pPr>
        <w:pStyle w:val="TextBody"/>
        <w:bidi w:val="0"/>
        <w:spacing w:before="240" w:after="0"/>
        <w:jc w:val="left"/>
        <w:rPr>
          <w:rFonts w:ascii="Times New Roman" w:hAnsi="Times New Roman"/>
          <w:sz w:val="20"/>
        </w:rPr>
      </w:pPr>
      <w:r>
        <w:rPr>
          <w:rFonts w:ascii="Times New Roman" w:hAnsi="Times New Roman"/>
          <w:sz w:val="20"/>
        </w:rPr>
        <w:t xml:space="preserve">Recertification Costs. Our vessels are required by regulation to be recertified after certain periods of time. These recertification costs are incurred while the vessel is in drydock where other routine repairs and maintenance are also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24 to 36 months on average. Major replacements and improvements, which extend the vessel’s useful life or increase its functional operating capability, are capitalized and depreciated over the vessel’s remaining useful life. Inherent in this process are judgments we make regarding whether the specific cost incurred is capitalizable and the period that the incurred cost will benefit. For the nine months ended September 30, 2025, we incurred $47.9 million in deferred drydocking costs, and for the years ended 2024, 2023 and 2022, we incurred deferred drydocking costs totaling $59.5 million, $29.8 million and $19.1 million, respectively. A change in policy from defer-and-amortize to expense-as-incurred could materially impact our results of operations in future periods. No such change is anticipated.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Second Lien Term Loans currently bear interest at a fixed annual interest rate of 9.25%. Borrowings under the First Lien Revolving Credit Facility will be comprised of Base Rate Loans or SOFR Rate Loans (each as defined in the First Lien Credit Agreement), at our option, and accrue interest as follows: (A) for Revolving Loans that are Base Rate Loans, a rate ranging from 1.75% to 2.75% (depending on the total net leverage ratio in effect at such time) per annum, plus the greatest of, subject to a 0.00% floor: (a) the Prime Rate (as defined in the First Lien Credit Agreement) in effect on such day, (b) the Federal Funds Rate (as defined in the First Lien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in effect on such day plus 0.50%, and (c) the Adjusted Term SOFR (as defined in the First Lien Credit Agreement)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(as defined in the First Lien Credit Agreement) rate, subject to a 0.00% floor, plus a credit spread adjustment of 0.10% per annum. Accordingly, changes in market interest rates may have a material impact on our results of operations and cash flows. See “—Liquidity and Capital Resources—Debt Agreements”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Risk </w:t>
      </w:r>
    </w:p>
    <w:p>
      <w:pPr>
        <w:pStyle w:val="TextBody"/>
        <w:bidi w:val="0"/>
        <w:spacing w:before="120" w:after="0"/>
        <w:jc w:val="left"/>
        <w:rPr>
          <w:rFonts w:ascii="Times New Roman" w:hAnsi="Times New Roman"/>
          <w:sz w:val="20"/>
        </w:rPr>
      </w:pPr>
      <w:r>
        <w:rPr>
          <w:rFonts w:ascii="Times New Roman" w:hAnsi="Times New Roman"/>
          <w:sz w:val="20"/>
        </w:rPr>
        <w:t xml:space="preserve">Our financial instruments that can be affected by foreign currency exchange rate fluctuations consist primarily of cash and cash equivalents, trade receivables, trade payables and intercompany debt denominated in currencies other than the U.S. dollar or the functional currency of certain of our consolidated subsidiaries.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spot or forward derivative financial instruments as of September 30, 2025 or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rom65571_9"/>
      <w:bookmarkEnd w:id="10"/>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HADR and aerospace support services. We own a fleet of 74 offshore vessels comprised of 15 MPSVs, two of which are under construction, and 59 OSVs. In addition, we provide ongoing operation and maintenance of four highly specialized OSVs (which we previously developed, constructed, and sold to the U.S. Navy) via a long-term O&amp;M contract. Since our founding nearly 30 years ago, we have focused on providing innovative,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240" w:after="0"/>
        <w:jc w:val="left"/>
        <w:rPr>
          <w:rFonts w:ascii="Times New Roman" w:hAnsi="Times New Roman"/>
          <w:sz w:val="20"/>
        </w:rPr>
      </w:pPr>
      <w:r>
        <w:rPr>
          <w:rFonts w:ascii="Times New Roman" w:hAnsi="Times New Roman"/>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47 vessels are classified as either high- or ultra-high spec and have an expected remaining economic useful life that exceeds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is capable of generating enhanced returns for our investors.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240" w:after="0"/>
        <w:jc w:val="left"/>
        <w:rPr>
          <w:rFonts w:ascii="Times New Roman" w:hAnsi="Times New Roman"/>
          <w:sz w:val="20"/>
        </w:rPr>
      </w:pPr>
      <w:r>
        <w:rPr>
          <w:rFonts w:ascii="Times New Roman" w:hAnsi="Times New Roman"/>
          <w:sz w:val="20"/>
        </w:rPr>
        <w:t xml:space="preserve">Our fleet of 15 MPSVs provides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have the ability to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Given the breadth of capabilities of our MPSV fleet, our vessels are highly relevant to our customers across a broad range of end-markets that we serve, including oilfield infrastructure construction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strategically repositioned our fleet to capture value across these diversified end-markets. As of September 30, 2025, approximately 68% of our trailing twelve-month revenues were derived from oilfield specialty and non-oilfield services, providing a more consistent operating environment for our Company that is less impacted by industry cyclicality associated with oilfield drilling operations. </w:t>
      </w:r>
    </w:p>
    <w:p>
      <w:pPr>
        <w:pStyle w:val="TextBody"/>
        <w:bidi w:val="0"/>
        <w:spacing w:before="240" w:after="0"/>
        <w:jc w:val="left"/>
        <w:rPr>
          <w:rFonts w:ascii="Times New Roman" w:hAnsi="Times New Roman"/>
          <w:sz w:val="20"/>
        </w:rPr>
      </w:pPr>
      <w:r>
        <w:rPr>
          <w:rFonts w:ascii="Times New Roman" w:hAnsi="Times New Roman"/>
          <w:sz w:val="20"/>
        </w:rPr>
        <w:t xml:space="preserve">Included in our pro forma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industry-leading technologies that will make them some of the most sophisticated MPSVs in the world. Each vessel will be equipped with one 250-ton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fleet of 59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high-specification OSVs alongside our MPSV fleet to support major projects, creating logistical efficiencies and vessel-bundling opportunities that increase utilization and enhance both our operational and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strengths of our OSVs and MPSVs are further enhanced by several complementary shore-based assets and service offerings we have developed since our formation. We own and operate a shore-base facility in Port Fourchon, Louisiana, providing approximately 60 acres and nearly 3,000 linear feet of proprietary dock space capable of providing staging, storage, dispatch, and dockage services for customers and our fleet of vessels. In combination with HOSLIFT, a 7,700 mT floating drydock, we are able to efficiently conduct ongoing maintenance and topside repairs of our vessels, as well as upgrade and replace installed equipment. Our in-house engineering capabilities, comprised of approximately 14 individuals who specialize in naval architecture and marine engineering, provide a point of differentiation from our competitors by allowing us to design, modify and reconfigure vessels tailored to specific jobs and customer requirements. These capabilities are highly valuable in an evolving industry and allow us to quickly respond to dynamic customer needs and capitalize on emerging market opportunities. As an example, we recently completed the conversion of one of our U.S.-flagged HOSMAX 280-class OSVs into a dual-service MPSV capable of operating as either a C/SOV for offshore wind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farm development or as a flotel for offshore oilfields. Immediately upon delivery in November 2025, the converted MPSV was placed into active service on a contract providing support to an offshore wind project development off the U.S. East Coast. Finally, we and certain personnel possess government security clearances necessary to participate in U.S. government tendering for highly sensitive, mission-critical projects affecting U.S. national security interests. </w:t>
      </w:r>
    </w:p>
    <w:p>
      <w:pPr>
        <w:pStyle w:val="TextBody"/>
        <w:bidi w:val="0"/>
        <w:spacing w:before="240" w:after="0"/>
        <w:jc w:val="left"/>
        <w:rPr>
          <w:rFonts w:ascii="Times New Roman" w:hAnsi="Times New Roman"/>
          <w:sz w:val="20"/>
        </w:rPr>
      </w:pPr>
      <w:r>
        <w:rPr>
          <w:rFonts w:ascii="Times New Roman" w:hAnsi="Times New Roman"/>
          <w:sz w:val="20"/>
        </w:rPr>
        <w:t xml:space="preserve">At Hornbeck, our mission is to be recognized as the marine transportation and service “Company of Choice” for our customers, employees and investors through innovative, high-quality and value-added business solutions delivered with enthusiasm, integrity and professionalism with the utmost regard for safety of individuals and the protection of the environment. With an average of nearly 40 years of experience in the maritime industry, we believe that our executives and senior leadership team have the capabilities to successfully compete in the offshore vessel business and execute the strategy that best positions us to effectively outperform our peers in a demanding and dynamic operating environment. </w:t>
      </w:r>
    </w:p>
    <w:p>
      <w:pPr>
        <w:pStyle w:val="TextBody"/>
        <w:bidi w:val="0"/>
        <w:spacing w:before="240" w:after="0"/>
        <w:jc w:val="left"/>
        <w:rPr>
          <w:rFonts w:ascii="Times New Roman" w:hAnsi="Times New Roman"/>
          <w:sz w:val="20"/>
        </w:rPr>
      </w:pPr>
      <w:r>
        <w:rPr>
          <w:rFonts w:ascii="Times New Roman" w:hAnsi="Times New Roman"/>
          <w:sz w:val="20"/>
        </w:rPr>
        <w:t xml:space="preserve">Our core geographic markets include the United States and Latin America. Across each of these markets, we provide our customers with a range of maritime transportation services covering a variety of customer end-markets. We predominantly serve our oilfield customers in the GoA, the Caribbean, Northern South America and Brazil, while our vessels serving non-oilfield customers primarily operate along the East and West Coasts of the United States and the U.S. GoA. When not operating in Mexico, we operate our Mexican-flagged vessels across the U.S., Caribbean, Northern South America and Brazil, as well as in other international markets, utilizing a highly-skilled workforce of Mexican mariners and shore-side support teams that have been trained in our safety systems and culture. </w:t>
      </w:r>
    </w:p>
    <w:p>
      <w:pPr>
        <w:pStyle w:val="TextBody"/>
        <w:bidi w:val="0"/>
        <w:spacing w:before="240" w:after="0"/>
        <w:jc w:val="left"/>
        <w:rPr>
          <w:rFonts w:ascii="Times New Roman" w:hAnsi="Times New Roman"/>
          <w:sz w:val="20"/>
        </w:rPr>
      </w:pPr>
      <w:r>
        <w:rPr>
          <w:rFonts w:ascii="Times New Roman" w:hAnsi="Times New Roman"/>
          <w:sz w:val="20"/>
        </w:rPr>
        <w:t xml:space="preserve">A map illustrating our active vessel locations as of October 31, 2025, is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4831080" cy="43770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31080" cy="43770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Our Competitive Strengths </w:t>
      </w:r>
    </w:p>
    <w:p>
      <w:pPr>
        <w:pStyle w:val="TextBody"/>
        <w:bidi w:val="0"/>
        <w:spacing w:before="120" w:after="0"/>
        <w:jc w:val="left"/>
        <w:rPr>
          <w:rFonts w:ascii="Times New Roman" w:hAnsi="Times New Roman"/>
          <w:b/>
          <w:i/>
          <w:sz w:val="20"/>
        </w:rPr>
      </w:pPr>
      <w:r>
        <w:rPr>
          <w:rFonts w:ascii="Times New Roman" w:hAnsi="Times New Roman"/>
          <w:b/>
          <w:i/>
          <w:sz w:val="20"/>
        </w:rPr>
        <w:t xml:space="preserve">Large and diverse fleet of technologically advanced high-spec and ultra high-spec vessels </w:t>
      </w:r>
    </w:p>
    <w:p>
      <w:pPr>
        <w:pStyle w:val="TextBody"/>
        <w:bidi w:val="0"/>
        <w:spacing w:before="120" w:after="0"/>
        <w:jc w:val="left"/>
        <w:rPr>
          <w:rFonts w:ascii="Times New Roman" w:hAnsi="Times New Roman"/>
          <w:sz w:val="20"/>
        </w:rPr>
      </w:pPr>
      <w:r>
        <w:rPr>
          <w:rFonts w:ascii="Times New Roman" w:hAnsi="Times New Roman"/>
          <w:sz w:val="20"/>
        </w:rPr>
        <w:t xml:space="preserve">Over the past 28 years, we have assembled a multi-class fleet of 59 OSVs and 15 MPSVs through a total of six serial multi-vessel newbuild programs and eight consolidating acquisitions of one or more vessels. Since 2014, we have focused on expanding our line of high-spec and ultra high-spec vessels, increasing our fleet of such vessels from 41% of our fleet in 2014 to nearly 75% of our fleet in 2025. High-spec and ultra high-spec vessels are typically the youngest vessels available in the industry, incorporate sophisticated technologies that are designed specifically to operate safely in complex and challenging environments, and are equipped with specialty equipment and other features to respond to the needs of our customers through the project development and operational lifecycle of an offshore oilfield. These technologies include DP, roll-reduction systems and controllable pitch thrusters, which allow our vessels to maintain a fixed position with minimal variance. Our cargo-handling systems permit high-volume transfer rates of liquid mud and dry bulk materials. In addition, we are able to outfit our vessels with specialty equipment and certain features as needed for specific projects. The greater fuel efficiency, larger cargo-carrying capacity, advanced mud-handling systems and other technical features of our high-spec and ultra high-spec vessels enhance offshore project efficiency and create a compelling value proposition for our customers. As a result of our fleet mix, in-house engineering capabilities, shore-base facility, modular equipment inventory, operations history and market strategies, we believe that we earn higher average dayrates compared to our competitors. According to industry data from Fearnley Offshore Supply, our average dayrates were 41%, 20% and 42% higher than the global average term rates of comparably sized vessels owned by other operators in 2023, 2024, and the nine months ended September 30,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Our active fleet is comprised of some of the newest vessels in the industry with an average remaining life of 21 years based on a 35-year economic useful life. The modern composition of our fleet drives lower maintenance capital requirements and should allow us to maximize both the margin potential and free cash flow generation of our active asset base.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Leading presence in the United States and Latin America </w:t>
      </w:r>
    </w:p>
    <w:p>
      <w:pPr>
        <w:pStyle w:val="TextBody"/>
        <w:bidi w:val="0"/>
        <w:spacing w:before="120" w:after="0"/>
        <w:jc w:val="left"/>
        <w:rPr>
          <w:rFonts w:ascii="Times New Roman" w:hAnsi="Times New Roman"/>
          <w:sz w:val="20"/>
        </w:rPr>
      </w:pPr>
      <w:r>
        <w:rPr>
          <w:rFonts w:ascii="Times New Roman" w:hAnsi="Times New Roman"/>
          <w:sz w:val="20"/>
        </w:rPr>
        <w:t xml:space="preserve">Hornbeck was established in 1997 and has one of the most capable and high-spec fleets of vessels in the industry. Based on publicly-available information compiled by us and data provided by Spinergie, we believe that our fleet of 40 high-spec and ultra high-spec OSVs, totaling 213,019 in DWT capacity, represents 6.1% of the 3,470,604 total DWT capacity of such vessels in the world, making Hornbeck the third largest fleet out of 174 companies that own and operate high-spec or ultra high-spec OSVs worldwide. Furthermore, we believe that our fleet of 16 U.S.-flagged ultra high-spec OSVs, totaling 98,720 in DWT capacity, represents the largest fleet of such vessels operating in the United States, as measured by DWT capacity. Additionally, we are one of the top operators of OSVs, based on DWT capacity, in each of our two core geographic regions, which includes 2,371,826 DWT capacity and constitutes 42.0% of the total supply of 5,653,016 DWT capacity to such markets. Our 45 U.S.-flagged OSVs, totaling 202,714 in DWT capacity, comprise the second largest fleet of technologically advanced, OSVs qualified for work in the U.S. under the Jones Act. As of October 31, 2025, our active fleet of OSVs and MPSVs consisted of 31 vessels operating in the U.S. and 16 vessels operating in Latin America as follows: (i) 13 U.S.-flagged OSVs, one Mexican-flagged OSV and five MPSVs in the U.S. GoA, (ii) six OSVs and three MPSVs throughout the U.S. Atlantic, (iii) two OSVs and one MPSV in the U.S. Pacific, (iv) nine OSVs offshore Brazil, (v) two OSVs offshore Suriname, (vi) two OSVs offshore Colombia and (vii) two OSVs and one MPSV offshore Mexico. We believe that having scale in our core markets with the flexibility to transfer vessels among proximate regions benefits our customers and provides us with commercial optionality and operating efficiencies.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Diversified service offerings and customer markets provide greater stability to cash flows </w:t>
      </w:r>
    </w:p>
    <w:p>
      <w:pPr>
        <w:pStyle w:val="TextBody"/>
        <w:bidi w:val="0"/>
        <w:spacing w:before="120" w:after="0"/>
        <w:jc w:val="left"/>
        <w:rPr>
          <w:rFonts w:ascii="Times New Roman" w:hAnsi="Times New Roman"/>
          <w:sz w:val="20"/>
        </w:rPr>
      </w:pPr>
      <w:r>
        <w:rPr>
          <w:rFonts w:ascii="Times New Roman" w:hAnsi="Times New Roman"/>
          <w:sz w:val="20"/>
        </w:rPr>
        <w:t xml:space="preserve">We have well-established relationships with leading oilfield and non-oilfield companies, as well as the U.S. government, and believe these recurring customers will continue to require our diversified service offerings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oilfield and non-oilfield markets. Our diversified service offerings allow us to adapt to our customers’ evolving needs and gives our customers confidence to commit to longer-term contracts for our services, in turn providing us greater cash flow stability. Additionally, these large, integrated customers are financially stable and can better withstand economic or market downturns in a volatile market, and we believe maintaining relationships with these long-standing customers will ultimately result in better visibility to vessel utilization and greater liquidity for us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Attractive non-oilfield growth opportunities </w:t>
      </w:r>
    </w:p>
    <w:p>
      <w:pPr>
        <w:pStyle w:val="TextBody"/>
        <w:bidi w:val="0"/>
        <w:spacing w:before="120" w:after="0"/>
        <w:jc w:val="left"/>
        <w:rPr>
          <w:rFonts w:ascii="Times New Roman" w:hAnsi="Times New Roman"/>
          <w:sz w:val="20"/>
        </w:rPr>
      </w:pPr>
      <w:r>
        <w:rPr>
          <w:rFonts w:ascii="Times New Roman" w:hAnsi="Times New Roman"/>
          <w:sz w:val="20"/>
        </w:rPr>
        <w:t xml:space="preserve">Our fleet of technologically advanced high-spec and ultra high-spec vessels is increasingly being deployed to serve the growing needs of the U.S. Military, renewable energy, and aerospace industries. Most of these high-growth markets require U.S.-flagged Jones Act-qualified vessels, which can be custom tailored to address a broad spectrum of services. For these applications, our vessels are typically contracted for more than three years, providing a counter-balance to cyclicality experienced in our oilfield end-markets.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Robust Free Cash Flow Generation Potential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our growing fleet, differentiated business model, diverse service offerings and varied end-customer relationships, we have generated consistently increasing total revenue since 2022 and we believe our fleet quality and commercial strategy will continue to allow us to achieve dayrates and margins in excess of our public peers. Relative to our margins, modest amounts of capital are required to maintain the quality and availability of our vessels. As a result of our financing activities completed in 2024, our balance sheet is conservatively capitalized with ample liquidity and modest amortizing long-term debt with nominal call protection. Together, these components position us to continue generating substantial free cash flow on an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Strong market position due to qualification under the Jones Act </w:t>
      </w:r>
    </w:p>
    <w:p>
      <w:pPr>
        <w:pStyle w:val="TextBody"/>
        <w:bidi w:val="0"/>
        <w:spacing w:before="120" w:after="0"/>
        <w:jc w:val="left"/>
        <w:rPr>
          <w:rFonts w:ascii="Times New Roman" w:hAnsi="Times New Roman"/>
          <w:sz w:val="20"/>
        </w:rPr>
      </w:pPr>
      <w:r>
        <w:rPr>
          <w:rFonts w:ascii="Times New Roman" w:hAnsi="Times New Roman"/>
          <w:sz w:val="20"/>
        </w:rPr>
        <w:t xml:space="preserve">With one of the largest fleets of the most capable and highest capacity Jones Act-qualified vessels, we believe Hornbeck is well-positioned to capitalize on increasing demand for such vessels. The United States has strict cabotage laws that provide insulation from most sources of foreign competition for our U.S. fleet for coastwise services.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Successful track record of strategic newbuild programs and vessel acquisitions </w:t>
      </w:r>
    </w:p>
    <w:p>
      <w:pPr>
        <w:pStyle w:val="TextBody"/>
        <w:bidi w:val="0"/>
        <w:spacing w:before="120" w:after="0"/>
        <w:jc w:val="left"/>
        <w:rPr>
          <w:rFonts w:ascii="Times New Roman" w:hAnsi="Times New Roman"/>
          <w:sz w:val="20"/>
        </w:rPr>
      </w:pPr>
      <w:r>
        <w:rPr>
          <w:rFonts w:ascii="Times New Roman" w:hAnsi="Times New Roman"/>
          <w:sz w:val="20"/>
        </w:rPr>
        <w:t xml:space="preserve">We have assembled our fleet through a combination of strategic newbuilds and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This expertise has aided in the development of two pending newbuild MPSVs set to be delivered in 2027. Given their robust specifications and capabilities, these vessels are expected to provide meaningful revenue contribution in the future with minimal additional growth capital required. From time to time, we consider opportunistic acquisitions of single vessels, vessel fleets, and businesses that strategically complement our existing operations to enable us to grow our business and better serve our customers. Since 2022, we have successfully completed the acquisition of 19 high- and ultra high-spec OSVs. Over that same time period, we have completed the sale of 17 OSVs, all of which were stacked low, mid and high-spec vessels, for aggregate net proceeds of $38.1 million, resulting in an aggregate net gain of $36.4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Complementary Shore-Based Assets and Highly-Skilled In-House Engineering Personnel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fleet of OSVs and MPSVs, we own and operate complementary shore-based infrastructure assets and employ highly-skilled maritime engineering personnel who facilitate maintenance of our vessels and deliver highly customizable solutions for our customers. Central to this differentiated portfolio is HOS Port, a 66-acre shore-based facility in Port Fourchon, Louisiana boasting nearly 3,000 linear feet of proprietary dock space providing staging, storage, dispatch, and dockage services for our fleet. In addition, our HOSLIFT 7,700 mT floating drydock vertically integrates our maintenance regimen, increasing flexibility and providing negotiating leverage with shipyards in the region. HOS Port is also home to HOS Rental Equipment, a portfolio of 52 customization modules that can be deployed in a plug-and-play fashion to efficiently customize our vessels to the needs of a particular project or client. These modules include specialized service equipment including A-frames, winches, and cranes, as well as “Walk-to-Work” gangways and accommodation annexes (e.g., berthing, laundry, galley, office, lounge, and gym facilities). </w:t>
      </w:r>
    </w:p>
    <w:p>
      <w:pPr>
        <w:pStyle w:val="TextBody"/>
        <w:bidi w:val="0"/>
        <w:spacing w:before="240" w:after="0"/>
        <w:jc w:val="left"/>
        <w:rPr>
          <w:rFonts w:ascii="Times New Roman" w:hAnsi="Times New Roman"/>
          <w:sz w:val="20"/>
        </w:rPr>
      </w:pPr>
      <w:r>
        <w:rPr>
          <w:rFonts w:ascii="Times New Roman" w:hAnsi="Times New Roman"/>
          <w:sz w:val="20"/>
        </w:rPr>
        <w:t xml:space="preserve">Our extensive infrastructure and customization modules allow our in-house team of naval architects and marine engineers to design a vessel’s loadout to the exact specifications of a project. This integration provides us with the ability to pursue more diversified end-markets that require bespoke solutions outside of traditional transportation operations. This value proposition was exemplified on the HOS Briarwood where we converted a 310 class Jones Act OSV to a MPSV with berthing for 130 personnel, a 100 mT crane, and an S-92 compatible helideck. The conversion took approximately 207 days and required investment of $13 million. As a result, the average dayrate of this vessel increased from $37,000 per day to $78,000 per day, implying a 1.6-year payback period. When assessed against the cost and timeline of newbuild construction, we are positioned to meet demands that arise in the market more quickly and economically, allowing us to capture value as it arises. </w:t>
      </w:r>
    </w:p>
    <w:p>
      <w:pPr>
        <w:pStyle w:val="TextBody"/>
        <w:bidi w:val="0"/>
        <w:spacing w:before="240" w:after="0"/>
        <w:jc w:val="left"/>
        <w:rPr>
          <w:rFonts w:ascii="Times New Roman" w:hAnsi="Times New Roman"/>
          <w:sz w:val="20"/>
        </w:rPr>
      </w:pPr>
      <w:r>
        <w:rPr>
          <w:rFonts w:ascii="Times New Roman" w:hAnsi="Times New Roman"/>
          <w:sz w:val="20"/>
        </w:rPr>
        <w:t xml:space="preserve">Further, our work with the Government of the United States requires certain levels of security clearances which are difficult to obtain. We and certain personnel possess required clearances to participate in government tendering for certain highly sensitive projects with national security implications.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Experienced management team with proven track record </w:t>
      </w:r>
    </w:p>
    <w:p>
      <w:pPr>
        <w:pStyle w:val="TextBody"/>
        <w:bidi w:val="0"/>
        <w:spacing w:before="120" w:after="0"/>
        <w:jc w:val="left"/>
        <w:rPr>
          <w:rFonts w:ascii="Times New Roman" w:hAnsi="Times New Roman"/>
          <w:sz w:val="20"/>
        </w:rPr>
      </w:pPr>
      <w:r>
        <w:rPr>
          <w:rFonts w:ascii="Times New Roman" w:hAnsi="Times New Roman"/>
          <w:sz w:val="20"/>
        </w:rPr>
        <w:t xml:space="preserve">Our founder-led executive management team has an average of nearly 40 years of domestic and international marine transportation industry-related experience and has worked together at the Company for over 21 years. Our executives are supported by a senior leadership team that we believe has extensive continuity and industry experience that will help to sustain our business and drive long-term growth well into the future. Our team is comprised of individuals with extensive, global experience with backgrounds across many diverse fields including engineering, project management, military service, finance, accounting, tax, legal, risk management and corporate leadership. We believe that our team has successfully demonstrated its ability to grow our fleet through new construction and acquisitions and to secure profitable contracts for our vessels in both favorable and unfavorable market conditions in domestic and foreign markets.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b/>
          <w:i/>
          <w:sz w:val="20"/>
        </w:rPr>
      </w:pPr>
      <w:r>
        <w:rPr>
          <w:rFonts w:ascii="Times New Roman" w:hAnsi="Times New Roman"/>
          <w:b/>
          <w:i/>
          <w:sz w:val="20"/>
        </w:rPr>
        <w:t xml:space="preserve">Pursue differentiated customer offerings to optimize active vessel utilization and free cash flow generation </w:t>
      </w:r>
    </w:p>
    <w:p>
      <w:pPr>
        <w:pStyle w:val="TextBody"/>
        <w:bidi w:val="0"/>
        <w:spacing w:before="120" w:after="0"/>
        <w:jc w:val="left"/>
        <w:rPr>
          <w:rFonts w:ascii="Times New Roman" w:hAnsi="Times New Roman"/>
          <w:sz w:val="20"/>
        </w:rPr>
      </w:pPr>
      <w:r>
        <w:rPr>
          <w:rFonts w:ascii="Times New Roman" w:hAnsi="Times New Roman"/>
          <w:sz w:val="20"/>
        </w:rPr>
        <w:t xml:space="preserve">We seek to balance and diversify our service offerings to customers, to optimize our vessel utilization and stabilize our free cash flow generation. For example, in addition to our long-term charters in oilfield services and with military and renewable energy customers, which contribute to contracted backlog and provide utilization stability, we also seek out short-term charters such as spot oilfield and non-oilfield services that typically have higher dayrates. We believe that Hornbeck is uniquely positioned to execute on this strategy due to the high-spec and diverse nature of our fleet, as well as our ability to quickly adapt vessels to the needs of our customers utilizing our engineering capabilities and shorebase facilities. This contracting strategy balances our financial profile between longer-term charters and the flexibility to capture then prevailing dayrates in a rising market for a portion of our fleet. Our current contracting approach allows us to consistently perform well against our OSV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peers when comparing average OSV dayrates and gross margins. The flexibility of our vessel capabilities is designed to optimize our utilization and allows us to pivot in response to market conditions and customer needs, which can lead to more stable free cash flow generation. We believe the benefits of this contracting strategy are enhanced further in the cabotage-protected geographic locations in which we operate, where our cutting-edge vessels and ability to adapt our fleet stand out even more amongst the more limited set of cabotage-compliant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Leverage our geographic presence in the United States and Latin America and grow industry leading service capabilities </w:t>
      </w:r>
    </w:p>
    <w:p>
      <w:pPr>
        <w:pStyle w:val="TextBody"/>
        <w:bidi w:val="0"/>
        <w:spacing w:before="120" w:after="0"/>
        <w:jc w:val="left"/>
        <w:rPr>
          <w:rFonts w:ascii="Times New Roman" w:hAnsi="Times New Roman"/>
          <w:sz w:val="20"/>
        </w:rPr>
      </w:pPr>
      <w:r>
        <w:rPr>
          <w:rFonts w:ascii="Times New Roman" w:hAnsi="Times New Roman"/>
          <w:sz w:val="20"/>
        </w:rPr>
        <w:t xml:space="preserve">We have strategically chosen to focus our efforts in two core geographic regions, the United States and Latin America. While the U.S. GoA will continue to be a priority for us, in recent years we expanded our presence in each of the Mexico GoA, the East and West Coasts of the United States, the Caribbean, Northern South America and Brazil, as we anticipate long-term growth in those markets. Given the relative proximity of these markets, we are able to readily move our vessels among them and retain flexibility to relocate those vessels back to the U.S. GoA or into adjacent locations across our operating regions. We believe this allows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24% of the total industry supply of such vessels, as measured by DWT capacity. Our vessels have been adapted to operate in a broad range of oilfield specialty configurations, including flotel services, extended-reach well testing, seismic, deepwater and ultra-deepwater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Apply existing, and develop new, technologies to meet our customers’ vessel needs and expand our fleet offerings </w:t>
      </w:r>
    </w:p>
    <w:p>
      <w:pPr>
        <w:pStyle w:val="TextBody"/>
        <w:bidi w:val="0"/>
        <w:spacing w:before="120" w:after="0"/>
        <w:jc w:val="left"/>
        <w:rPr>
          <w:rFonts w:ascii="Times New Roman" w:hAnsi="Times New Roman"/>
          <w:sz w:val="20"/>
        </w:rPr>
      </w:pPr>
      <w:r>
        <w:rPr>
          <w:rFonts w:ascii="Times New Roman" w:hAnsi="Times New Roman"/>
          <w:sz w:val="20"/>
        </w:rPr>
        <w:t xml:space="preserve">Since our founding, our vessel designs have evolved to incorporate ever-increasing levels of automation, machine-learning and autonomy across vessel systems that are now mostly electronically driven. For example, we leveraged our oilfield DP expertise to develop military applications that the U.S. Navy now consistently utilizes. Using increasing levels of automation and autonomy is now at the heart of our business model and such technologies help to reduce operational risk and enhance safety. Our future technological innovation should allow us to embrace semi- or fully-autonomous vessel operations for defense and commercial operations. Our in-house engineering team has been and will continue to be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oceanographic research, telecommunications and HADR customers. Further, we are readily able to reconfigure or retrofit existing assets with existing or new technology to participate in new customer markets such as offshore wind, aerospace and telecommunications. Specifically, we are currently deploying capital to upgrade certain of our vessels to dual-service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Focus on selective acquisitions that are strategically and financially accretive </w:t>
      </w:r>
    </w:p>
    <w:p>
      <w:pPr>
        <w:pStyle w:val="TextBody"/>
        <w:bidi w:val="0"/>
        <w:spacing w:before="120" w:after="0"/>
        <w:jc w:val="left"/>
        <w:rPr>
          <w:rFonts w:ascii="Times New Roman" w:hAnsi="Times New Roman"/>
          <w:sz w:val="20"/>
        </w:rPr>
      </w:pPr>
      <w:r>
        <w:rPr>
          <w:rFonts w:ascii="Times New Roman" w:hAnsi="Times New Roman"/>
          <w:sz w:val="20"/>
        </w:rPr>
        <w:t xml:space="preserve">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fleets, and businesses that strategically complement our existing operations to enable us to grow our business and better serve our customers. For example, we most recently completed the acquisition of 12 high-spec OSVs, which we refer to as the ECO Acquisitions.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Maintain a conservative balance sheet, disciplined growth, and robust free cash flow generation through cycles </w:t>
      </w:r>
    </w:p>
    <w:p>
      <w:pPr>
        <w:pStyle w:val="TextBody"/>
        <w:bidi w:val="0"/>
        <w:spacing w:before="120" w:after="0"/>
        <w:jc w:val="left"/>
        <w:rPr>
          <w:rFonts w:ascii="Times New Roman" w:hAnsi="Times New Roman"/>
          <w:sz w:val="20"/>
        </w:rPr>
      </w:pPr>
      <w:r>
        <w:rPr>
          <w:rFonts w:ascii="Times New Roman" w:hAnsi="Times New Roman"/>
          <w:sz w:val="20"/>
        </w:rPr>
        <w:t xml:space="preserve">We adhere to financial principles designed to maintain a conservative balance sheet, disciplined growth, and robust free cash flow generation. Our balance sheet strategy targets less than 1.0x financial leverage with ample excess liquidity available to withstand industry cycles or take advantage of attractive growth or commercial opportunities. </w:t>
      </w:r>
    </w:p>
    <w:p>
      <w:pPr>
        <w:pStyle w:val="TextBody"/>
        <w:bidi w:val="0"/>
        <w:spacing w:before="240" w:after="0"/>
        <w:jc w:val="left"/>
        <w:rPr>
          <w:rFonts w:ascii="Times New Roman" w:hAnsi="Times New Roman"/>
          <w:sz w:val="20"/>
        </w:rPr>
      </w:pPr>
      <w:r>
        <w:rPr>
          <w:rFonts w:ascii="Times New Roman" w:hAnsi="Times New Roman"/>
          <w:sz w:val="20"/>
        </w:rPr>
        <w:t xml:space="preserve">Our growth strategy involves a disciplined screening of opportunities for differentiated assets that create competitive advantages and is focused on attractive returns and payback periods. Our cash flow generation abilities are centered around maintaining flexible costs and lean organizational structures that seek efficiencies through continuous operational improvement and working capital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Continued commitment to stewardship and safety </w:t>
      </w:r>
    </w:p>
    <w:p>
      <w:pPr>
        <w:pStyle w:val="TextBody"/>
        <w:bidi w:val="0"/>
        <w:spacing w:before="120" w:after="0"/>
        <w:jc w:val="left"/>
        <w:rPr>
          <w:rFonts w:ascii="Times New Roman" w:hAnsi="Times New Roman"/>
          <w:sz w:val="20"/>
        </w:rPr>
      </w:pPr>
      <w:r>
        <w:rPr>
          <w:rFonts w:ascii="Times New Roman" w:hAnsi="Times New Roman"/>
          <w:sz w:val="20"/>
        </w:rPr>
        <w:t xml:space="preserve">Safety is of great importance to us and other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GHGs. Additionally, since 2020, our focus on safely addressing operational risk has contributed to maintaining an industry low TRIR. Our most recent 5-year average TRIR was 0.10, outperforming peer averages from the IMCA and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Because DP excellence is a core competency of ours, we recently placed into service a high-tech DP simulator that provides an interactive and immersive training experience for current and future mariners who serve in DPO roles on our vessels. Configured to incorporate the controls and models of the three brands of DP systems that we use on our vessels, as well as to simulate four different specific vessel types and classes within our fleet, this highly customized design affords DPOs the opportunity to train on the same or substantially similar DP systems installed on our vessels. The simulator provides us with a sophisticated training platform from which to safely train our mariners. Our mariners are engaged in a virtual ship-like environment that can subject them to realistic failure situations in a controlled atmosphere, thus facilitating a dynamic learning process. Our DP simulator is designed to make training more efficient, cost effective and risk free, and ultimately provide an optimum outcome for trainees and the Company. The simulator is located at our headquarters in Covington, Louisiana. </w:t>
      </w:r>
    </w:p>
    <w:p>
      <w:pPr>
        <w:pStyle w:val="TextBody"/>
        <w:bidi w:val="0"/>
        <w:spacing w:before="240" w:after="0"/>
        <w:jc w:val="left"/>
        <w:rPr>
          <w:rFonts w:ascii="Times New Roman" w:hAnsi="Times New Roman"/>
          <w:sz w:val="20"/>
        </w:rPr>
      </w:pPr>
      <w:r>
        <w:rPr>
          <w:rFonts w:ascii="Times New Roman" w:hAnsi="Times New Roman"/>
          <w:sz w:val="20"/>
        </w:rPr>
        <w:t xml:space="preserve">We also provide our chief shipmates and other engine-room personnel training on a land-based version of our onboard oily water separator unit, which enhances crew knowledge of a critical environmental safeguard and, we believe, fosters our culture of environmental stewardship and risk mitigation.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Our Business and Fleet </w:t>
      </w:r>
    </w:p>
    <w:p>
      <w:pPr>
        <w:pStyle w:val="TextBody"/>
        <w:bidi w:val="0"/>
        <w:spacing w:before="120" w:after="0"/>
        <w:jc w:val="left"/>
        <w:rPr>
          <w:rFonts w:ascii="Times New Roman" w:hAnsi="Times New Roman"/>
          <w:sz w:val="20"/>
        </w:rPr>
      </w:pPr>
      <w:r>
        <w:rPr>
          <w:rFonts w:ascii="Times New Roman" w:hAnsi="Times New Roman"/>
          <w:sz w:val="20"/>
        </w:rPr>
        <w:t xml:space="preserve">We own and operates OSVs, MPSVs, and a port facility in Port Fourchon, Louisiana. Our fleet of vessels provide logistics support and specialty services to the offshore oil and gas exploration and production industry, primarily in the GoA, the Caribbean, Northern South America and Brazil, as well as non-oilfield specialty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services for the U.S. military and other non-oilfield service customers primarily from the East and West Coasts of the United States and in the U.S. GoA. Measured by DWT capacity, we believe we have the number one ultra high-spec market position in the U.S., and the third largest fleet of high-spec and ultra high-spec OSVs in the world. Hornbeck has the second largest fleet of high-spec and ultra high-spec Jones Act-qualified OSVs. Hornbeck is the largest U.S. owner of MPSVs, which fleet is comprised of Jones Act-qualified vessels as well as foreign-flagged vessels for both U.S. and foreign operations. We believe that our reputation for safety, superior vessels, internal marine engineering and architectural capabilities combined with our size and scale in certain core markets, enhances our ability to compete for work awarded by oil companies, renewable energy developers, offshore contractors, and the U.S. government, who are among our primary customers. These customers demand a high level of safety and technological advancements to meet regulatory standards and operating policies. </w:t>
      </w:r>
    </w:p>
    <w:p>
      <w:pPr>
        <w:pStyle w:val="TextBody"/>
        <w:bidi w:val="0"/>
        <w:spacing w:before="240" w:after="0"/>
        <w:jc w:val="left"/>
        <w:rPr>
          <w:rFonts w:ascii="Times New Roman" w:hAnsi="Times New Roman"/>
          <w:sz w:val="20"/>
        </w:rPr>
      </w:pPr>
      <w:r>
        <w:rPr>
          <w:rFonts w:ascii="Times New Roman" w:hAnsi="Times New Roman"/>
          <w:sz w:val="20"/>
        </w:rPr>
        <w:t xml:space="preserve">OSVs and MPSVs operate worldwide but are generally concentrated in relatively few offshore regions with high levels of exploration and development activity, such as the GoA,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 however Jones Act MPSVs can perform domestic transportation as part of their services while foreign MPSVs cannot. </w:t>
      </w:r>
    </w:p>
    <w:p>
      <w:pPr>
        <w:pStyle w:val="TextBody"/>
        <w:bidi w:val="0"/>
        <w:spacing w:before="240" w:after="0"/>
        <w:jc w:val="left"/>
        <w:rPr>
          <w:rFonts w:ascii="Times New Roman" w:hAnsi="Times New Roman"/>
          <w:sz w:val="20"/>
        </w:rPr>
      </w:pPr>
      <w:r>
        <w:rPr>
          <w:rFonts w:ascii="Times New Roman" w:hAnsi="Times New Roman"/>
          <w:sz w:val="20"/>
        </w:rPr>
        <w:t xml:space="preserve">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Mexico and Brazil, we have access to shoreside resources and regional crews that we believe give us market advantages compared to international competitors.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OSVs </w:t>
      </w:r>
    </w:p>
    <w:p>
      <w:pPr>
        <w:pStyle w:val="TextBody"/>
        <w:bidi w:val="0"/>
        <w:spacing w:before="120" w:after="0"/>
        <w:jc w:val="left"/>
        <w:rPr>
          <w:rFonts w:ascii="Times New Roman" w:hAnsi="Times New Roman"/>
          <w:sz w:val="20"/>
        </w:rPr>
      </w:pPr>
      <w:r>
        <w:rPr>
          <w:rFonts w:ascii="Times New Roman" w:hAnsi="Times New Roman"/>
          <w:sz w:val="20"/>
        </w:rPr>
        <w:t xml:space="preserve">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which includes military, alternative energy development (including offshore wind), telecommunications, aerospace and HADR.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High-spec and ultra high-spec OSVs are capable of interfacing with other offshore vessels and facilities through the use of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allows OSVs to interface with other offshore facilities and vessels in a safe and efficient manner. </w:t>
      </w:r>
    </w:p>
    <w:p>
      <w:pPr>
        <w:pStyle w:val="TextBody"/>
        <w:bidi w:val="0"/>
        <w:spacing w:before="0" w:after="0"/>
        <w:jc w:val="left"/>
        <w:rPr/>
      </w:pPr>
      <w:r>
        <w:rPr/>
        <w:t> </w:t>
      </w:r>
    </w:p>
    <w:p>
      <w:pPr>
        <w:pStyle w:val="TextBody"/>
        <w:bidi w:val="0"/>
        <w:spacing w:before="0" w:after="0"/>
        <w:jc w:val="center"/>
        <w:rPr/>
      </w:pPr>
      <w:r>
        <w:rPr/>
        <w:drawing>
          <wp:inline distT="0" distB="0" distL="0" distR="0">
            <wp:extent cx="5029200" cy="3281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29200" cy="3281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HOSMAX OSV and MPSV flotel servicing an offshore production facility in the U.S. GoA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MPSVs </w:t>
      </w:r>
    </w:p>
    <w:p>
      <w:pPr>
        <w:pStyle w:val="TextBody"/>
        <w:bidi w:val="0"/>
        <w:spacing w:before="120" w:after="0"/>
        <w:jc w:val="left"/>
        <w:rPr>
          <w:rFonts w:ascii="Times New Roman" w:hAnsi="Times New Roman"/>
          <w:sz w:val="20"/>
        </w:rPr>
      </w:pPr>
      <w:r>
        <w:rPr>
          <w:rFonts w:ascii="Times New Roman" w:hAnsi="Times New Roman"/>
          <w:sz w:val="20"/>
        </w:rPr>
        <w:t xml:space="preserve">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or ultra-deepwater cranes employing “active heave compensation” technology, one or more ROVs and a helideck. Our MPSVs can also be configured (in accordance with applicable regulations) to support installation, commissioning, maintenance, repairs, improvements, and decommissioning of offshore oilfield facilities and windfarms, HADR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029200" cy="303022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029200" cy="3030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Two HOS MPSVs Deployed in GoA </w:t>
      </w:r>
    </w:p>
    <w:p>
      <w:pPr>
        <w:pStyle w:val="TextBody"/>
        <w:bidi w:val="0"/>
        <w:spacing w:before="360" w:after="0"/>
        <w:jc w:val="left"/>
        <w:rPr>
          <w:rFonts w:ascii="Times New Roman" w:hAnsi="Times New Roman"/>
          <w:i/>
          <w:sz w:val="20"/>
        </w:rPr>
      </w:pPr>
      <w:r>
        <w:rPr>
          <w:rFonts w:ascii="Times New Roman" w:hAnsi="Times New Roman"/>
          <w:i/>
          <w:sz w:val="20"/>
        </w:rPr>
        <w:t xml:space="preserve">Our Vessels </w:t>
      </w:r>
    </w:p>
    <w:p>
      <w:pPr>
        <w:pStyle w:val="TextBody"/>
        <w:bidi w:val="0"/>
        <w:spacing w:before="120" w:after="0"/>
        <w:jc w:val="left"/>
        <w:rPr>
          <w:rFonts w:ascii="Times New Roman" w:hAnsi="Times New Roman"/>
          <w:sz w:val="20"/>
        </w:rPr>
      </w:pPr>
      <w:r>
        <w:rPr>
          <w:rFonts w:ascii="Times New Roman" w:hAnsi="Times New Roman"/>
          <w:sz w:val="20"/>
        </w:rPr>
        <w:t xml:space="preserve">As of October 31, 2025, we owned a fleet of 74 vessels, including two partially constructed Jones Act-qualified MPSV newbuilds to be completed pursuant to our settlement with the Surety, as discussed in “Management’s Discussion and Analysis of Financial Condition and Results of Operations—Recent Developments—MPSV Newbuild Construction,” but excluding four vessels formerly owned by us that are now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 ultra high-spec vessels. Since 2020, we have divested 14 of these older and smaller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vessels. During that same timeframe, we have acquired a total of 19 high-spec and ultra high-spec vessels. We expect that we will continue to seek charter opportunities to re-purpose our remaining 19 non-high spec vessels, 18 of which are stacked as of October 31, 2025. Alternatively, we may also sell some of these vessels opportunistically. The net effect of these efforts to “right-size” our overall fleet complement has been a shift in the percentage of high-spec and ultra high-spec vessels from 41% to 75% since 2014. </w:t>
      </w:r>
    </w:p>
    <w:p>
      <w:pPr>
        <w:pStyle w:val="TextBody"/>
        <w:bidi w:val="0"/>
        <w:spacing w:before="360" w:after="0"/>
        <w:jc w:val="left"/>
        <w:rPr>
          <w:rFonts w:ascii="Times New Roman" w:hAnsi="Times New Roman"/>
          <w:i/>
          <w:sz w:val="20"/>
        </w:rPr>
      </w:pPr>
      <w:r>
        <w:rPr>
          <w:rFonts w:ascii="Times New Roman" w:hAnsi="Times New Roman"/>
          <w:i/>
          <w:sz w:val="20"/>
        </w:rPr>
        <w:t xml:space="preserve">OSV Fleet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illustrates our fleet of OSVs and the nations in which they are flagged as of October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0"/>
        <w:gridCol w:w="174"/>
        <w:gridCol w:w="2893"/>
        <w:gridCol w:w="223"/>
        <w:gridCol w:w="456"/>
        <w:gridCol w:w="223"/>
        <w:gridCol w:w="786"/>
        <w:gridCol w:w="223"/>
        <w:gridCol w:w="963"/>
        <w:gridCol w:w="140"/>
        <w:gridCol w:w="646"/>
        <w:gridCol w:w="182"/>
        <w:gridCol w:w="1140"/>
        <w:gridCol w:w="182"/>
        <w:gridCol w:w="1504"/>
      </w:tblGrid>
      <w:tr>
        <w:trPr/>
        <w:tc>
          <w:tcPr>
            <w:tcW w:w="47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537" w:type="dxa"/>
            <w:gridSpan w:val="3"/>
            <w:tcBorders>
              <w:bottom w:val="single" w:sz="8" w:space="0" w:color="000000"/>
            </w:tcBorders>
            <w:tcMar>
              <w:bottom w:w="28" w:type="dxa"/>
            </w:tcMar>
            <w:vAlign w:val="bottom"/>
          </w:tcPr>
          <w:p>
            <w:pPr>
              <w:pStyle w:val="TableContents"/>
              <w:bidi w:val="0"/>
              <w:spacing w:before="0" w:after="283"/>
              <w:jc w:val="center"/>
              <w:rPr>
                <w:b/>
              </w:rPr>
            </w:pPr>
            <w:r>
              <w:rPr>
                <w:b/>
              </w:rPr>
              <w:t>Vessel Class</w:t>
            </w:r>
          </w:p>
        </w:tc>
        <w:tc>
          <w:tcPr>
            <w:tcW w:w="223" w:type="dxa"/>
            <w:tcBorders>
              <w:bottom w:val="single" w:sz="8" w:space="0" w:color="000000"/>
            </w:tcBorders>
            <w:tcMar>
              <w:bottom w:w="28" w:type="dxa"/>
            </w:tcMar>
            <w:vAlign w:val="bottom"/>
          </w:tcPr>
          <w:p>
            <w:pPr>
              <w:pStyle w:val="TableContents"/>
              <w:bidi w:val="0"/>
              <w:spacing w:before="0" w:after="283"/>
              <w:jc w:val="left"/>
              <w:rPr/>
            </w:pPr>
            <w:r>
              <w:rPr/>
              <w:t>  </w:t>
            </w:r>
          </w:p>
        </w:tc>
        <w:tc>
          <w:tcPr>
            <w:tcW w:w="456" w:type="dxa"/>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223" w:type="dxa"/>
            <w:tcBorders>
              <w:bottom w:val="single" w:sz="8" w:space="0" w:color="000000"/>
            </w:tcBorders>
            <w:tcMar>
              <w:bottom w:w="28" w:type="dxa"/>
            </w:tcMar>
            <w:vAlign w:val="bottom"/>
          </w:tcPr>
          <w:p>
            <w:pPr>
              <w:pStyle w:val="TableContents"/>
              <w:bidi w:val="0"/>
              <w:spacing w:before="0" w:after="283"/>
              <w:jc w:val="left"/>
              <w:rPr/>
            </w:pPr>
            <w:r>
              <w:rPr/>
              <w:t>  </w:t>
            </w:r>
          </w:p>
        </w:tc>
        <w:tc>
          <w:tcPr>
            <w:tcW w:w="786" w:type="dxa"/>
            <w:tcBorders>
              <w:bottom w:val="single" w:sz="8" w:space="0" w:color="000000"/>
            </w:tcBorders>
            <w:tcMar>
              <w:bottom w:w="28" w:type="dxa"/>
            </w:tcMar>
            <w:vAlign w:val="bottom"/>
          </w:tcPr>
          <w:p>
            <w:pPr>
              <w:pStyle w:val="TableContents"/>
              <w:bidi w:val="0"/>
              <w:spacing w:before="0" w:after="283"/>
              <w:jc w:val="center"/>
              <w:rPr>
                <w:b/>
              </w:rPr>
            </w:pPr>
            <w:r>
              <w:rPr>
                <w:b/>
              </w:rPr>
              <w:t>Mexico</w:t>
            </w:r>
          </w:p>
        </w:tc>
        <w:tc>
          <w:tcPr>
            <w:tcW w:w="223" w:type="dxa"/>
            <w:tcBorders>
              <w:bottom w:val="single" w:sz="8" w:space="0" w:color="000000"/>
            </w:tcBorders>
            <w:tcMar>
              <w:bottom w:w="28" w:type="dxa"/>
            </w:tcMar>
            <w:vAlign w:val="bottom"/>
          </w:tcPr>
          <w:p>
            <w:pPr>
              <w:pStyle w:val="TableContents"/>
              <w:bidi w:val="0"/>
              <w:spacing w:before="0" w:after="283"/>
              <w:jc w:val="left"/>
              <w:rPr/>
            </w:pPr>
            <w:r>
              <w:rPr/>
              <w:t>  </w:t>
            </w:r>
          </w:p>
        </w:tc>
        <w:tc>
          <w:tcPr>
            <w:tcW w:w="963" w:type="dxa"/>
            <w:tcBorders>
              <w:bottom w:val="single" w:sz="8" w:space="0" w:color="000000"/>
            </w:tcBorders>
            <w:tcMar>
              <w:bottom w:w="28" w:type="dxa"/>
            </w:tcMar>
            <w:vAlign w:val="bottom"/>
          </w:tcPr>
          <w:p>
            <w:pPr>
              <w:pStyle w:val="TableContents"/>
              <w:bidi w:val="0"/>
              <w:spacing w:before="0" w:after="283"/>
              <w:jc w:val="center"/>
              <w:rPr>
                <w:b/>
              </w:rPr>
            </w:pPr>
            <w:r>
              <w:rPr>
                <w:b/>
              </w:rPr>
              <w:t>Vanuatu</w:t>
            </w:r>
          </w:p>
        </w:tc>
        <w:tc>
          <w:tcPr>
            <w:tcW w:w="140" w:type="dxa"/>
            <w:tcBorders>
              <w:bottom w:val="single" w:sz="8" w:space="0" w:color="000000"/>
            </w:tcBorders>
            <w:tcMar>
              <w:bottom w:w="28" w:type="dxa"/>
            </w:tcMar>
            <w:vAlign w:val="bottom"/>
          </w:tcPr>
          <w:p>
            <w:pPr>
              <w:pStyle w:val="TableContents"/>
              <w:bidi w:val="0"/>
              <w:spacing w:before="0" w:after="283"/>
              <w:jc w:val="left"/>
              <w:rPr/>
            </w:pPr>
            <w:r>
              <w:rPr/>
              <w:t>  </w:t>
            </w:r>
          </w:p>
        </w:tc>
        <w:tc>
          <w:tcPr>
            <w:tcW w:w="646" w:type="dxa"/>
            <w:tcBorders>
              <w:bottom w:val="single" w:sz="8" w:space="0" w:color="000000"/>
            </w:tcBorders>
            <w:tcMar>
              <w:bottom w:w="28" w:type="dxa"/>
            </w:tcMar>
            <w:vAlign w:val="bottom"/>
          </w:tcPr>
          <w:p>
            <w:pPr>
              <w:pStyle w:val="TableContents"/>
              <w:bidi w:val="0"/>
              <w:spacing w:before="0" w:after="283"/>
              <w:jc w:val="center"/>
              <w:rPr>
                <w:b/>
              </w:rPr>
            </w:pPr>
            <w:r>
              <w:rPr>
                <w:b/>
              </w:rPr>
              <w:t>Brazil</w:t>
            </w:r>
          </w:p>
        </w:tc>
        <w:tc>
          <w:tcPr>
            <w:tcW w:w="182" w:type="dxa"/>
            <w:tcBorders>
              <w:bottom w:val="single" w:sz="8" w:space="0" w:color="000000"/>
            </w:tcBorders>
            <w:tcMar>
              <w:bottom w:w="28" w:type="dxa"/>
            </w:tcMar>
            <w:vAlign w:val="bottom"/>
          </w:tcPr>
          <w:p>
            <w:pPr>
              <w:pStyle w:val="TableContents"/>
              <w:bidi w:val="0"/>
              <w:spacing w:before="0" w:after="283"/>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center"/>
              <w:rPr>
                <w:b/>
              </w:rPr>
            </w:pPr>
            <w:r>
              <w:rPr>
                <w:b/>
              </w:rPr>
              <w:t>Avg DWT</w:t>
            </w:r>
          </w:p>
        </w:tc>
        <w:tc>
          <w:tcPr>
            <w:tcW w:w="182" w:type="dxa"/>
            <w:tcBorders>
              <w:bottom w:val="single" w:sz="8" w:space="0" w:color="000000"/>
            </w:tcBorders>
            <w:tcMar>
              <w:bottom w:w="28" w:type="dxa"/>
            </w:tcMar>
            <w:vAlign w:val="bottom"/>
          </w:tcPr>
          <w:p>
            <w:pPr>
              <w:pStyle w:val="TableContents"/>
              <w:bidi w:val="0"/>
              <w:spacing w:before="0" w:after="283"/>
              <w:jc w:val="left"/>
              <w:rPr/>
            </w:pPr>
            <w:r>
              <w:rPr/>
              <w:t>  </w:t>
            </w:r>
          </w:p>
        </w:tc>
        <w:tc>
          <w:tcPr>
            <w:tcW w:w="1504" w:type="dxa"/>
            <w:tcBorders>
              <w:bottom w:val="single" w:sz="8" w:space="0" w:color="000000"/>
            </w:tcBorders>
            <w:tcMar>
              <w:bottom w:w="28" w:type="dxa"/>
            </w:tcMar>
            <w:vAlign w:val="bottom"/>
          </w:tcPr>
          <w:p>
            <w:pPr>
              <w:pStyle w:val="TableContents"/>
              <w:bidi w:val="0"/>
              <w:spacing w:before="0" w:after="283"/>
              <w:jc w:val="center"/>
              <w:rPr>
                <w:b/>
              </w:rPr>
            </w:pPr>
            <w:r>
              <w:rPr>
                <w:b/>
              </w:rPr>
              <w:t>Total in Class</w:t>
            </w:r>
          </w:p>
        </w:tc>
      </w:tr>
      <w:tr>
        <w:trPr>
          <w:trHeight w:val="75" w:hRule="atLeast"/>
        </w:trPr>
        <w:tc>
          <w:tcPr>
            <w:tcW w:w="470" w:type="dxa"/>
            <w:tcBorders>
              <w:right w:val="single" w:sz="2" w:space="0" w:color="000000"/>
            </w:tcBorders>
            <w:tcMar>
              <w:right w:w="28" w:type="dxa"/>
            </w:tcMar>
            <w:vAlign w:val="center"/>
          </w:tcPr>
          <w:p>
            <w:pPr>
              <w:pStyle w:val="TableContents"/>
              <w:bidi w:val="0"/>
              <w:spacing w:before="0" w:after="283"/>
              <w:jc w:val="left"/>
              <w:rPr/>
            </w:pPr>
            <w:r>
              <w:rPr/>
              <w:t> </w:t>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vMerge w:val="restart"/>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20"/>
              <w:jc w:val="center"/>
              <w:rPr/>
            </w:pPr>
            <w:r>
              <w:rPr/>
              <w:drawing>
                <wp:inline distT="0" distB="0" distL="0" distR="0">
                  <wp:extent cx="133985" cy="8750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3985" cy="875030"/>
                          </a:xfrm>
                          <a:prstGeom prst="rect">
                            <a:avLst/>
                          </a:prstGeom>
                        </pic:spPr>
                      </pic:pic>
                    </a:graphicData>
                  </a:graphic>
                </wp:inline>
              </w:drawing>
            </w:r>
            <w:r>
              <w:rPr/>
              <w:t xml:space="preserve"> </w:t>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tcPr>
          <w:p>
            <w:pPr>
              <w:pStyle w:val="TableContents"/>
              <w:bidi w:val="0"/>
              <w:spacing w:before="0" w:after="283"/>
              <w:jc w:val="left"/>
              <w:rPr/>
            </w:pPr>
            <w:r>
              <w:rPr/>
              <w:t>HOSFLEX 370</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pPr>
            <w:r>
              <w:rPr/>
              <w:t>2</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pPr>
            <w:r>
              <w:rPr/>
              <w:t>—</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pPr>
            <w:r>
              <w:rPr/>
              <w:t>—</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pPr>
            <w:r>
              <w:rPr/>
              <w:t>—</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7,886</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pPr>
            <w:r>
              <w:rPr/>
              <w:t>2</w:t>
            </w:r>
          </w:p>
        </w:tc>
      </w:tr>
      <w:tr>
        <w:trPr/>
        <w:tc>
          <w:tcPr>
            <w:tcW w:w="470"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74"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HOSMAX 320</w:t>
            </w:r>
          </w:p>
        </w:tc>
        <w:tc>
          <w:tcPr>
            <w:tcW w:w="223" w:type="dxa"/>
            <w:tcBorders/>
            <w:vAlign w:val="bottom"/>
          </w:tcPr>
          <w:p>
            <w:pPr>
              <w:pStyle w:val="TableContents"/>
              <w:bidi w:val="0"/>
              <w:spacing w:before="0" w:after="283"/>
              <w:jc w:val="left"/>
              <w:rPr/>
            </w:pPr>
            <w:r>
              <w:rPr/>
              <w:t>  </w:t>
            </w:r>
          </w:p>
        </w:tc>
        <w:tc>
          <w:tcPr>
            <w:tcW w:w="456" w:type="dxa"/>
            <w:tcBorders/>
          </w:tcPr>
          <w:p>
            <w:pPr>
              <w:pStyle w:val="TableContents"/>
              <w:bidi w:val="0"/>
              <w:spacing w:before="0" w:after="283"/>
              <w:jc w:val="center"/>
              <w:rPr/>
            </w:pPr>
            <w:r>
              <w:rPr/>
              <w:t>9</w:t>
            </w:r>
          </w:p>
        </w:tc>
        <w:tc>
          <w:tcPr>
            <w:tcW w:w="223"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w:t>
            </w:r>
          </w:p>
        </w:tc>
        <w:tc>
          <w:tcPr>
            <w:tcW w:w="223" w:type="dxa"/>
            <w:tcBorders/>
            <w:vAlign w:val="bottom"/>
          </w:tcPr>
          <w:p>
            <w:pPr>
              <w:pStyle w:val="TableContents"/>
              <w:bidi w:val="0"/>
              <w:spacing w:before="0" w:after="283"/>
              <w:jc w:val="left"/>
              <w:rPr/>
            </w:pPr>
            <w:r>
              <w:rPr/>
              <w:t>  </w:t>
            </w:r>
          </w:p>
        </w:tc>
        <w:tc>
          <w:tcPr>
            <w:tcW w:w="963" w:type="dxa"/>
            <w:tcBorders/>
          </w:tcPr>
          <w:p>
            <w:pPr>
              <w:pStyle w:val="TableContents"/>
              <w:bidi w:val="0"/>
              <w:spacing w:before="0" w:after="283"/>
              <w:jc w:val="center"/>
              <w:rPr/>
            </w:pPr>
            <w:r>
              <w:rPr/>
              <w:t>—</w:t>
            </w:r>
          </w:p>
        </w:tc>
        <w:tc>
          <w:tcPr>
            <w:tcW w:w="140"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1140" w:type="dxa"/>
            <w:tcBorders/>
          </w:tcPr>
          <w:p>
            <w:pPr>
              <w:pStyle w:val="TableContents"/>
              <w:bidi w:val="0"/>
              <w:spacing w:before="0" w:after="283"/>
              <w:jc w:val="center"/>
              <w:rPr/>
            </w:pPr>
            <w:r>
              <w:rPr/>
              <w:t>6,052</w:t>
            </w:r>
          </w:p>
        </w:tc>
        <w:tc>
          <w:tcPr>
            <w:tcW w:w="182" w:type="dxa"/>
            <w:tcBorders/>
            <w:vAlign w:val="bottom"/>
          </w:tcPr>
          <w:p>
            <w:pPr>
              <w:pStyle w:val="TableContents"/>
              <w:bidi w:val="0"/>
              <w:spacing w:before="0" w:after="283"/>
              <w:jc w:val="left"/>
              <w:rPr/>
            </w:pPr>
            <w:r>
              <w:rPr/>
              <w:t>  </w:t>
            </w:r>
          </w:p>
        </w:tc>
        <w:tc>
          <w:tcPr>
            <w:tcW w:w="1504" w:type="dxa"/>
            <w:tcBorders/>
          </w:tcPr>
          <w:p>
            <w:pPr>
              <w:pStyle w:val="TableContents"/>
              <w:bidi w:val="0"/>
              <w:spacing w:before="0" w:after="283"/>
              <w:jc w:val="center"/>
              <w:rPr/>
            </w:pPr>
            <w:r>
              <w:rPr/>
              <w:t>10</w:t>
            </w:r>
          </w:p>
        </w:tc>
      </w:tr>
      <w:tr>
        <w:trPr/>
        <w:tc>
          <w:tcPr>
            <w:tcW w:w="470"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tcPr>
          <w:p>
            <w:pPr>
              <w:pStyle w:val="TableContents"/>
              <w:bidi w:val="0"/>
              <w:spacing w:before="0" w:after="283"/>
              <w:jc w:val="left"/>
              <w:rPr/>
            </w:pPr>
            <w:r>
              <w:rPr/>
              <w:t>HOSMAX 310</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pPr>
            <w:r>
              <w:rPr/>
              <w:t>3</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pPr>
            <w:r>
              <w:rPr/>
              <w:t>—</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pPr>
            <w:r>
              <w:rPr/>
              <w:t>—</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pPr>
            <w:r>
              <w:rPr/>
              <w:t>1</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5,921</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pPr>
            <w:r>
              <w:rPr/>
              <w:t>4</w:t>
            </w:r>
          </w:p>
        </w:tc>
      </w:tr>
      <w:tr>
        <w:trPr/>
        <w:tc>
          <w:tcPr>
            <w:tcW w:w="470"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tcMar>
              <w:bottom w:w="28" w:type="dxa"/>
            </w:tcMar>
          </w:tcPr>
          <w:p>
            <w:pPr>
              <w:pStyle w:val="TableContents"/>
              <w:bidi w:val="0"/>
              <w:spacing w:before="0" w:after="283"/>
              <w:jc w:val="left"/>
              <w:rPr/>
            </w:pPr>
            <w:r>
              <w:rPr/>
              <w:t>HOSMAX 300</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tcPr>
          <w:p>
            <w:pPr>
              <w:pStyle w:val="TableContents"/>
              <w:bidi w:val="0"/>
              <w:spacing w:before="0" w:after="283"/>
              <w:jc w:val="center"/>
              <w:rPr/>
            </w:pPr>
            <w:r>
              <w:rPr/>
              <w:t>2</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28" w:type="dxa"/>
            </w:tcMar>
          </w:tcPr>
          <w:p>
            <w:pPr>
              <w:pStyle w:val="TableContents"/>
              <w:bidi w:val="0"/>
              <w:spacing w:before="0" w:after="283"/>
              <w:jc w:val="center"/>
              <w:rPr/>
            </w:pPr>
            <w:r>
              <w:rPr/>
              <w:t>4</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tcMar>
              <w:bottom w:w="28" w:type="dxa"/>
            </w:tcMar>
          </w:tcPr>
          <w:p>
            <w:pPr>
              <w:pStyle w:val="TableContents"/>
              <w:bidi w:val="0"/>
              <w:spacing w:before="0" w:after="283"/>
              <w:jc w:val="center"/>
              <w:rPr/>
            </w:pPr>
            <w:r>
              <w:rPr/>
              <w:t>—</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tcMar>
              <w:bottom w:w="28" w:type="dxa"/>
            </w:tcMar>
          </w:tcPr>
          <w:p>
            <w:pPr>
              <w:pStyle w:val="TableContents"/>
              <w:bidi w:val="0"/>
              <w:spacing w:before="0" w:after="283"/>
              <w:jc w:val="center"/>
              <w:rPr/>
            </w:pPr>
            <w:r>
              <w:rPr/>
              <w:t>—</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tcMar>
              <w:bottom w:w="28" w:type="dxa"/>
            </w:tcMar>
          </w:tcPr>
          <w:p>
            <w:pPr>
              <w:pStyle w:val="TableContents"/>
              <w:bidi w:val="0"/>
              <w:spacing w:before="0" w:after="283"/>
              <w:jc w:val="center"/>
              <w:rPr/>
            </w:pPr>
            <w:r>
              <w:rPr/>
              <w:t>5,472</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tcMar>
              <w:bottom w:w="28" w:type="dxa"/>
            </w:tcMar>
          </w:tcPr>
          <w:p>
            <w:pPr>
              <w:pStyle w:val="TableContents"/>
              <w:bidi w:val="0"/>
              <w:spacing w:before="0" w:after="283"/>
              <w:jc w:val="center"/>
              <w:rPr/>
            </w:pPr>
            <w:r>
              <w:rPr/>
              <w:t>6</w:t>
            </w:r>
          </w:p>
        </w:tc>
      </w:tr>
      <w:tr>
        <w:trPr>
          <w:trHeight w:val="75" w:hRule="atLeast"/>
        </w:trPr>
        <w:tc>
          <w:tcPr>
            <w:tcW w:w="470" w:type="dxa"/>
            <w:tcBorders>
              <w:right w:val="single" w:sz="2" w:space="0" w:color="000000"/>
            </w:tcBorders>
            <w:tcMar>
              <w:right w:w="28" w:type="dxa"/>
            </w:tcMar>
            <w:vAlign w:val="center"/>
          </w:tcPr>
          <w:p>
            <w:pPr>
              <w:pStyle w:val="TableContents"/>
              <w:bidi w:val="0"/>
              <w:spacing w:before="0" w:after="283"/>
              <w:jc w:val="left"/>
              <w:rPr/>
            </w:pPr>
            <w:r>
              <w:rPr/>
              <w:t> </w:t>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vMerge w:val="restart"/>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283"/>
              <w:jc w:val="center"/>
              <w:rPr/>
            </w:pPr>
            <w:r>
              <w:rPr/>
              <w:drawing>
                <wp:inline distT="0" distB="0" distL="0" distR="0">
                  <wp:extent cx="133985" cy="55372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3985" cy="553720"/>
                          </a:xfrm>
                          <a:prstGeom prst="rect">
                            <a:avLst/>
                          </a:prstGeom>
                        </pic:spPr>
                      </pic:pic>
                    </a:graphicData>
                  </a:graphic>
                </wp:inline>
              </w:drawing>
            </w:r>
            <w:r>
              <w:rPr/>
              <w:t xml:space="preserve"> </w:t>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tcPr>
          <w:p>
            <w:pPr>
              <w:pStyle w:val="TableContents"/>
              <w:bidi w:val="0"/>
              <w:spacing w:before="0" w:after="283"/>
              <w:jc w:val="left"/>
              <w:rPr/>
            </w:pPr>
            <w:r>
              <w:rPr/>
              <w:t>HOSMAX 280</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pPr>
            <w:r>
              <w:rPr/>
              <w:t>12</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pPr>
            <w:r>
              <w:rPr/>
              <w:t>1</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pPr>
            <w:r>
              <w:rPr/>
              <w:t>—</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pPr>
            <w:r>
              <w:rPr/>
              <w:t>1</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4,660</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pPr>
            <w:r>
              <w:rPr/>
              <w:t>14</w:t>
            </w:r>
          </w:p>
        </w:tc>
      </w:tr>
      <w:tr>
        <w:trPr/>
        <w:tc>
          <w:tcPr>
            <w:tcW w:w="470"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74"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HOS 270</w:t>
            </w:r>
          </w:p>
        </w:tc>
        <w:tc>
          <w:tcPr>
            <w:tcW w:w="223" w:type="dxa"/>
            <w:tcBorders/>
            <w:vAlign w:val="bottom"/>
          </w:tcPr>
          <w:p>
            <w:pPr>
              <w:pStyle w:val="TableContents"/>
              <w:bidi w:val="0"/>
              <w:spacing w:before="0" w:after="283"/>
              <w:jc w:val="left"/>
              <w:rPr/>
            </w:pPr>
            <w:r>
              <w:rPr/>
              <w:t>  </w:t>
            </w:r>
          </w:p>
        </w:tc>
        <w:tc>
          <w:tcPr>
            <w:tcW w:w="456" w:type="dxa"/>
            <w:tcBorders/>
          </w:tcPr>
          <w:p>
            <w:pPr>
              <w:pStyle w:val="TableContents"/>
              <w:bidi w:val="0"/>
              <w:spacing w:before="0" w:after="283"/>
              <w:jc w:val="center"/>
              <w:rPr/>
            </w:pPr>
            <w:r>
              <w:rPr/>
              <w:t>—</w:t>
            </w:r>
          </w:p>
        </w:tc>
        <w:tc>
          <w:tcPr>
            <w:tcW w:w="223"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2</w:t>
            </w:r>
          </w:p>
        </w:tc>
        <w:tc>
          <w:tcPr>
            <w:tcW w:w="223" w:type="dxa"/>
            <w:tcBorders/>
            <w:vAlign w:val="bottom"/>
          </w:tcPr>
          <w:p>
            <w:pPr>
              <w:pStyle w:val="TableContents"/>
              <w:bidi w:val="0"/>
              <w:spacing w:before="0" w:after="283"/>
              <w:jc w:val="left"/>
              <w:rPr/>
            </w:pPr>
            <w:r>
              <w:rPr/>
              <w:t>  </w:t>
            </w:r>
          </w:p>
        </w:tc>
        <w:tc>
          <w:tcPr>
            <w:tcW w:w="963" w:type="dxa"/>
            <w:tcBorders/>
          </w:tcPr>
          <w:p>
            <w:pPr>
              <w:pStyle w:val="TableContents"/>
              <w:bidi w:val="0"/>
              <w:spacing w:before="0" w:after="283"/>
              <w:jc w:val="center"/>
              <w:rPr/>
            </w:pPr>
            <w:r>
              <w:rPr/>
              <w:t>—</w:t>
            </w:r>
          </w:p>
        </w:tc>
        <w:tc>
          <w:tcPr>
            <w:tcW w:w="140"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1140" w:type="dxa"/>
            <w:tcBorders/>
          </w:tcPr>
          <w:p>
            <w:pPr>
              <w:pStyle w:val="TableContents"/>
              <w:bidi w:val="0"/>
              <w:spacing w:before="0" w:after="283"/>
              <w:jc w:val="center"/>
              <w:rPr/>
            </w:pPr>
            <w:r>
              <w:rPr/>
              <w:t>3,803</w:t>
            </w:r>
          </w:p>
        </w:tc>
        <w:tc>
          <w:tcPr>
            <w:tcW w:w="182" w:type="dxa"/>
            <w:tcBorders/>
            <w:vAlign w:val="bottom"/>
          </w:tcPr>
          <w:p>
            <w:pPr>
              <w:pStyle w:val="TableContents"/>
              <w:bidi w:val="0"/>
              <w:spacing w:before="0" w:after="283"/>
              <w:jc w:val="left"/>
              <w:rPr/>
            </w:pPr>
            <w:r>
              <w:rPr/>
              <w:t>  </w:t>
            </w:r>
          </w:p>
        </w:tc>
        <w:tc>
          <w:tcPr>
            <w:tcW w:w="1504" w:type="dxa"/>
            <w:tcBorders/>
          </w:tcPr>
          <w:p>
            <w:pPr>
              <w:pStyle w:val="TableContents"/>
              <w:bidi w:val="0"/>
              <w:spacing w:before="0" w:after="283"/>
              <w:jc w:val="center"/>
              <w:rPr/>
            </w:pPr>
            <w:r>
              <w:rPr/>
              <w:t>2</w:t>
            </w:r>
          </w:p>
        </w:tc>
      </w:tr>
      <w:tr>
        <w:trPr/>
        <w:tc>
          <w:tcPr>
            <w:tcW w:w="470"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7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shd w:fill="CCEEFF" w:val="clear"/>
            <w:tcMar>
              <w:bottom w:w="28" w:type="dxa"/>
            </w:tcMar>
          </w:tcPr>
          <w:p>
            <w:pPr>
              <w:pStyle w:val="TableContents"/>
              <w:bidi w:val="0"/>
              <w:spacing w:before="0" w:after="283"/>
              <w:jc w:val="left"/>
              <w:rPr/>
            </w:pPr>
            <w:r>
              <w:rPr/>
              <w:t>HOS 265</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shd w:fill="CCEEFF" w:val="clear"/>
            <w:tcMar>
              <w:bottom w:w="28" w:type="dxa"/>
            </w:tcMar>
          </w:tcPr>
          <w:p>
            <w:pPr>
              <w:pStyle w:val="TableContents"/>
              <w:bidi w:val="0"/>
              <w:spacing w:before="0" w:after="283"/>
              <w:jc w:val="center"/>
              <w:rPr/>
            </w:pPr>
            <w:r>
              <w:rPr/>
              <w:t>2</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8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shd w:fill="CCEEFF" w:val="clear"/>
            <w:tcMar>
              <w:bottom w:w="28" w:type="dxa"/>
            </w:tcMar>
          </w:tcPr>
          <w:p>
            <w:pPr>
              <w:pStyle w:val="TableContents"/>
              <w:bidi w:val="0"/>
              <w:spacing w:before="0" w:after="283"/>
              <w:jc w:val="center"/>
              <w:rPr/>
            </w:pPr>
            <w:r>
              <w:rPr/>
              <w:t>3,687</w:t>
            </w:r>
          </w:p>
        </w:tc>
        <w:tc>
          <w:tcPr>
            <w:tcW w:w="18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shd w:fill="CCEEFF" w:val="clear"/>
            <w:tcMar>
              <w:bottom w:w="28" w:type="dxa"/>
            </w:tcMar>
          </w:tcPr>
          <w:p>
            <w:pPr>
              <w:pStyle w:val="TableContents"/>
              <w:bidi w:val="0"/>
              <w:spacing w:before="0" w:after="283"/>
              <w:jc w:val="center"/>
              <w:rPr/>
            </w:pPr>
            <w:r>
              <w:rPr/>
              <w:t>2</w:t>
            </w:r>
          </w:p>
        </w:tc>
      </w:tr>
      <w:tr>
        <w:trPr>
          <w:trHeight w:val="75" w:hRule="atLeast"/>
        </w:trPr>
        <w:tc>
          <w:tcPr>
            <w:tcW w:w="470" w:type="dxa"/>
            <w:tcBorders>
              <w:right w:val="single" w:sz="2" w:space="0" w:color="000000"/>
            </w:tcBorders>
            <w:tcMar>
              <w:right w:w="28" w:type="dxa"/>
            </w:tcMar>
            <w:vAlign w:val="center"/>
          </w:tcPr>
          <w:p>
            <w:pPr>
              <w:pStyle w:val="TableContents"/>
              <w:bidi w:val="0"/>
              <w:spacing w:before="0" w:after="283"/>
              <w:jc w:val="left"/>
              <w:rPr/>
            </w:pPr>
            <w:r>
              <w:rPr/>
              <w:t> </w:t>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drawing>
                <wp:inline distT="0" distB="0" distL="0" distR="0">
                  <wp:extent cx="170815" cy="3975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70815" cy="397510"/>
                          </a:xfrm>
                          <a:prstGeom prst="rect">
                            <a:avLst/>
                          </a:prstGeom>
                        </pic:spPr>
                      </pic:pic>
                    </a:graphicData>
                  </a:graphic>
                </wp:inline>
              </w:drawing>
            </w:r>
            <w:r>
              <w:rPr/>
              <w:t xml:space="preserve"> </w:t>
            </w:r>
          </w:p>
        </w:tc>
        <w:tc>
          <w:tcPr>
            <w:tcW w:w="174"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HOS 250</w:t>
            </w:r>
          </w:p>
        </w:tc>
        <w:tc>
          <w:tcPr>
            <w:tcW w:w="223" w:type="dxa"/>
            <w:tcBorders/>
            <w:vAlign w:val="bottom"/>
          </w:tcPr>
          <w:p>
            <w:pPr>
              <w:pStyle w:val="TableContents"/>
              <w:bidi w:val="0"/>
              <w:spacing w:before="0" w:after="283"/>
              <w:jc w:val="left"/>
              <w:rPr/>
            </w:pPr>
            <w:r>
              <w:rPr/>
              <w:t>  </w:t>
            </w:r>
          </w:p>
        </w:tc>
        <w:tc>
          <w:tcPr>
            <w:tcW w:w="456" w:type="dxa"/>
            <w:tcBorders/>
          </w:tcPr>
          <w:p>
            <w:pPr>
              <w:pStyle w:val="TableContents"/>
              <w:bidi w:val="0"/>
              <w:spacing w:before="0" w:after="283"/>
              <w:jc w:val="center"/>
              <w:rPr/>
            </w:pPr>
            <w:r>
              <w:rPr/>
              <w:t>3</w:t>
            </w:r>
          </w:p>
        </w:tc>
        <w:tc>
          <w:tcPr>
            <w:tcW w:w="223"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w:t>
            </w:r>
          </w:p>
        </w:tc>
        <w:tc>
          <w:tcPr>
            <w:tcW w:w="223" w:type="dxa"/>
            <w:tcBorders/>
            <w:vAlign w:val="bottom"/>
          </w:tcPr>
          <w:p>
            <w:pPr>
              <w:pStyle w:val="TableContents"/>
              <w:bidi w:val="0"/>
              <w:spacing w:before="0" w:after="283"/>
              <w:jc w:val="left"/>
              <w:rPr/>
            </w:pPr>
            <w:r>
              <w:rPr/>
              <w:t>  </w:t>
            </w:r>
          </w:p>
        </w:tc>
        <w:tc>
          <w:tcPr>
            <w:tcW w:w="963" w:type="dxa"/>
            <w:tcBorders/>
          </w:tcPr>
          <w:p>
            <w:pPr>
              <w:pStyle w:val="TableContents"/>
              <w:bidi w:val="0"/>
              <w:spacing w:before="0" w:after="283"/>
              <w:jc w:val="center"/>
              <w:rPr/>
            </w:pPr>
            <w:r>
              <w:rPr/>
              <w:t>—</w:t>
            </w:r>
          </w:p>
        </w:tc>
        <w:tc>
          <w:tcPr>
            <w:tcW w:w="140"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1140" w:type="dxa"/>
            <w:tcBorders/>
          </w:tcPr>
          <w:p>
            <w:pPr>
              <w:pStyle w:val="TableContents"/>
              <w:bidi w:val="0"/>
              <w:spacing w:before="0" w:after="283"/>
              <w:jc w:val="center"/>
              <w:rPr/>
            </w:pPr>
            <w:r>
              <w:rPr/>
              <w:t>2,713</w:t>
            </w:r>
          </w:p>
        </w:tc>
        <w:tc>
          <w:tcPr>
            <w:tcW w:w="182" w:type="dxa"/>
            <w:tcBorders/>
            <w:vAlign w:val="bottom"/>
          </w:tcPr>
          <w:p>
            <w:pPr>
              <w:pStyle w:val="TableContents"/>
              <w:bidi w:val="0"/>
              <w:spacing w:before="0" w:after="283"/>
              <w:jc w:val="left"/>
              <w:rPr/>
            </w:pPr>
            <w:r>
              <w:rPr/>
              <w:t>  </w:t>
            </w:r>
          </w:p>
        </w:tc>
        <w:tc>
          <w:tcPr>
            <w:tcW w:w="1504" w:type="dxa"/>
            <w:tcBorders/>
          </w:tcPr>
          <w:p>
            <w:pPr>
              <w:pStyle w:val="TableContents"/>
              <w:bidi w:val="0"/>
              <w:spacing w:before="0" w:after="283"/>
              <w:jc w:val="center"/>
              <w:rPr/>
            </w:pPr>
            <w:r>
              <w:rPr/>
              <w:t>3</w:t>
            </w:r>
          </w:p>
        </w:tc>
      </w:tr>
      <w:tr>
        <w:trPr/>
        <w:tc>
          <w:tcPr>
            <w:tcW w:w="470"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vAlign w:val="center"/>
          </w:tcPr>
          <w:p>
            <w:pPr>
              <w:pStyle w:val="TableContents"/>
              <w:bidi w:val="0"/>
              <w:spacing w:before="0" w:after="283"/>
              <w:jc w:val="left"/>
              <w:rPr/>
            </w:pPr>
            <w:r>
              <w:rPr/>
              <w:t>HOS 240</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pPr>
            <w:r>
              <w:rPr/>
              <w:t>12</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pPr>
            <w:r>
              <w:rPr/>
              <w:t>2</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pPr>
            <w:r>
              <w:rPr/>
              <w:t>—</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pPr>
            <w:r>
              <w:rPr/>
              <w:t>—</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2,712</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pPr>
            <w:r>
              <w:rPr/>
              <w:t>14</w:t>
            </w:r>
          </w:p>
        </w:tc>
      </w:tr>
      <w:tr>
        <w:trPr/>
        <w:tc>
          <w:tcPr>
            <w:tcW w:w="470"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tcMar>
              <w:bottom w:w="28" w:type="dxa"/>
            </w:tcMar>
          </w:tcPr>
          <w:p>
            <w:pPr>
              <w:pStyle w:val="TableContents"/>
              <w:bidi w:val="0"/>
              <w:spacing w:before="0" w:after="283"/>
              <w:jc w:val="left"/>
              <w:rPr/>
            </w:pPr>
            <w:r>
              <w:rPr/>
              <w:t>HOS 200</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tcPr>
          <w:p>
            <w:pPr>
              <w:pStyle w:val="TableContents"/>
              <w:bidi w:val="0"/>
              <w:spacing w:before="0" w:after="283"/>
              <w:jc w:val="center"/>
              <w:rPr/>
            </w:pPr>
            <w:r>
              <w:rPr/>
              <w:t>—</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28" w:type="dxa"/>
            </w:tcMar>
          </w:tcPr>
          <w:p>
            <w:pPr>
              <w:pStyle w:val="TableContents"/>
              <w:bidi w:val="0"/>
              <w:spacing w:before="0" w:after="283"/>
              <w:jc w:val="center"/>
              <w:rPr/>
            </w:pPr>
            <w:r>
              <w:rPr/>
              <w:t>—</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tcMar>
              <w:bottom w:w="28" w:type="dxa"/>
            </w:tcMar>
          </w:tcPr>
          <w:p>
            <w:pPr>
              <w:pStyle w:val="TableContents"/>
              <w:bidi w:val="0"/>
              <w:spacing w:before="0" w:after="283"/>
              <w:jc w:val="center"/>
              <w:rPr/>
            </w:pPr>
            <w:r>
              <w:rPr/>
              <w:t>2</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tcMar>
              <w:bottom w:w="28" w:type="dxa"/>
            </w:tcMar>
          </w:tcPr>
          <w:p>
            <w:pPr>
              <w:pStyle w:val="TableContents"/>
              <w:bidi w:val="0"/>
              <w:spacing w:before="0" w:after="283"/>
              <w:jc w:val="center"/>
              <w:rPr/>
            </w:pPr>
            <w:r>
              <w:rPr/>
              <w:t>—</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tcMar>
              <w:bottom w:w="28" w:type="dxa"/>
            </w:tcMar>
          </w:tcPr>
          <w:p>
            <w:pPr>
              <w:pStyle w:val="TableContents"/>
              <w:bidi w:val="0"/>
              <w:spacing w:before="0" w:after="283"/>
              <w:jc w:val="center"/>
              <w:rPr/>
            </w:pPr>
            <w:r>
              <w:rPr/>
              <w:t>1,729</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tcMar>
              <w:bottom w:w="28" w:type="dxa"/>
            </w:tcMar>
          </w:tcPr>
          <w:p>
            <w:pPr>
              <w:pStyle w:val="TableContents"/>
              <w:bidi w:val="0"/>
              <w:spacing w:before="0" w:after="283"/>
              <w:jc w:val="center"/>
              <w:rPr/>
            </w:pPr>
            <w:r>
              <w:rPr/>
              <w:t>2</w:t>
            </w:r>
          </w:p>
        </w:tc>
      </w:tr>
      <w:tr>
        <w:trPr>
          <w:trHeight w:val="75" w:hRule="atLeast"/>
        </w:trPr>
        <w:tc>
          <w:tcPr>
            <w:tcW w:w="470" w:type="dxa"/>
            <w:tcBorders/>
            <w:vAlign w:val="center"/>
          </w:tcPr>
          <w:p>
            <w:pPr>
              <w:pStyle w:val="TableContents"/>
              <w:bidi w:val="0"/>
              <w:spacing w:before="0" w:after="283"/>
              <w:jc w:val="left"/>
              <w:rPr>
                <w:sz w:val="4"/>
                <w:szCs w:val="4"/>
              </w:rPr>
            </w:pPr>
            <w:r>
              <w:rPr>
                <w:sz w:val="4"/>
                <w:szCs w:val="4"/>
              </w:rPr>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shd w:fill="CCEEFF" w:val="clear"/>
            <w:tcMar>
              <w:bottom w:w="28" w:type="dxa"/>
            </w:tcMar>
          </w:tcPr>
          <w:p>
            <w:pPr>
              <w:pStyle w:val="TableContents"/>
              <w:bidi w:val="0"/>
              <w:spacing w:before="0" w:after="283"/>
              <w:jc w:val="left"/>
              <w:rPr>
                <w:b/>
              </w:rPr>
            </w:pPr>
            <w:r>
              <w:rPr>
                <w:b/>
              </w:rPr>
              <w:t>Total Owned OSVs</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shd w:fill="CCEEFF" w:val="clear"/>
            <w:tcMar>
              <w:bottom w:w="28" w:type="dxa"/>
            </w:tcMar>
          </w:tcPr>
          <w:p>
            <w:pPr>
              <w:pStyle w:val="TableContents"/>
              <w:bidi w:val="0"/>
              <w:spacing w:before="0" w:after="283"/>
              <w:jc w:val="center"/>
              <w:rPr>
                <w:b/>
              </w:rPr>
            </w:pPr>
            <w:r>
              <w:rPr>
                <w:b/>
              </w:rPr>
              <w:t>45</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shd w:fill="CCEEFF" w:val="clear"/>
            <w:tcMar>
              <w:bottom w:w="28" w:type="dxa"/>
            </w:tcMar>
          </w:tcPr>
          <w:p>
            <w:pPr>
              <w:pStyle w:val="TableContents"/>
              <w:bidi w:val="0"/>
              <w:spacing w:before="0" w:after="283"/>
              <w:jc w:val="center"/>
              <w:rPr>
                <w:b/>
              </w:rPr>
            </w:pPr>
            <w:r>
              <w:rPr>
                <w:b/>
              </w:rPr>
              <w:t>10</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shd w:fill="CCEEFF" w:val="clear"/>
            <w:tcMar>
              <w:bottom w:w="28" w:type="dxa"/>
            </w:tcMar>
          </w:tcPr>
          <w:p>
            <w:pPr>
              <w:pStyle w:val="TableContents"/>
              <w:bidi w:val="0"/>
              <w:spacing w:before="0" w:after="283"/>
              <w:jc w:val="center"/>
              <w:rPr>
                <w:b/>
              </w:rPr>
            </w:pPr>
            <w:r>
              <w:rPr>
                <w:b/>
              </w:rPr>
              <w:t>2</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shd w:fill="CCEEFF" w:val="clear"/>
            <w:tcMar>
              <w:bottom w:w="28" w:type="dxa"/>
            </w:tcMar>
          </w:tcPr>
          <w:p>
            <w:pPr>
              <w:pStyle w:val="TableContents"/>
              <w:bidi w:val="0"/>
              <w:spacing w:before="0" w:after="283"/>
              <w:jc w:val="center"/>
              <w:rPr>
                <w:b/>
              </w:rPr>
            </w:pPr>
            <w:r>
              <w:rPr>
                <w:b/>
              </w:rPr>
              <w:t>2</w:t>
            </w:r>
          </w:p>
        </w:tc>
        <w:tc>
          <w:tcPr>
            <w:tcW w:w="18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8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shd w:fill="CCEEFF" w:val="clear"/>
            <w:tcMar>
              <w:bottom w:w="28" w:type="dxa"/>
            </w:tcMar>
          </w:tcPr>
          <w:p>
            <w:pPr>
              <w:pStyle w:val="TableContents"/>
              <w:bidi w:val="0"/>
              <w:spacing w:before="0" w:after="283"/>
              <w:jc w:val="center"/>
              <w:rPr>
                <w:b/>
              </w:rPr>
            </w:pPr>
            <w:r>
              <w:rPr>
                <w:b/>
              </w:rPr>
              <w:t>59(2)</w:t>
            </w:r>
          </w:p>
        </w:tc>
      </w:tr>
      <w:tr>
        <w:trPr>
          <w:trHeight w:val="75" w:hRule="atLeast"/>
        </w:trPr>
        <w:tc>
          <w:tcPr>
            <w:tcW w:w="470" w:type="dxa"/>
            <w:tcBorders>
              <w:right w:val="single" w:sz="2" w:space="0" w:color="000000"/>
            </w:tcBorders>
            <w:tcMar>
              <w:right w:w="28" w:type="dxa"/>
            </w:tcMar>
            <w:vAlign w:val="center"/>
          </w:tcPr>
          <w:p>
            <w:pPr>
              <w:pStyle w:val="TableContents"/>
              <w:bidi w:val="0"/>
              <w:spacing w:before="0" w:after="283"/>
              <w:jc w:val="left"/>
              <w:rPr/>
            </w:pPr>
            <w:r>
              <w:rPr/>
              <w:t> </w:t>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drawing>
                <wp:inline distT="0" distB="0" distL="0" distR="0">
                  <wp:extent cx="137160" cy="5264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7160" cy="526415"/>
                          </a:xfrm>
                          <a:prstGeom prst="rect">
                            <a:avLst/>
                          </a:prstGeom>
                        </pic:spPr>
                      </pic:pic>
                    </a:graphicData>
                  </a:graphic>
                </wp:inline>
              </w:drawing>
            </w:r>
            <w:r>
              <w:rPr/>
              <w:t xml:space="preserve"> </w:t>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tcMar>
              <w:bottom w:w="28" w:type="dxa"/>
            </w:tcMar>
            <w:vAlign w:val="center"/>
          </w:tcPr>
          <w:p>
            <w:pPr>
              <w:pStyle w:val="TableContents"/>
              <w:bidi w:val="0"/>
              <w:spacing w:before="0" w:after="283"/>
              <w:jc w:val="left"/>
              <w:rPr/>
            </w:pPr>
            <w:r>
              <w:rPr/>
              <w:t>USN T-AGSE</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center"/>
          </w:tcPr>
          <w:p>
            <w:pPr>
              <w:pStyle w:val="TableContents"/>
              <w:bidi w:val="0"/>
              <w:spacing w:before="0" w:after="283"/>
              <w:jc w:val="center"/>
              <w:rPr/>
            </w:pPr>
            <w:r>
              <w:rPr/>
              <w:t>4</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28" w:type="dxa"/>
            </w:tcMar>
            <w:vAlign w:val="center"/>
          </w:tcPr>
          <w:p>
            <w:pPr>
              <w:pStyle w:val="TableContents"/>
              <w:bidi w:val="0"/>
              <w:spacing w:before="0" w:after="283"/>
              <w:jc w:val="center"/>
              <w:rPr/>
            </w:pPr>
            <w:r>
              <w:rPr/>
              <w:t>—</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tcMar>
              <w:bottom w:w="28" w:type="dxa"/>
            </w:tcMar>
            <w:vAlign w:val="center"/>
          </w:tcPr>
          <w:p>
            <w:pPr>
              <w:pStyle w:val="TableContents"/>
              <w:bidi w:val="0"/>
              <w:spacing w:before="0" w:after="283"/>
              <w:jc w:val="center"/>
              <w:rPr/>
            </w:pPr>
            <w:r>
              <w:rPr/>
              <w:t>—</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tcMar>
              <w:bottom w:w="28" w:type="dxa"/>
            </w:tcMar>
            <w:vAlign w:val="center"/>
          </w:tcPr>
          <w:p>
            <w:pPr>
              <w:pStyle w:val="TableContents"/>
              <w:bidi w:val="0"/>
              <w:spacing w:before="0" w:after="283"/>
              <w:jc w:val="center"/>
              <w:rPr/>
            </w:pPr>
            <w:r>
              <w:rPr/>
              <w:t>—</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tcMar>
              <w:bottom w:w="28" w:type="dxa"/>
            </w:tcMar>
            <w:vAlign w:val="center"/>
          </w:tcPr>
          <w:p>
            <w:pPr>
              <w:pStyle w:val="TableContents"/>
              <w:bidi w:val="0"/>
              <w:spacing w:before="0" w:after="283"/>
              <w:jc w:val="center"/>
              <w:rPr/>
            </w:pPr>
            <w:r>
              <w:rPr/>
              <w:t>DP-2</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tcMar>
              <w:bottom w:w="28" w:type="dxa"/>
            </w:tcMar>
            <w:vAlign w:val="center"/>
          </w:tcPr>
          <w:p>
            <w:pPr>
              <w:pStyle w:val="TableContents"/>
              <w:bidi w:val="0"/>
              <w:spacing w:before="0" w:after="283"/>
              <w:jc w:val="center"/>
              <w:rPr/>
            </w:pPr>
            <w:r>
              <w:rPr/>
              <w:t>4(3)</w:t>
            </w:r>
          </w:p>
        </w:tc>
      </w:tr>
      <w:tr>
        <w:trPr>
          <w:trHeight w:val="75" w:hRule="atLeast"/>
        </w:trPr>
        <w:tc>
          <w:tcPr>
            <w:tcW w:w="470" w:type="dxa"/>
            <w:tcBorders/>
            <w:vAlign w:val="center"/>
          </w:tcPr>
          <w:p>
            <w:pPr>
              <w:pStyle w:val="TableContents"/>
              <w:bidi w:val="0"/>
              <w:spacing w:before="0" w:after="283"/>
              <w:jc w:val="left"/>
              <w:rPr>
                <w:sz w:val="4"/>
                <w:szCs w:val="4"/>
              </w:rPr>
            </w:pPr>
            <w:r>
              <w:rPr>
                <w:sz w:val="4"/>
                <w:szCs w:val="4"/>
              </w:rPr>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shd w:fill="CCEEFF" w:val="clear"/>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tcPr>
          <w:p>
            <w:pPr>
              <w:pStyle w:val="TableContents"/>
              <w:bidi w:val="0"/>
              <w:spacing w:before="0" w:after="283"/>
              <w:jc w:val="left"/>
              <w:rPr>
                <w:b/>
              </w:rPr>
            </w:pPr>
            <w:r>
              <w:rPr>
                <w:b/>
              </w:rPr>
              <w:t>Total Operated OSVs</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b/>
              </w:rPr>
            </w:pPr>
            <w:r>
              <w:rPr>
                <w:b/>
              </w:rPr>
              <w:t>49</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b/>
              </w:rPr>
            </w:pPr>
            <w:r>
              <w:rPr>
                <w:b/>
              </w:rPr>
              <w:t>10</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b/>
              </w:rPr>
            </w:pPr>
            <w:r>
              <w:rPr>
                <w:b/>
              </w:rPr>
              <w:t>2</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b/>
              </w:rPr>
            </w:pPr>
            <w:r>
              <w:rPr>
                <w:b/>
              </w:rPr>
              <w:t>2</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b/>
              </w:rPr>
            </w:pPr>
            <w:r>
              <w:rPr>
                <w:b/>
              </w:rPr>
              <w:t>63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mid-spec vessels and low-spec vessels.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22 stacked vessels, comprised of one HOSFLEX 370, two HOSMAX 280s, one HOS 265, three HOS 250s, 13 HOS 240s and two HOS 200s.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four OSVs formerly owned by us and that we now operate and maintain for the U.S. Navy.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MPSV Fleet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illustrates our fleet of MPSVs and the nations in which they are flagged as of July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5"/>
        <w:gridCol w:w="280"/>
        <w:gridCol w:w="467"/>
        <w:gridCol w:w="686"/>
        <w:gridCol w:w="141"/>
        <w:gridCol w:w="616"/>
        <w:gridCol w:w="60"/>
        <w:gridCol w:w="686"/>
        <w:gridCol w:w="172"/>
        <w:gridCol w:w="784"/>
        <w:gridCol w:w="60"/>
        <w:gridCol w:w="686"/>
        <w:gridCol w:w="121"/>
        <w:gridCol w:w="859"/>
        <w:gridCol w:w="60"/>
        <w:gridCol w:w="686"/>
        <w:gridCol w:w="1456"/>
      </w:tblGrid>
      <w:tr>
        <w:trPr/>
        <w:tc>
          <w:tcPr>
            <w:tcW w:w="238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385" w:type="dxa"/>
            <w:tcBorders>
              <w:bottom w:val="single" w:sz="2" w:space="0" w:color="000000"/>
            </w:tcBorders>
            <w:tcMar>
              <w:bottom w:w="28" w:type="dxa"/>
            </w:tcMar>
            <w:vAlign w:val="bottom"/>
          </w:tcPr>
          <w:p>
            <w:pPr>
              <w:pStyle w:val="TableContents"/>
              <w:bidi w:val="0"/>
              <w:spacing w:before="0" w:after="283"/>
              <w:jc w:val="left"/>
              <w:rPr>
                <w:b/>
              </w:rPr>
            </w:pPr>
            <w:r>
              <w:rPr>
                <w:b/>
              </w:rPr>
              <w:t>Vessel Class</w:t>
            </w:r>
          </w:p>
        </w:tc>
        <w:tc>
          <w:tcPr>
            <w:tcW w:w="280" w:type="dxa"/>
            <w:tcBorders>
              <w:bottom w:val="single" w:sz="2" w:space="0" w:color="000000"/>
            </w:tcBorders>
            <w:tcMar>
              <w:bottom w:w="28" w:type="dxa"/>
            </w:tcMar>
            <w:vAlign w:val="bottom"/>
          </w:tcPr>
          <w:p>
            <w:pPr>
              <w:pStyle w:val="TableContents"/>
              <w:bidi w:val="0"/>
              <w:spacing w:before="0" w:after="283"/>
              <w:jc w:val="left"/>
              <w:rPr/>
            </w:pPr>
            <w:r>
              <w:rPr/>
              <w:t>  </w:t>
            </w:r>
          </w:p>
        </w:tc>
        <w:tc>
          <w:tcPr>
            <w:tcW w:w="467" w:type="dxa"/>
            <w:tcBorders>
              <w:bottom w:val="single" w:sz="2" w:space="0" w:color="000000"/>
            </w:tcBorders>
            <w:tcMar>
              <w:bottom w:w="28" w:type="dxa"/>
            </w:tcMar>
            <w:vAlign w:val="bottom"/>
          </w:tcPr>
          <w:p>
            <w:pPr>
              <w:pStyle w:val="TableContents"/>
              <w:bidi w:val="0"/>
              <w:spacing w:before="0" w:after="283"/>
              <w:jc w:val="center"/>
              <w:rPr>
                <w:b/>
              </w:rPr>
            </w:pPr>
            <w:r>
              <w:rPr>
                <w:b/>
              </w:rPr>
              <w:t>U.S.</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75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Mexico</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9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Vanuatu</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DP Class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456" w:type="dxa"/>
            <w:tcBorders>
              <w:bottom w:val="single" w:sz="2" w:space="0" w:color="000000"/>
            </w:tcBorders>
            <w:tcMar>
              <w:bottom w:w="28" w:type="dxa"/>
            </w:tcMar>
            <w:vAlign w:val="bottom"/>
          </w:tcPr>
          <w:p>
            <w:pPr>
              <w:pStyle w:val="TableContents"/>
              <w:bidi w:val="0"/>
              <w:spacing w:before="0" w:after="283"/>
              <w:jc w:val="center"/>
              <w:rPr>
                <w:b/>
              </w:rPr>
            </w:pPr>
            <w:r>
              <w:rPr>
                <w:b/>
              </w:rPr>
              <w:t>Total in Class</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HOS C/SOV+FLOTEL(1) </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center"/>
              <w:rPr/>
            </w:pPr>
            <w:r>
              <w:rPr/>
              <w:t>1</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DP-2</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center"/>
              <w:rPr/>
            </w:pPr>
            <w:r>
              <w:rPr/>
              <w:t>1</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FLOTEL</w:t>
            </w:r>
          </w:p>
        </w:tc>
        <w:tc>
          <w:tcPr>
            <w:tcW w:w="280" w:type="dxa"/>
            <w:tcBorders/>
            <w:vAlign w:val="bottom"/>
          </w:tcPr>
          <w:p>
            <w:pPr>
              <w:pStyle w:val="TableContents"/>
              <w:bidi w:val="0"/>
              <w:spacing w:before="0" w:after="283"/>
              <w:jc w:val="left"/>
              <w:rPr/>
            </w:pPr>
            <w:r>
              <w:rPr/>
              <w:t>  </w:t>
            </w:r>
          </w:p>
        </w:tc>
        <w:tc>
          <w:tcPr>
            <w:tcW w:w="467" w:type="dxa"/>
            <w:tcBorders/>
            <w:vAlign w:val="center"/>
          </w:tcPr>
          <w:p>
            <w:pPr>
              <w:pStyle w:val="TableContents"/>
              <w:bidi w:val="0"/>
              <w:spacing w:before="0" w:after="283"/>
              <w:jc w:val="center"/>
              <w:rPr/>
            </w:pPr>
            <w:r>
              <w:rPr/>
              <w:t>2</w:t>
            </w:r>
          </w:p>
        </w:tc>
        <w:tc>
          <w:tcPr>
            <w:tcW w:w="686" w:type="dxa"/>
            <w:tcBorders/>
            <w:vAlign w:val="bottom"/>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pPr>
            <w:r>
              <w:rPr/>
              <w:t>DP-2</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430</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center"/>
              <w:rPr/>
            </w:pPr>
            <w:r>
              <w:rPr/>
              <w:t>—</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center"/>
              <w:rPr/>
            </w:pPr>
            <w:r>
              <w:rPr/>
              <w:t>DP-3</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HOS 400(2) </w:t>
            </w:r>
          </w:p>
        </w:tc>
        <w:tc>
          <w:tcPr>
            <w:tcW w:w="280" w:type="dxa"/>
            <w:tcBorders/>
            <w:vAlign w:val="bottom"/>
          </w:tcPr>
          <w:p>
            <w:pPr>
              <w:pStyle w:val="TableContents"/>
              <w:bidi w:val="0"/>
              <w:spacing w:before="0" w:after="283"/>
              <w:jc w:val="left"/>
              <w:rPr/>
            </w:pPr>
            <w:r>
              <w:rPr/>
              <w:t>  </w:t>
            </w:r>
          </w:p>
        </w:tc>
        <w:tc>
          <w:tcPr>
            <w:tcW w:w="467" w:type="dxa"/>
            <w:tcBorders/>
            <w:vAlign w:val="center"/>
          </w:tcPr>
          <w:p>
            <w:pPr>
              <w:pStyle w:val="TableContents"/>
              <w:bidi w:val="0"/>
              <w:spacing w:before="0" w:after="283"/>
              <w:jc w:val="center"/>
              <w:rPr/>
            </w:pPr>
            <w:r>
              <w:rPr/>
              <w:t>2</w:t>
            </w:r>
          </w:p>
        </w:tc>
        <w:tc>
          <w:tcPr>
            <w:tcW w:w="686" w:type="dxa"/>
            <w:tcBorders/>
            <w:vAlign w:val="bottom"/>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pPr>
            <w:r>
              <w:rPr/>
              <w:t>DP-2</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310/310ES</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center"/>
              <w:rPr/>
            </w:pPr>
            <w:r>
              <w:rPr/>
              <w:t>3</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center"/>
              <w:rPr/>
            </w:pPr>
            <w:r>
              <w:rPr/>
              <w:t>DP-2</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pPr>
            <w:r>
              <w:rPr/>
              <w:t>3</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265</w:t>
            </w:r>
          </w:p>
        </w:tc>
        <w:tc>
          <w:tcPr>
            <w:tcW w:w="280" w:type="dxa"/>
            <w:tcBorders/>
            <w:vAlign w:val="bottom"/>
          </w:tcPr>
          <w:p>
            <w:pPr>
              <w:pStyle w:val="TableContents"/>
              <w:bidi w:val="0"/>
              <w:spacing w:before="0" w:after="283"/>
              <w:jc w:val="left"/>
              <w:rPr/>
            </w:pPr>
            <w:r>
              <w:rPr/>
              <w:t>  </w:t>
            </w:r>
          </w:p>
        </w:tc>
        <w:tc>
          <w:tcPr>
            <w:tcW w:w="467" w:type="dxa"/>
            <w:tcBorders/>
            <w:vAlign w:val="center"/>
          </w:tcPr>
          <w:p>
            <w:pPr>
              <w:pStyle w:val="TableContents"/>
              <w:bidi w:val="0"/>
              <w:spacing w:before="0" w:after="283"/>
              <w:jc w:val="center"/>
              <w:rPr/>
            </w:pPr>
            <w:r>
              <w:rPr/>
              <w:t>—</w:t>
            </w:r>
          </w:p>
        </w:tc>
        <w:tc>
          <w:tcPr>
            <w:tcW w:w="686" w:type="dxa"/>
            <w:tcBorders/>
            <w:vAlign w:val="bottom"/>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pPr>
            <w:r>
              <w:rPr/>
              <w:t>DP-2</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pPr>
            <w:r>
              <w:rPr/>
              <w:t>1</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250</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center"/>
              <w:rPr/>
            </w:pPr>
            <w:r>
              <w:rPr/>
              <w:t>2</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center"/>
              <w:rPr/>
            </w:pPr>
            <w:r>
              <w:rPr/>
              <w:t>DP-2</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HOS 240</w:t>
            </w:r>
          </w:p>
        </w:tc>
        <w:tc>
          <w:tcPr>
            <w:tcW w:w="280" w:type="dxa"/>
            <w:tcBorders>
              <w:bottom w:val="single" w:sz="2" w:space="0" w:color="000000"/>
            </w:tcBorders>
            <w:tcMar>
              <w:bottom w:w="28" w:type="dxa"/>
            </w:tcMar>
            <w:vAlign w:val="bottom"/>
          </w:tcPr>
          <w:p>
            <w:pPr>
              <w:pStyle w:val="TableContents"/>
              <w:bidi w:val="0"/>
              <w:spacing w:before="0" w:after="283"/>
              <w:jc w:val="left"/>
              <w:rPr/>
            </w:pPr>
            <w:r>
              <w:rPr/>
              <w:t>  </w:t>
            </w:r>
          </w:p>
        </w:tc>
        <w:tc>
          <w:tcPr>
            <w:tcW w:w="467" w:type="dxa"/>
            <w:tcBorders>
              <w:bottom w:val="single" w:sz="2" w:space="0" w:color="000000"/>
            </w:tcBorders>
            <w:tcMar>
              <w:bottom w:w="28" w:type="dxa"/>
            </w:tcMar>
            <w:vAlign w:val="center"/>
          </w:tcPr>
          <w:p>
            <w:pPr>
              <w:pStyle w:val="TableContents"/>
              <w:bidi w:val="0"/>
              <w:spacing w:before="0" w:after="283"/>
              <w:jc w:val="center"/>
              <w:rPr/>
            </w:pPr>
            <w:r>
              <w:rPr/>
              <w:t>2</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vAlign w:val="center"/>
          </w:tcPr>
          <w:p>
            <w:pPr>
              <w:pStyle w:val="TableContents"/>
              <w:bidi w:val="0"/>
              <w:spacing w:before="0" w:after="283"/>
              <w:jc w:val="left"/>
              <w:rPr/>
            </w:pPr>
            <w:r>
              <w:rPr/>
              <w:t> </w:t>
            </w:r>
          </w:p>
        </w:tc>
        <w:tc>
          <w:tcPr>
            <w:tcW w:w="616" w:type="dxa"/>
            <w:tcBorders>
              <w:bottom w:val="single" w:sz="2" w:space="0" w:color="000000"/>
            </w:tcBorders>
            <w:tcMar>
              <w:bottom w:w="28" w:type="dxa"/>
            </w:tcMar>
            <w:vAlign w:val="center"/>
          </w:tcPr>
          <w:p>
            <w:pPr>
              <w:pStyle w:val="TableContents"/>
              <w:bidi w:val="0"/>
              <w:spacing w:before="0" w:after="283"/>
              <w:jc w:val="center"/>
              <w:rPr/>
            </w:pP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tcMar>
              <w:bottom w:w="28" w:type="dxa"/>
            </w:tcMar>
            <w:vAlign w:val="center"/>
          </w:tcPr>
          <w:p>
            <w:pPr>
              <w:pStyle w:val="TableContents"/>
              <w:bidi w:val="0"/>
              <w:spacing w:before="0" w:after="283"/>
              <w:jc w:val="left"/>
              <w:rPr/>
            </w:pPr>
            <w:r>
              <w:rPr/>
              <w:t> </w:t>
            </w:r>
          </w:p>
        </w:tc>
        <w:tc>
          <w:tcPr>
            <w:tcW w:w="784" w:type="dxa"/>
            <w:tcBorders>
              <w:bottom w:val="single" w:sz="2" w:space="0" w:color="000000"/>
            </w:tcBorders>
            <w:tcMar>
              <w:bottom w:w="28" w:type="dxa"/>
            </w:tcMar>
            <w:vAlign w:val="center"/>
          </w:tcPr>
          <w:p>
            <w:pPr>
              <w:pStyle w:val="TableContents"/>
              <w:bidi w:val="0"/>
              <w:spacing w:before="0" w:after="283"/>
              <w:jc w:val="center"/>
              <w:rPr/>
            </w:pP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21" w:type="dxa"/>
            <w:tcBorders>
              <w:bottom w:val="single" w:sz="2" w:space="0" w:color="000000"/>
            </w:tcBorders>
            <w:tcMar>
              <w:bottom w:w="28" w:type="dxa"/>
            </w:tcMar>
            <w:vAlign w:val="center"/>
          </w:tcPr>
          <w:p>
            <w:pPr>
              <w:pStyle w:val="TableContents"/>
              <w:bidi w:val="0"/>
              <w:spacing w:before="0" w:after="283"/>
              <w:jc w:val="left"/>
              <w:rPr/>
            </w:pPr>
            <w:r>
              <w:rPr/>
              <w:t> </w:t>
            </w:r>
          </w:p>
        </w:tc>
        <w:tc>
          <w:tcPr>
            <w:tcW w:w="859" w:type="dxa"/>
            <w:tcBorders>
              <w:bottom w:val="single" w:sz="2" w:space="0" w:color="000000"/>
            </w:tcBorders>
            <w:tcMar>
              <w:bottom w:w="28" w:type="dxa"/>
            </w:tcMar>
            <w:vAlign w:val="center"/>
          </w:tcPr>
          <w:p>
            <w:pPr>
              <w:pStyle w:val="TableContents"/>
              <w:bidi w:val="0"/>
              <w:spacing w:before="0" w:after="283"/>
              <w:jc w:val="center"/>
              <w:rPr/>
            </w:pPr>
            <w:r>
              <w:rPr/>
              <w:t>DP-2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456" w:type="dxa"/>
            <w:tcBorders>
              <w:bottom w:val="single" w:sz="2" w:space="0" w:color="000000"/>
            </w:tcBorders>
            <w:tcMar>
              <w:bottom w:w="28" w:type="dxa"/>
            </w:tcMar>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MPSVs</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center"/>
              <w:rPr>
                <w:b/>
              </w:rPr>
            </w:pPr>
            <w:r>
              <w:rPr>
                <w:b/>
              </w:rPr>
              <w:t>12</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center"/>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center"/>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b/>
              </w:rPr>
            </w:pPr>
            <w:r>
              <w:rPr>
                <w:b/>
              </w:rPr>
              <w:t>15</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two partially constructed Jones Act-qualified MPSV newbuilds to be completed pursuant to our settlement with the Surety, as discussed further in “Management’s Discussion and Analysis of Financial Condition and Results of Operations—Recent Developments—MPSV Newbuild Construction.”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two stacked HOS 240s.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our fleet of vessels and workforce-in-place differentiate us and provide us with a unique footprint that would be extremely difficult to replicate by competitors. To that end, we consistently monitor several third-party marine industry vessel appraisal services that approximate the current fair market value, replacement value, and liquidation value of our types of vessels across the global OSV and MPSV landscape. These estimates are algorithmically formulated based upon vessel age, build specification, capabilities and recent comparable vessel sales, among other criteria. According to one such third-party appraisal provider, VesselsValueTM, our fleet of 59 OSVs and 15 MPSVs had a fair market value of approximately $2.8 billion and a newbuild, or replacement, value of approximately $5.4 billion as of October 31, 2025. We believe these estimates help quantify the unique value proposition and capabilities of our fleet and the tremendous impact they bring to our customers and the service-offering and geographical end-markets that we serve. </w:t>
      </w:r>
    </w:p>
    <w:p>
      <w:pPr>
        <w:pStyle w:val="TextBody"/>
        <w:bidi w:val="0"/>
        <w:spacing w:before="360" w:after="0"/>
        <w:jc w:val="left"/>
        <w:rPr>
          <w:rFonts w:ascii="Times New Roman" w:hAnsi="Times New Roman"/>
          <w:i/>
          <w:sz w:val="20"/>
        </w:rPr>
      </w:pPr>
      <w:r>
        <w:rPr>
          <w:rFonts w:ascii="Times New Roman" w:hAnsi="Times New Roman"/>
          <w:i/>
          <w:sz w:val="20"/>
        </w:rPr>
        <w:t xml:space="preserve">Newbuild MPSVs </w:t>
      </w:r>
    </w:p>
    <w:p>
      <w:pPr>
        <w:pStyle w:val="TextBody"/>
        <w:bidi w:val="0"/>
        <w:spacing w:before="120" w:after="0"/>
        <w:jc w:val="left"/>
        <w:rPr>
          <w:rFonts w:ascii="Times New Roman" w:hAnsi="Times New Roman"/>
          <w:sz w:val="20"/>
        </w:rPr>
      </w:pPr>
      <w:r>
        <w:rPr>
          <w:rFonts w:ascii="Times New Roman" w:hAnsi="Times New Roman"/>
          <w:sz w:val="20"/>
        </w:rPr>
        <w:t xml:space="preserve">On October 9, 2023, we entered into a final settlement agreement with the Surety for two MPSVs previously under construction at Gulf Island. Pursuant to the agreement, the Surety agreed to take over and complete the construction of the two U.S.-flagged, Jones Act-qualified, HOS 400 class MPSVs at a shipyard acceptable to us. In December 2023, Eastern was contracted by the Surety to complete the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subsequent to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Following physical delivery by the shipyard, each vessel is expected to undergo crane and other system installations and the vessels are expected to be available for commercial service in 2027. Once placed in service, we expect that our book carrying value for each vessel will be approximately $80.0 million, which is significantly below the expected market value of Jones Act-qualified vessels of this age, type, size and specifications.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believe our two newbuild MPSVs will represent the newest, most technologically advanced MPSVs in the industry; in fact, our vessels will represent the only Jones Act-qualified newbuild vessels that have been delivered since 2016. We believe that the differentiated capabilities of these vessels will allow us to satisfy our customers’ more demanding projects and enable us to secure vessel dayrates at the higher end of the spectrum, further enhancing our financial margins and profitability. Upon delivery, we anticipate that both vessels will have the ability to assist in subsea construction, light well intervention, and offshore wind installation projects with the ability to also support our military end-market opportunities.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959225" cy="22371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959225" cy="22371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Rendering of 400’ MPSV currently under construction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Shore-Based Facility </w:t>
      </w:r>
    </w:p>
    <w:p>
      <w:pPr>
        <w:pStyle w:val="TextBody"/>
        <w:bidi w:val="0"/>
        <w:spacing w:before="120" w:after="0"/>
        <w:jc w:val="left"/>
        <w:rPr>
          <w:rFonts w:ascii="Times New Roman" w:hAnsi="Times New Roman"/>
          <w:sz w:val="20"/>
        </w:rPr>
      </w:pPr>
      <w:r>
        <w:rPr>
          <w:rFonts w:ascii="Times New Roman" w:hAnsi="Times New Roman"/>
          <w:sz w:val="20"/>
        </w:rPr>
        <w:t xml:space="preserve">We own long-term lease rights to a port facility located in Port Fourchon, Louisiana, referred to as “HOS Port.” Port Fourchon’s proximity to the deepwater and ultra-deepwater U.S. GoA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the Greater Lafourche Port Commission website as of October 31, 2025, Port Fourchon currently services over 95% of the Gulf of America’s deepwater and ultra-deepwater energy production.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31235" cy="23641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531235" cy="236410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HOS Port Facility in Port Fourchon Louisiana </w:t>
      </w:r>
    </w:p>
    <w:p>
      <w:pPr>
        <w:pStyle w:val="TextBody"/>
        <w:bidi w:val="0"/>
        <w:spacing w:before="240" w:after="0"/>
        <w:jc w:val="left"/>
        <w:rPr>
          <w:rFonts w:ascii="Times New Roman" w:hAnsi="Times New Roman"/>
          <w:sz w:val="20"/>
        </w:rPr>
      </w:pPr>
      <w:r>
        <w:rPr>
          <w:rFonts w:ascii="Times New Roman" w:hAnsi="Times New Roman"/>
          <w:sz w:val="20"/>
        </w:rPr>
        <w:t xml:space="preserve">The HOS Port facility has approximately 9 and 10 years remaining through renewal options on the current leases for the two adjacent parcels, respectively. The combined acreage of HOS Port is approximately 60 acres with total waterfront bulkhead of nearly 3,000 linear feet. HOS Port not only supports our existing fleet and customers’ deepwater and ultra-deepwater logistics requirements, but it underscores our long-term commitment to and our long-term outlook for the deepwater and ultra-deepwater GoA.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Markets and Applications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OSVs and MPSVs has changed dramatically over the last decade, driven by vastly more complex offshore oil and gas production requirements in deepwater and ultra-deepwater regions, requiring highly-capable vessels. Moreover, such shifts in oilfield demand fundamentals have been complemented by incremental demand from emerging non-oilfield customer markets, including military support services, renewable energy development, HADR, aerospace and other non-oilfield service offerings that can benefit from the capabilities of our unique vessel classes. In response to changing market conditions and customer demand, we regularly transfer vessels between and within our core geographic regions and adapt equipment and features of our vessels to best meet potential revenue opportunities. Each customer market has specialized service needs and vessel requirements and we believe our flexible fleet enables us to adapt to changing demand across our markets. Historically, most of our revenues were generated by deepwater and ultra-deepwater oil and gas drilling support activities; however, for the nine months ended September 30, 2025, only 35% of our revenues were attributed to oil and gas drilling support activities. The remaining approximately 65% of our revenues were generated away from the drill bit, with approximately 32% coming from oilfield specialty services, including offshore IRM, subsea construction and equipment installation, as well as decommissioning and plugging and abandonment work, approximately 19% coming from military support services and approximately 14% coming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other non-oilfield support services, including offshore wind development, construction and support services. As we continue to diversify our customer markets, we expect the non-oilfield markets to continue contributing a significant portion of our revenues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Oilfield Services </w:t>
      </w:r>
    </w:p>
    <w:p>
      <w:pPr>
        <w:pStyle w:val="TextBody"/>
        <w:bidi w:val="0"/>
        <w:spacing w:before="120" w:after="0"/>
        <w:jc w:val="left"/>
        <w:rPr>
          <w:rFonts w:ascii="Times New Roman" w:hAnsi="Times New Roman"/>
          <w:sz w:val="20"/>
        </w:rPr>
      </w:pPr>
      <w:r>
        <w:rPr>
          <w:rFonts w:ascii="Times New Roman" w:hAnsi="Times New Roman"/>
          <w:sz w:val="20"/>
        </w:rPr>
        <w:t xml:space="preserve">We predominantly serve our oilfield customers in the GoA, Mexico, the Caribbean, Northern South America and Brazil. Our vessels provide support to offshore oil and gas exploration and production companies in two key 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shore-based port facility located in Port Fourchon, Louisiana, from which port city 95% of all U.S. GoA oil and gas production is serviced. At our facility, we can stage modular equipment and cargos in support of such services and can also perform some of our own maintenance, outfitting and other in-the-water topside shipyard repair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offshore oil and gas industry operates globally. During the last three decades, the industry has undergone significant technological change driven by the ability to explore and produce hydrocarbons in deepwater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deepwater and ultra-deepwater deposits are located offshore West Africa, the eastern coast of South America—dominated by Brazil and more recently, Guyana—and the GoA. Certain of our primary markets for oilfield services are the cabotage-protected U.S. GoA, Mexico and Brazil. Today, deepwater and ultra-deepwater production accounts for approximately 90% of all offshore production in the U.S. GoA. According to the 2025 EIA Outlook, the GoA production is expected to account for approximately 14% of total forecast U.S. crude oil production in each of 2025 and 2026. While the GoA is one sea, its hydrocarbon resources are geopolitically divided between the United States and Mexico. Deepwater and ultra-deepwater drilling and production has been active for nearly three decades in the U.S. GoA. The Mexican deepwater and ultra-deepwater GoA,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deepwater and ultra-deepwater reservoirs and lease blocks are expected to prove to be as highly productive as neighboring U.S. formations. </w:t>
      </w:r>
    </w:p>
    <w:p>
      <w:pPr>
        <w:pStyle w:val="TextBody"/>
        <w:bidi w:val="0"/>
        <w:spacing w:before="240" w:after="0"/>
        <w:jc w:val="left"/>
        <w:rPr>
          <w:rFonts w:ascii="Times New Roman" w:hAnsi="Times New Roman"/>
          <w:sz w:val="20"/>
        </w:rPr>
      </w:pPr>
      <w:r>
        <w:rPr>
          <w:rFonts w:ascii="Times New Roman" w:hAnsi="Times New Roman"/>
          <w:sz w:val="20"/>
        </w:rPr>
        <w:t xml:space="preserve">The distance of deepwater and ultra-deepwater projects from shore, together with their water and well depths, require large amounts of bulk drilling materials and related supplies. To address the challenges of deepwater and ultra-deepwater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well-qualified to also operate as oil and chemical tankers. </w:t>
      </w:r>
    </w:p>
    <w:p>
      <w:pPr>
        <w:pStyle w:val="TextBody"/>
        <w:bidi w:val="0"/>
        <w:spacing w:before="240" w:after="0"/>
        <w:jc w:val="left"/>
        <w:rPr>
          <w:rFonts w:ascii="Times New Roman" w:hAnsi="Times New Roman"/>
          <w:sz w:val="20"/>
        </w:rPr>
      </w:pPr>
      <w:r>
        <w:rPr>
          <w:rFonts w:ascii="Times New Roman" w:hAnsi="Times New Roman"/>
          <w:sz w:val="20"/>
        </w:rPr>
        <w:t xml:space="preserve">Deepwater and ultra-deepwater successes have driven further innovation around the infrastructure required to produce and transport ashore the abundant resources that have been discovered. The challenges of working in deepwater and ultra-deepwater have pushed the development of technologies to place infrastructure directly onto 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 are brought to the surface, they are gathered from multiple subsea locations through pipelines to a single deepwater or ultra-deepwater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and ultra-deepwater producers have capitalized on their existing deepwater and ultra-deepwater infrastructure to gain efficiencies through the use of “tie-backs.” A tie-back allows a deepwater or ultra-deepwater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requires the services of vessels like our MPSVs.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97555" cy="238315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297555" cy="238315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Rendering of Subsea Oilfield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and ultra-deepwater oilfield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GoA projects typically require two to four OSVs per rig and projects in Brazil occasionally require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and ultra-deepwater drilling rigs in the GoA and Brazil can typically range from six to 24 hours for a vessel. In Brazil, transit time for a vessel to some of the newer, more remote deepwater and ultra-deepwater drilling rig locations are more appropriately measured in days, not hours. As of October 31, 2025, there were 59 floating drilling units operating in the United States and Latin America. Since 2013, that figure has ranged from 39 to 108 with an average of 60.4. </w:t>
      </w:r>
    </w:p>
    <w:p>
      <w:pPr>
        <w:pStyle w:val="TextBody"/>
        <w:bidi w:val="0"/>
        <w:spacing w:before="240" w:after="0"/>
        <w:jc w:val="left"/>
        <w:rPr>
          <w:rFonts w:ascii="Times New Roman" w:hAnsi="Times New Roman"/>
          <w:sz w:val="20"/>
        </w:rPr>
      </w:pPr>
      <w:r>
        <w:rPr>
          <w:rFonts w:ascii="Times New Roman" w:hAnsi="Times New Roman"/>
          <w:sz w:val="20"/>
        </w:rPr>
        <w:t xml:space="preserve">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 </w:t>
      </w:r>
    </w:p>
    <w:p>
      <w:pPr>
        <w:pStyle w:val="TextBody"/>
        <w:bidi w:val="0"/>
        <w:spacing w:before="240" w:after="0"/>
        <w:jc w:val="left"/>
        <w:rPr>
          <w:rFonts w:ascii="Times New Roman" w:hAnsi="Times New Roman"/>
          <w:sz w:val="20"/>
        </w:rPr>
      </w:pPr>
      <w:r>
        <w:rPr>
          <w:rFonts w:ascii="Times New Roman" w:hAnsi="Times New Roman"/>
          <w:sz w:val="20"/>
        </w:rPr>
        <w:t xml:space="preserve">Our MPSVs are principally commissioned by our deepwater and ultra-deepwater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and ultra-deepwater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nearly all of our oilfield customers have pledged reductions in their GHG and carbon emissions across their global operations. We believe that these efforts enhance the value of their GoA operations and prospects due to its relatively low carbon intensity. According to Wood Mackenzie’s Emissions Benchmarking Tool, U.S. Gulf of America Deepwater’s weighted average emissions intensity in 2025 was 7.48 tCO2e/kboe compared to a global weighted average of 21.88 tCO2e/kboe.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60725" cy="244538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260725" cy="244538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HOS Warland Setting Subsea Equipment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Non-Oilfield Services </w:t>
      </w:r>
    </w:p>
    <w:p>
      <w:pPr>
        <w:pStyle w:val="TextBody"/>
        <w:bidi w:val="0"/>
        <w:spacing w:before="120" w:after="0"/>
        <w:jc w:val="left"/>
        <w:rPr>
          <w:rFonts w:ascii="Times New Roman" w:hAnsi="Times New Roman"/>
          <w:i/>
          <w:sz w:val="20"/>
        </w:rPr>
      </w:pPr>
      <w:r>
        <w:rPr>
          <w:rFonts w:ascii="Times New Roman" w:hAnsi="Times New Roman"/>
          <w:i/>
          <w:sz w:val="20"/>
        </w:rPr>
        <w:t xml:space="preserve">Military Support Services (U.S. Government and Navy Support) </w:t>
      </w:r>
    </w:p>
    <w:p>
      <w:pPr>
        <w:pStyle w:val="TextBody"/>
        <w:bidi w:val="0"/>
        <w:spacing w:before="120" w:after="0"/>
        <w:jc w:val="left"/>
        <w:rPr>
          <w:rFonts w:ascii="Times New Roman" w:hAnsi="Times New Roman"/>
          <w:sz w:val="20"/>
        </w:rPr>
      </w:pPr>
      <w:r>
        <w:rPr>
          <w:rFonts w:ascii="Times New Roman" w:hAnsi="Times New Roman"/>
          <w:sz w:val="20"/>
        </w:rPr>
        <w:t xml:space="preserve">Since 2006, we have been a prominent, private sector service provider to the U.S. military by delivering vessels that support their readiness and security. Our military service capabilities are a growing component of our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portfolio and military support is an end-customer market that is of particular importance given the stability provided by the U.S. government’s desire to execute long-term service agreements with qualified private contractors. </w:t>
      </w:r>
    </w:p>
    <w:p>
      <w:pPr>
        <w:pStyle w:val="TextBody"/>
        <w:bidi w:val="0"/>
        <w:spacing w:before="240" w:after="0"/>
        <w:jc w:val="left"/>
        <w:rPr>
          <w:rFonts w:ascii="Times New Roman" w:hAnsi="Times New Roman"/>
          <w:sz w:val="20"/>
        </w:rPr>
      </w:pPr>
      <w:r>
        <w:rPr>
          <w:rFonts w:ascii="Times New Roman" w:hAnsi="Times New Roman"/>
          <w:sz w:val="20"/>
        </w:rPr>
        <w:t xml:space="preserve">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has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mission and expertise required for the operation of these vessels, we operate and maintain these vessels for the United States Navy pursuant to an operations and management O&amp;M contract. In addition, we own, operate and charter to the U.S. government vessels that perform a variety of other missions for the United States Navy. These missions include submarine rescue and recovery capabilities, transportation services and training drills,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Most contracts for work that we perform for the United States Navy are awarded by the MSC, which is an agency within the U.S. Navy that charters vessels for all U.S. armed forces. MSC publicizes its requirements for marine services, and we typically engage in a competitive process in order to be awarded such work. Occasionally, we are awarded charters on the basis of a sole-source award if the project requires specialized services. Our current O&amp;M contract was awarded on a sole-source basis.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35910" cy="188722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835910" cy="1887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Performing offshore submarine support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35910" cy="188722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835910" cy="1887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HOS Resolution configured into amphibious landing vessel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Renewable Energy </w:t>
      </w:r>
    </w:p>
    <w:p>
      <w:pPr>
        <w:pStyle w:val="TextBody"/>
        <w:bidi w:val="0"/>
        <w:spacing w:before="120" w:after="0"/>
        <w:jc w:val="left"/>
        <w:rPr>
          <w:rFonts w:ascii="Times New Roman" w:hAnsi="Times New Roman"/>
          <w:sz w:val="20"/>
        </w:rPr>
      </w:pPr>
      <w:r>
        <w:rPr>
          <w:rFonts w:ascii="Times New Roman" w:hAnsi="Times New Roman"/>
          <w:sz w:val="20"/>
        </w:rPr>
        <w:t xml:space="preserve">Renewable energy, and particularly the U.S. offshore wind market is in its early stage of development and shows potential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installation vessels that install foundations, monopiles and wind turbines;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cable-lay vessels required to install electrical transmission lines between and among units in the field and an offshore or shore-based electrical grid;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MPSVs and flotels necessary to provide a variety of offshore construction, monitoring and accommodation support for windfarm personnel;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OSVs to move equipment from shore to offshore locations.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Trump Administration has announced and taken several actions that could delay or cause the cancellation of several offshore wind projects. Despite these actions, ongoing or completed projects are likely to proceed and continue to create demand for domestic offshore maritime services. Our fleet is capable of handling the full array of services required for offshore wind construction, installation and maintenance. We know of only three Jones Act-qualified SOVs or CSOVs that have been delivered or are under construction. Thus, we believe these types of vessels, which are uniquely suited for offshore wind projects, will be utilized for the projects unaffected by the current administration’s actions. Additionally, due to muted supply increases, these types of vessels may be under-supplied if offshore wind construction is restarted following the moratorium that has been in place since January 2025. However, continued growth of the offshore wind market in the U.S. is not guaranteed and is subject to change, and we intend to continue monitoring such market closely. </w:t>
      </w:r>
    </w:p>
    <w:p>
      <w:pPr>
        <w:pStyle w:val="TextBody"/>
        <w:bidi w:val="0"/>
        <w:spacing w:before="240" w:after="0"/>
        <w:jc w:val="left"/>
        <w:rPr>
          <w:rFonts w:ascii="Times New Roman" w:hAnsi="Times New Roman"/>
          <w:sz w:val="20"/>
        </w:rPr>
      </w:pPr>
      <w:r>
        <w:rPr>
          <w:rFonts w:ascii="Times New Roman" w:hAnsi="Times New Roman"/>
          <w:sz w:val="20"/>
        </w:rPr>
        <w:t xml:space="preserve">Once an offshore windfarm is installed and operational, it requires ongoing services and maintenance provided by a C/SOV, as well as crew transfer vessels to transfer crew between shoreside locations and among offshore wind sites. While pre-construction and construction period vessels are likely to be required for shorter periods in order to execute specific development tasks, C/SOVs and crew transfer vessels are required for the life-of-farm and are typically contracted for five to ten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currently and have recently provided the offshore wind industry with vessels performing walk-to-work services, subsea survey and site-clearing and bubble curtain operations. We expect that our MPSVs will be utilized in offshore windfarm development, as they possess the necessary lifting, DP-capability and accommodations required for offshore construction support. C/SOVs and crew transfer vessels are required to be Jones Act-qualified to engage in the coastwise trade. We believe that given high U.S. shipyard construction costs, it is more economically feasible to utilize existing high-spec domestic vessels for the offshore wind industry. We recently converted one of our U.S.-flagged, Jones Act-qualified, HOSMAX 280 DP-2 OSVs into a dual-use C/SOV + Flotel MPSV, which delivered in early November 2025 and will commence a charter to support an offshore wind project off the U.S. East Coast. We consider the vessel to be dual-use in that it is outfitted to also provide accommodation support services in the offshore oilfield market.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148965" cy="211264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148965" cy="211264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HOS Vessel Positioned in New Jersey for Wind Coring </w:t>
      </w:r>
    </w:p>
    <w:p>
      <w:pPr>
        <w:pStyle w:val="TextBody"/>
        <w:bidi w:val="0"/>
        <w:spacing w:before="360" w:after="0"/>
        <w:jc w:val="left"/>
        <w:rPr>
          <w:rFonts w:ascii="Times New Roman" w:hAnsi="Times New Roman"/>
          <w:i/>
          <w:sz w:val="20"/>
        </w:rPr>
      </w:pPr>
      <w:r>
        <w:rPr>
          <w:rFonts w:ascii="Times New Roman" w:hAnsi="Times New Roman"/>
          <w:i/>
          <w:sz w:val="20"/>
        </w:rPr>
        <w:t xml:space="preserve">Other Non-Oilfield Services </w:t>
      </w:r>
    </w:p>
    <w:p>
      <w:pPr>
        <w:pStyle w:val="TextBody"/>
        <w:bidi w:val="0"/>
        <w:spacing w:before="120" w:after="0"/>
        <w:jc w:val="left"/>
        <w:rPr>
          <w:rFonts w:ascii="Times New Roman" w:hAnsi="Times New Roman"/>
          <w:sz w:val="20"/>
        </w:rPr>
      </w:pPr>
      <w:r>
        <w:rPr>
          <w:rFonts w:ascii="Times New Roman" w:hAnsi="Times New Roman"/>
          <w:sz w:val="20"/>
        </w:rPr>
        <w:t xml:space="preserve">The versatility of our vessels allows us to support communities in our core geographic areas by providing other non-oilfield services, including HADR,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Our HADR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35045" cy="847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535045" cy="84772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HOS Caledonia responding to Hurricane Maria in Puerto Rico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vessels are equipped to support aerospace launches that call for rocket component landing and recovery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Contracting Practices </w:t>
      </w:r>
    </w:p>
    <w:p>
      <w:pPr>
        <w:pStyle w:val="TextBody"/>
        <w:bidi w:val="0"/>
        <w:spacing w:before="120" w:after="0"/>
        <w:jc w:val="left"/>
        <w:rPr>
          <w:rFonts w:ascii="Times New Roman" w:hAnsi="Times New Roman"/>
          <w:i/>
          <w:sz w:val="20"/>
        </w:rPr>
      </w:pPr>
      <w:r>
        <w:rPr>
          <w:rFonts w:ascii="Times New Roman" w:hAnsi="Times New Roman"/>
          <w:i/>
          <w:sz w:val="20"/>
        </w:rPr>
        <w:t xml:space="preserve">Non-Government Customers </w:t>
      </w:r>
    </w:p>
    <w:p>
      <w:pPr>
        <w:pStyle w:val="TextBody"/>
        <w:bidi w:val="0"/>
        <w:spacing w:before="120" w:after="0"/>
        <w:jc w:val="left"/>
        <w:rPr>
          <w:rFonts w:ascii="Times New Roman" w:hAnsi="Times New Roman"/>
          <w:sz w:val="20"/>
        </w:rPr>
      </w:pPr>
      <w:r>
        <w:rPr>
          <w:rFonts w:ascii="Times New Roman" w:hAnsi="Times New Roman"/>
          <w:sz w:val="20"/>
        </w:rPr>
        <w:t xml:space="preserve">Our offshore energy customer charters are the product of either direct negotiation or a competitive proposal process, which evaluates vessel capability, availability and price. Our primary method of chartering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master agreements with certain non-governmental customers, pursuant to which customers may place individual work orders for specific charters. These master agreements are framework agreements that generally include non-economic terms such as administrative matters and indemnification and insurance provisions. However, these master agreements do not obligate us to provide services to any customers, and do not obligate such customers to hire us for any particular project, absent agreement on specific work orders, and the key economic terms of each charter. Such terms, including the specific vessel, length of charter, operating area, termination provisions and dayrates, are set forth in these individual work orders. The charters with customers with whom we have not entered into a master agreement contain provisions that are generally consistent with the terms contained in the master agreements and individual work orders, but are entered into on an individual basis. </w:t>
      </w:r>
    </w:p>
    <w:p>
      <w:pPr>
        <w:pStyle w:val="TextBody"/>
        <w:bidi w:val="0"/>
        <w:spacing w:before="240" w:after="0"/>
        <w:jc w:val="left"/>
        <w:rPr>
          <w:rFonts w:ascii="Times New Roman" w:hAnsi="Times New Roman"/>
          <w:sz w:val="20"/>
        </w:rPr>
      </w:pPr>
      <w:r>
        <w:rPr>
          <w:rFonts w:ascii="Times New Roman" w:hAnsi="Times New Roman"/>
          <w:sz w:val="20"/>
        </w:rPr>
        <w:t xml:space="preserve">Our charters with these customers, whether on a long-term or spot basis, primarily govern the length of the term and the rate charged by us for a vessel. The charters have terms varying from a few days to three years (or longer in certain circumstances). The charters include a fixed dayrate for the primary term whereby for each day that the vessel is under contract to the customer, we earn a fixed amount of charter hire for making the vessel available for the customer’s use, and the dayrate payable for any extension of the charter. These dayrates area based on market rates at the time of entry into each charter. However, long-term charters sometimes contain “cost pass through” provisions that permit us to increase our dayrates to be compensated for certain increased operational expenses or regulatory changes. Many of these charters require the customer to pay a substantial fee for early termination of the charter. Our charters also contain customary insurance and indemnification provisions. These indemnification provisions generally provide that we will indemnify the counterparty for claims for loss or for damage to property, equipment, material and supplies, claims arising from the control, removal, restoration and cleanup of all pollution or contamination, arising from or on account of pollution or contamination which originates from our vessel and other customary coverage. </w:t>
      </w:r>
    </w:p>
    <w:p>
      <w:pPr>
        <w:pStyle w:val="TextBody"/>
        <w:bidi w:val="0"/>
        <w:spacing w:before="360" w:after="0"/>
        <w:jc w:val="left"/>
        <w:rPr>
          <w:rFonts w:ascii="Times New Roman" w:hAnsi="Times New Roman"/>
          <w:i/>
          <w:sz w:val="20"/>
        </w:rPr>
      </w:pPr>
      <w:r>
        <w:rPr>
          <w:rFonts w:ascii="Times New Roman" w:hAnsi="Times New Roman"/>
          <w:i/>
          <w:sz w:val="20"/>
        </w:rPr>
        <w:t xml:space="preserve">U.S. Government Customers </w:t>
      </w:r>
    </w:p>
    <w:p>
      <w:pPr>
        <w:pStyle w:val="TextBody"/>
        <w:bidi w:val="0"/>
        <w:spacing w:before="120" w:after="0"/>
        <w:jc w:val="left"/>
        <w:rPr>
          <w:rFonts w:ascii="Times New Roman" w:hAnsi="Times New Roman"/>
          <w:sz w:val="20"/>
        </w:rPr>
      </w:pPr>
      <w:r>
        <w:rPr>
          <w:rFonts w:ascii="Times New Roman" w:hAnsi="Times New Roman"/>
          <w:sz w:val="20"/>
        </w:rPr>
        <w:t xml:space="preserve">The process for entering into charters with the U.S. government entails the applicable agency posting requests for proposals or solicitations for vessel projects and our bidding on chosen jobs by completing an offer responsive to such solicitations. Once finalized, we will execute a Solicitation, Offer and Award contract with the U.S. government, which will incorporate standard forms of contract issued by the U.S. government, such as for example, a “Specialtime” form for the time chartering of vessels, or an O&amp;M contract if the scope of work is to operate and maintain a government vessel. Similar to the work orders for many of our non-government charters, each Solicitation, Offer and Award contract contains the specific commercial terms for a vessel charter, including the fixed term (typically one to five years for government charters), dayrate and place of delivery. If the applicable agency awards us the charter, the vessel order is governed by the applicable form of contract related to the services provided, the FARs or the D-FARs. Certain clauses of the FARs and D-FARs are incorporated by reference into the Solicitation, Offer and Award contract or O&amp;M Contract, as applicable, and these clauses contain requirements for managing a contract after the award, including conditions under which contracts may be terminated and customary indemnification. While the specific chartering process with the U.S. government is different from the chartering process for our other customers, the description of the general terms of our charters in the last paragraph of “—Non-Government Customers” above generally applies to our U.S. government charters as well.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offshore support vessel industry is highly competitive. Competition primarily involves such factors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quality, capability and age of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quality, capability and nationality of the crew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meet the customer’s schedule and specific logistical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record, reputation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cabotage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U.S. GoA, Mexico GoA and Brazil each have cabotage laws that provide us varying levels of insulation from foreign sources of competition that may be unwilling to invest capital or otherwise satisfy local ownership, crewing, tax and/or build requirements. As such, cabotage-protected markets create meaningful barriers to entry for foreign-flagged vessels. </w:t>
      </w:r>
    </w:p>
    <w:p>
      <w:pPr>
        <w:pStyle w:val="TextBody"/>
        <w:bidi w:val="0"/>
        <w:spacing w:before="240" w:after="0"/>
        <w:jc w:val="left"/>
        <w:rPr>
          <w:rFonts w:ascii="Times New Roman" w:hAnsi="Times New Roman"/>
          <w:sz w:val="20"/>
        </w:rPr>
      </w:pPr>
      <w:r>
        <w:rPr>
          <w:rFonts w:ascii="Times New Roman" w:hAnsi="Times New Roman"/>
          <w:sz w:val="20"/>
        </w:rPr>
        <w:t xml:space="preserve">Our high-spec OSVs are predominantly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GoA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 However, Jones Act-qualified MPSVs can engage in domestic transportation, ancillary to their other services, which can give them a competitive advantage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Competition in the MPSV industry is significantly affected by the particular capabilities of a vessel to meet the requirements of a customer’s project, as well as price. While operating in the U.S. GoA,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GoA are often lower than prices we can charge. Finally, some potential MPSV customers are also owners of MPSVs that will compete with our vessels. </w:t>
      </w:r>
    </w:p>
    <w:p>
      <w:pPr>
        <w:pStyle w:val="TextBody"/>
        <w:bidi w:val="0"/>
        <w:spacing w:before="240" w:after="0"/>
        <w:jc w:val="left"/>
        <w:rPr>
          <w:rFonts w:ascii="Times New Roman" w:hAnsi="Times New Roman"/>
          <w:sz w:val="20"/>
        </w:rPr>
      </w:pPr>
      <w:r>
        <w:rPr>
          <w:rFonts w:ascii="Times New Roman" w:hAnsi="Times New Roman"/>
          <w:sz w:val="20"/>
        </w:rPr>
        <w:t xml:space="preserve">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and whose maiden voyage is to Brazil and which pays Brazilian importation duties. Brazil-flagged vessels must also employ Brazilian crew, but the citizenship of the owners of a Brazilian shipping company is not regulated.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continue to observe intense scrutiny by our customers on the safety and environmental management systems of vessel operators. As a consequence, we believe that deepwater and ultra-deepwater customers are increasingly biased towards companies that have demonstrated a financial and operational commitment and capacity to employ such systems. We believe this trend will, over time, make it difficult for small enterprises to compete effectively in the deepwater and ultra-deepwater OSV and MPSV markets. </w:t>
      </w:r>
    </w:p>
    <w:p>
      <w:pPr>
        <w:pStyle w:val="TextBody"/>
        <w:bidi w:val="0"/>
        <w:spacing w:before="240" w:after="0"/>
        <w:jc w:val="left"/>
        <w:rPr>
          <w:rFonts w:ascii="Times New Roman" w:hAnsi="Times New Roman"/>
          <w:sz w:val="20"/>
        </w:rPr>
      </w:pPr>
      <w:r>
        <w:rPr>
          <w:rFonts w:ascii="Times New Roman" w:hAnsi="Times New Roman"/>
          <w:sz w:val="20"/>
        </w:rPr>
        <w:t xml:space="preserve">Although some of our principal competitors are larger or have more extensive international operations than we do, we believe that our operating capabilities and reputation for quality and safety enable us to compete effectively in the market areas in which we operate or intend to operate. Moreover, we believe that the relatively young age and advanced features of our OSV and MPSV fleet provide us with additional competitive advantages. As of October 31, 2025, our total fleet of 59 OSVs and 15 MPSVs included two partially constructed Jones Act-qualified MPSV newbuilds to be completed pursuant to our settlement with Surety, as discussed further in “Management’s Discussion and Analysis of Financial Condition and Results of Operations—Recent Developments—MPSV Newbuild Construction.”. At that date we operated an active OSV fleet of 37 vessels of which approximately 99% were categorized as high- or ultra high-spec. These high- and ultra high-spec vessels range in age from 10-23 years with a weighted-average fleet age, based on DWT, of 13.7 years. In fact, approximately 84% of these vessels have been constructed since January 1, 2008, and 100% have DP-2 capabilities. Similarly, our active MPSV fleet is comprised of 12 vessels that range in age from 10-25 years with 100% of those vessels possessing DP-2 or DP-3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Dependency </w:t>
      </w:r>
    </w:p>
    <w:p>
      <w:pPr>
        <w:pStyle w:val="TextBody"/>
        <w:bidi w:val="0"/>
        <w:spacing w:before="120" w:after="0"/>
        <w:jc w:val="left"/>
        <w:rPr>
          <w:rFonts w:ascii="Times New Roman" w:hAnsi="Times New Roman"/>
          <w:sz w:val="20"/>
        </w:rPr>
      </w:pPr>
      <w:r>
        <w:rPr>
          <w:rFonts w:ascii="Times New Roman" w:hAnsi="Times New Roman"/>
          <w:sz w:val="20"/>
        </w:rPr>
        <w:t xml:space="preserve">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MSC, a department that is responsible for the contracting of marine vessels and services for all branches of the United States Armed Forces. For the nine months ended September 30, 2025, MSC, collective subsidiaries of Shell plc, and a wholly owned subsidiary of Occidental Petroleum Company each accounted for 10% or more of our consolidated revenues. Our charters with Occidental Petroleum Company are pursuant to a master agreement, a pricing agreement and specific work orders, consistent with our chartering process with other customers as described in “—Contracting Practices—Non-Government Customers.” Our charters with MSC are subject to individual Solicitation, Offer and Award contracts or O&amp;M contracts and the applicable FARs and D-FARs, consistent with our chartering process with other U.S. government customers as described in “—Contracting Practices—U.S. Government Customers.” </w:t>
      </w:r>
    </w:p>
    <w:p>
      <w:pPr>
        <w:pStyle w:val="TextBody"/>
        <w:bidi w:val="0"/>
        <w:spacing w:before="240" w:after="0"/>
        <w:jc w:val="left"/>
        <w:rPr>
          <w:rFonts w:ascii="Times New Roman" w:hAnsi="Times New Roman"/>
          <w:sz w:val="20"/>
        </w:rPr>
      </w:pPr>
      <w:r>
        <w:rPr>
          <w:rFonts w:ascii="Times New Roman" w:hAnsi="Times New Roman"/>
          <w:sz w:val="20"/>
        </w:rPr>
        <w:t xml:space="preserve">The specific customers accounting for over 10% of our consolidated revenues for any period typically vary from period to period over time, and the multiple separate charters with each of these customers are typically entered into on one-time or “spot” bases with no material ongoing obligations thereunder once completed. For further discussion of significant customers, see Note 18 to our Annual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i/>
          <w:sz w:val="20"/>
        </w:rPr>
      </w:pPr>
      <w:r>
        <w:rPr>
          <w:rFonts w:ascii="Times New Roman" w:hAnsi="Times New Roman"/>
          <w:i/>
          <w:sz w:val="20"/>
        </w:rPr>
        <w:t xml:space="preserve">Environmental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 </w:t>
      </w:r>
    </w:p>
    <w:p>
      <w:pPr>
        <w:pStyle w:val="TextBody"/>
        <w:bidi w:val="0"/>
        <w:spacing w:before="240" w:after="0"/>
        <w:jc w:val="left"/>
        <w:rPr>
          <w:rFonts w:ascii="Times New Roman" w:hAnsi="Times New Roman"/>
          <w:sz w:val="20"/>
        </w:rPr>
      </w:pPr>
      <w:r>
        <w:rPr>
          <w:rFonts w:ascii="Times New Roman" w:hAnsi="Times New Roman"/>
          <w:sz w:val="20"/>
        </w:rPr>
        <w:t xml:space="preserve">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 </w:t>
      </w:r>
    </w:p>
    <w:p>
      <w:pPr>
        <w:pStyle w:val="TextBody"/>
        <w:bidi w:val="0"/>
        <w:spacing w:before="240" w:after="0"/>
        <w:jc w:val="left"/>
        <w:rPr>
          <w:rFonts w:ascii="Times New Roman" w:hAnsi="Times New Roman"/>
          <w:sz w:val="20"/>
        </w:rPr>
      </w:pPr>
      <w:r>
        <w:rPr>
          <w:rFonts w:ascii="Times New Roman" w:hAnsi="Times New Roman"/>
          <w:sz w:val="20"/>
        </w:rPr>
        <w:t xml:space="preserve">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 </w:t>
      </w:r>
    </w:p>
    <w:p>
      <w:pPr>
        <w:pStyle w:val="TextBody"/>
        <w:bidi w:val="0"/>
        <w:spacing w:before="240" w:after="0"/>
        <w:jc w:val="left"/>
        <w:rPr>
          <w:rFonts w:ascii="Times New Roman" w:hAnsi="Times New Roman"/>
          <w:sz w:val="20"/>
        </w:rPr>
      </w:pPr>
      <w:r>
        <w:rPr>
          <w:rFonts w:ascii="Times New Roman" w:hAnsi="Times New Roman"/>
          <w:sz w:val="20"/>
        </w:rPr>
        <w:t xml:space="preserve">On December 4, 2018, the Vessel Incidental Discharge Act was enacted, which requires the U.S. Environmental Protection Agency (the “EPA”) to develop, through rulemaking, new national standards of performance for commercial vessel incidental discharges. In October 2020, the EPA proposed national standards of performance, and in October 2023, the EPA supplemented the proposed rulemaking, providing additional USCG data and supplemental regulatory options being considered by the EPA for discharge from ballast tanks, hulls and niche areas, and graywater systems, informed by public comments to the initial proposed rule. The final rule was published in the Federal Register in October 2024, which will be followed by a USCG rulemaking process to issue enforcement regulations, with a deadline set by the Vessel Incidental Discharge Act of two years after the EPA’s final rule.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the EPA, respectively. Most of our vessels operating in the U.S. GoA are exempt from the ballast water treatment requirements. However, for non-exempt vessels, ballast water treatment equipment may be required to be utilized on the vessel. We have currently estimated the cost of compliance with either the EPA’s vessel discharge requirements or the BWMC to be approximately $250,000 per vessel that is required to be fitted with a treatment system. </w:t>
      </w:r>
    </w:p>
    <w:p>
      <w:pPr>
        <w:pStyle w:val="TextBody"/>
        <w:bidi w:val="0"/>
        <w:spacing w:before="240" w:after="0"/>
        <w:jc w:val="left"/>
        <w:rPr>
          <w:rFonts w:ascii="Times New Roman" w:hAnsi="Times New Roman"/>
          <w:sz w:val="20"/>
        </w:rPr>
      </w:pPr>
      <w:r>
        <w:rPr>
          <w:rFonts w:ascii="Times New Roman" w:hAnsi="Times New Roman"/>
          <w:sz w:val="20"/>
        </w:rPr>
        <w:t xml:space="preserve">The U.S. Department of the Interior (the “DOI”) issues regulations governing oil and gas operations on federal lands and waters and imposes obligations for establishing financial assurance for decommissioning activities. In 2023, the DOI finalized a new five-year offshore leasing plan for the U.S. GoA that substantially limits offshore lease sales. Legal challenges to the leasing plan could delay or suspend offshore lease auctions, adversely affecting our customers’ businesses and reducing demand for our services. On April 18, 2025, the Trump Administration’s DOI announced that it has initiated a process to develop a new five-year program, which may replace the leasing schedule for portions of the existing 2024 to 2029 program created by the Biden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The Clean Air Act regulates the emission of air pollutants resulting from industrial activities. Between 2008 and 2015, the EPA phased-in Tier 4 emission standards for the exhaust of marine diesel engines applicable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 the engine being replaced. In addition, the 2008 California Air Resources Board’s Commercial Harbor Craft Regulation requires the phase-out of older engines with engines meeting higher emissions standards by certain compliance timelines in regulated California waters, and in 2022, was amended to expand applicability to additional vessel types and require cleaner upgrades or newer technology. To the extent that such current or future federal or state regulations may apply to our operations or vessels, we could be responsible for the costs associated with compliance. </w:t>
      </w:r>
    </w:p>
    <w:p>
      <w:pPr>
        <w:pStyle w:val="TextBody"/>
        <w:bidi w:val="0"/>
        <w:spacing w:before="240" w:after="0"/>
        <w:jc w:val="left"/>
        <w:rPr>
          <w:rFonts w:ascii="Times New Roman" w:hAnsi="Times New Roman"/>
          <w:sz w:val="20"/>
        </w:rPr>
      </w:pPr>
      <w:r>
        <w:rPr>
          <w:rFonts w:ascii="Times New Roman" w:hAnsi="Times New Roman"/>
          <w:sz w:val="20"/>
        </w:rPr>
        <w:t xml:space="preserve">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 </w:t>
      </w:r>
    </w:p>
    <w:p>
      <w:pPr>
        <w:pStyle w:val="TextBody"/>
        <w:bidi w:val="0"/>
        <w:spacing w:before="240" w:after="0"/>
        <w:jc w:val="left"/>
        <w:rPr>
          <w:rFonts w:ascii="Times New Roman" w:hAnsi="Times New Roman"/>
          <w:sz w:val="20"/>
        </w:rPr>
      </w:pPr>
      <w:r>
        <w:rPr>
          <w:rFonts w:ascii="Times New Roman" w:hAnsi="Times New Roman"/>
          <w:sz w:val="20"/>
        </w:rPr>
        <w:t xml:space="preserve">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speed restrictions, minimum marine mammal approach distances and strike reporting, and prohibit vessel entry in certain protected areas, with the same or similar regulations on the international level. Additionally, in March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which was formally adopted in June 2023, and is awaiting ratification. When formally ratified, the agreement will create a legal framework for the establishment of marine protected areas and will require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 </w:t>
      </w:r>
    </w:p>
    <w:p>
      <w:pPr>
        <w:pStyle w:val="TextBody"/>
        <w:bidi w:val="0"/>
        <w:spacing w:before="360" w:after="0"/>
        <w:jc w:val="left"/>
        <w:rPr>
          <w:rFonts w:ascii="Times New Roman" w:hAnsi="Times New Roman"/>
          <w:i/>
          <w:sz w:val="20"/>
        </w:rPr>
      </w:pPr>
      <w:r>
        <w:rPr>
          <w:rFonts w:ascii="Times New Roman" w:hAnsi="Times New Roman"/>
          <w:i/>
          <w:sz w:val="20"/>
        </w:rPr>
        <w:t xml:space="preserve">Climate Change </w:t>
      </w:r>
    </w:p>
    <w:p>
      <w:pPr>
        <w:pStyle w:val="TextBody"/>
        <w:bidi w:val="0"/>
        <w:spacing w:before="120" w:after="0"/>
        <w:jc w:val="left"/>
        <w:rPr>
          <w:rFonts w:ascii="Times New Roman" w:hAnsi="Times New Roman"/>
          <w:sz w:val="20"/>
        </w:rPr>
      </w:pPr>
      <w:r>
        <w:rPr>
          <w:rFonts w:ascii="Times New Roman" w:hAnsi="Times New Roman"/>
          <w:sz w:val="20"/>
        </w:rPr>
        <w:t xml:space="preserve">Climate change continues to attract considerable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designed to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Internationally, the United Nations-sponsored “Paris Agreement” requires member states to individually determine and submit non-binding emissions reduction targets every five years after 2020.The Biden Administration recommitted the U.S. to the Paris Agreement in January 2021, and, in April 2021, announced a target to cut U.S. GHG emissions to 50-52 percent of 2005 levels by 2030. However, in January 2025, the Trump Administration issued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orders directing the immediate notice to the United Nations of the United States’ withdrawal from the Paris Agreement and all other agreements made under the United Nations Framework Convention on Climate Change. Additionally, the 28th Conference of the Parties (“COP28”), member countries agreed to the first “global stocktake,” which calls on countries to contribute to global efforts to mitigate climate change, including a tripling of renewable energy capacity and doubling energy efficiency improvements by 2030; phasing out inefficient fossil fuel subsidies; and transitioning away from fossil fuels in energy systems. </w:t>
      </w:r>
    </w:p>
    <w:p>
      <w:pPr>
        <w:pStyle w:val="TextBody"/>
        <w:bidi w:val="0"/>
        <w:spacing w:before="240" w:after="0"/>
        <w:jc w:val="left"/>
        <w:rPr>
          <w:rFonts w:ascii="Times New Roman" w:hAnsi="Times New Roman"/>
          <w:sz w:val="20"/>
        </w:rPr>
      </w:pPr>
      <w:r>
        <w:rPr>
          <w:rFonts w:ascii="Times New Roman" w:hAnsi="Times New Roman"/>
          <w:sz w:val="20"/>
        </w:rPr>
        <w:t xml:space="preserve">Increases in federal agency attention to GHG emissions and climate change effects may impact our customers’ ability or time to receive, or increase restrictions on, offshore leases or permits. Separately,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and certain U.S. states. In addition, California passed into law the Climate Corporate Data Accountability Act (SB 253) and the Climate-Related Financial Risk Act (SB 261) in October 2023, which require certain companies that do business in California and meet certain annual revenue thresholds to publicly disclose their Scopes 1, 2 and 3 GHG emissions, with third-party assurance of such data, and issue public reports on their climate-related financial risk and related mitigation measures. Both laws are currently subject to legal challenge.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More broadly, restrictions on GHG emissions or other climate-related international, federal, state or local legislative or regulatory enactments could have an effect in those industries that use significant amounts of petroleum products, which could potentially result in a reduction in demand for petroleum products and, consequently and indirectly, our offshore transportation and support services. While the Supreme Court’s decision in </w:t>
      </w:r>
      <w:r>
        <w:rPr>
          <w:rFonts w:ascii="Times New Roman" w:hAnsi="Times New Roman"/>
          <w:i/>
          <w:sz w:val="20"/>
        </w:rPr>
        <w:t>Loper Bright Enterprises v. Raimondo</w:t>
      </w:r>
      <w:r>
        <w:rPr>
          <w:rFonts w:ascii="Times New Roman" w:hAnsi="Times New Roman"/>
          <w:sz w:val="20"/>
        </w:rPr>
        <w:t xml:space="preserve"> to overrule </w:t>
      </w:r>
      <w:r>
        <w:rPr>
          <w:rFonts w:ascii="Times New Roman" w:hAnsi="Times New Roman"/>
          <w:i/>
          <w:sz w:val="20"/>
        </w:rPr>
        <w:t>Chevron U.S.A. Inc. v. Natural Resources Defense Council, Inc.</w:t>
      </w:r>
      <w:r>
        <w:rPr>
          <w:rFonts w:ascii="Times New Roman" w:hAnsi="Times New Roman"/>
          <w:sz w:val="20"/>
        </w:rPr>
        <w:t xml:space="preserve"> and end the concept of general deference to regulatory agency interpretations of laws introduces new complexity for federal agencies and administration of climate change policy and regulatory programs, many of these initiatives are expected to continue in the long term. Although we are currently unable to accurately predict the manner or extent of the effects of any such initiatives, legislation and regulatory programs enacted to address climate change or reduce emissions of GHGs could have an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GoA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Factors—Our business may be subject to risks related to climate change, including physical risks such as increased adverse weather patterns and transition risks such as evolving climate change regulation, fuel conservation measures,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On October 31, 2025, we had 1,795 employees, including 1,463 vessel personnel and 332 corporate, administrative and management personnel. Excluded from these personnel totals are 56 third-country nationals that we contracted to serve on our vessels as of October 31, 2025. These non-U.S. mariners are typically provided by international crewing agencies. With the exception of 584 employees located in Mexico and Brazil as of October 31, 2025, none of our employees are represented by a union or employed pursuant to a collective bargaining agreement or similar arrangement. We have not experienced any strikes or work stoppages, and our management believes that we continue to experience good relations with our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Geographic Areas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revenues by geographic region(1) for the nine months ended September 30, 2025 and 2024 and the years ended December 31, 2024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2"/>
        <w:gridCol w:w="139"/>
        <w:gridCol w:w="140"/>
        <w:gridCol w:w="814"/>
        <w:gridCol w:w="60"/>
        <w:gridCol w:w="139"/>
        <w:gridCol w:w="60"/>
        <w:gridCol w:w="572"/>
        <w:gridCol w:w="275"/>
        <w:gridCol w:w="82"/>
        <w:gridCol w:w="140"/>
        <w:gridCol w:w="814"/>
        <w:gridCol w:w="60"/>
        <w:gridCol w:w="139"/>
        <w:gridCol w:w="60"/>
        <w:gridCol w:w="572"/>
        <w:gridCol w:w="275"/>
        <w:gridCol w:w="82"/>
        <w:gridCol w:w="140"/>
        <w:gridCol w:w="813"/>
        <w:gridCol w:w="60"/>
        <w:gridCol w:w="151"/>
        <w:gridCol w:w="60"/>
        <w:gridCol w:w="572"/>
        <w:gridCol w:w="275"/>
        <w:gridCol w:w="82"/>
        <w:gridCol w:w="140"/>
        <w:gridCol w:w="814"/>
        <w:gridCol w:w="60"/>
        <w:gridCol w:w="139"/>
        <w:gridCol w:w="60"/>
        <w:gridCol w:w="572"/>
        <w:gridCol w:w="282"/>
      </w:tblGrid>
      <w:tr>
        <w:trPr/>
        <w:tc>
          <w:tcPr>
            <w:tcW w:w="1562"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56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92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93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2" w:type="dxa"/>
            <w:tcBorders/>
            <w:vAlign w:val="bottom"/>
          </w:tcPr>
          <w:p>
            <w:pPr>
              <w:pStyle w:val="TableContents"/>
              <w:bidi w:val="0"/>
              <w:spacing w:before="0" w:after="283"/>
              <w:jc w:val="left"/>
              <w:rPr/>
            </w:pPr>
            <w:r>
              <w:rPr/>
              <w:t> </w:t>
            </w:r>
          </w:p>
        </w:tc>
      </w:tr>
      <w:tr>
        <w:trPr/>
        <w:tc>
          <w:tcPr>
            <w:tcW w:w="156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82" w:type="dxa"/>
            <w:tcBorders/>
            <w:vAlign w:val="bottom"/>
          </w:tcPr>
          <w:p>
            <w:pPr>
              <w:pStyle w:val="TableContents"/>
              <w:bidi w:val="0"/>
              <w:spacing w:before="0" w:after="283"/>
              <w:jc w:val="left"/>
              <w:rPr/>
            </w:pPr>
            <w:r>
              <w:rPr/>
              <w:t> </w:t>
            </w:r>
          </w:p>
        </w:tc>
      </w:tr>
      <w:tr>
        <w:trPr/>
        <w:tc>
          <w:tcPr>
            <w:tcW w:w="1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383,568</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70.3</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359,298</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74.9</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478,052</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74.6</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432,621</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75.4</w:t>
            </w:r>
          </w:p>
        </w:tc>
        <w:tc>
          <w:tcPr>
            <w:tcW w:w="282" w:type="dxa"/>
            <w:tcBorders/>
            <w:shd w:fill="CCEEFF" w:val="clear"/>
            <w:vAlign w:val="bottom"/>
          </w:tcPr>
          <w:p>
            <w:pPr>
              <w:pStyle w:val="TableContents"/>
              <w:bidi w:val="0"/>
              <w:spacing w:before="0" w:after="283"/>
              <w:jc w:val="left"/>
              <w:rPr/>
            </w:pPr>
            <w:r>
              <w:rPr/>
              <w:t>% </w:t>
            </w:r>
          </w:p>
        </w:tc>
      </w:tr>
      <w:tr>
        <w:trPr/>
        <w:tc>
          <w:tcPr>
            <w:tcW w:w="1562"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International(2)(3)</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161,977</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29.7</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120,684</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25.1</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162,799</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25.4</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140,828</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24.6</w:t>
            </w:r>
          </w:p>
        </w:tc>
        <w:tc>
          <w:tcPr>
            <w:tcW w:w="282" w:type="dxa"/>
            <w:tcBorders/>
            <w:vAlign w:val="bottom"/>
          </w:tcPr>
          <w:p>
            <w:pPr>
              <w:pStyle w:val="TableContents"/>
              <w:bidi w:val="0"/>
              <w:spacing w:before="0" w:after="283"/>
              <w:jc w:val="left"/>
              <w:rPr/>
            </w:pPr>
            <w:r>
              <w:rPr/>
              <w:t>% </w:t>
            </w:r>
          </w:p>
        </w:tc>
      </w:tr>
      <w:tr>
        <w:trPr/>
        <w:tc>
          <w:tcPr>
            <w:tcW w:w="156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562"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545,545</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479,982</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640,851</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573,449</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100.0</w:t>
            </w:r>
          </w:p>
        </w:tc>
        <w:tc>
          <w:tcPr>
            <w:tcW w:w="282" w:type="dxa"/>
            <w:tcBorders/>
            <w:shd w:fill="CCEEFF" w:val="clear"/>
            <w:vAlign w:val="bottom"/>
          </w:tcPr>
          <w:p>
            <w:pPr>
              <w:pStyle w:val="TableContents"/>
              <w:bidi w:val="0"/>
              <w:spacing w:before="0" w:after="283"/>
              <w:jc w:val="left"/>
              <w:rPr/>
            </w:pPr>
            <w:r>
              <w:rPr/>
              <w:t>% </w:t>
            </w:r>
          </w:p>
        </w:tc>
      </w:tr>
      <w:tr>
        <w:trPr/>
        <w:tc>
          <w:tcPr>
            <w:tcW w:w="156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attributes revenues to individual geographic regions based on the location where services are performed.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$89.6 million, $25.3 million, and $26.5 million were attributed to services performed in Brazil, Mexico, and Colombia, respectively, for the nine months ended September 30, 2025 and international revenues of $65.2 million, $22.7 million, and $18.5 million were attributed to services performed in Brazil, Mexico, and Colombia, respectively, for the nine months ended September 30, 2024. Revenues attributed to other countries were not individually material for the periods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$32.3 million and $62.1 million were attributed to services performed in Mexico for the years ended December 31, 2024 and 2023, respectively. International revenues of $88.4 million and $53.2 million were attributed to services performed in Brazil for the years ended December 31, 2024 and 2023, respectively. Revenues attributed to other countries were not individually material for the periods presented.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net book value of property, plant and equipment by geographic region(1) as of September 30, 2025 and December 31, 2024 and 2023 (in thousands): </w:t>
      </w:r>
    </w:p>
    <w:p>
      <w:pPr>
        <w:pStyle w:val="TextBody"/>
        <w:bidi w:val="0"/>
        <w:spacing w:before="0" w:after="0"/>
        <w:jc w:val="left"/>
        <w:rPr/>
      </w:pPr>
      <w:r>
        <w:rPr/>
        <w:t> </w:t>
      </w:r>
    </w:p>
    <w:tbl>
      <w:tblPr>
        <w:tblW w:w="10655" w:type="dxa"/>
        <w:jc w:val="center"/>
        <w:tblInd w:w="0" w:type="dxa"/>
        <w:tblLayout w:type="fixed"/>
        <w:tblCellMar>
          <w:top w:w="0" w:type="dxa"/>
          <w:left w:w="0" w:type="dxa"/>
          <w:bottom w:w="0" w:type="dxa"/>
          <w:right w:w="0" w:type="dxa"/>
        </w:tblCellMar>
      </w:tblPr>
      <w:tblGrid>
        <w:gridCol w:w="1130"/>
        <w:gridCol w:w="120"/>
        <w:gridCol w:w="306"/>
        <w:gridCol w:w="1754"/>
        <w:gridCol w:w="60"/>
        <w:gridCol w:w="120"/>
        <w:gridCol w:w="60"/>
        <w:gridCol w:w="560"/>
        <w:gridCol w:w="275"/>
        <w:gridCol w:w="60"/>
        <w:gridCol w:w="297"/>
        <w:gridCol w:w="1703"/>
        <w:gridCol w:w="60"/>
        <w:gridCol w:w="120"/>
        <w:gridCol w:w="60"/>
        <w:gridCol w:w="560"/>
        <w:gridCol w:w="275"/>
        <w:gridCol w:w="60"/>
        <w:gridCol w:w="297"/>
        <w:gridCol w:w="1703"/>
        <w:gridCol w:w="60"/>
        <w:gridCol w:w="120"/>
        <w:gridCol w:w="60"/>
        <w:gridCol w:w="560"/>
        <w:gridCol w:w="275"/>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September 30,</w:t>
              <w:b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w:t>
              <w:br/>
              <w:t>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w:t>
              <w:br/>
              <w:t>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754" w:type="dxa"/>
            <w:tcBorders/>
            <w:shd w:fill="CCEEFF" w:val="clear"/>
            <w:vAlign w:val="bottom"/>
          </w:tcPr>
          <w:p>
            <w:pPr>
              <w:pStyle w:val="TableContents"/>
              <w:bidi w:val="0"/>
              <w:spacing w:before="0" w:after="283"/>
              <w:jc w:val="right"/>
              <w:rPr/>
            </w:pPr>
            <w:r>
              <w:rPr/>
              <w:t>658,080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03" w:type="dxa"/>
            <w:tcBorders/>
            <w:shd w:fill="CCEEFF" w:val="clear"/>
            <w:vAlign w:val="bottom"/>
          </w:tcPr>
          <w:p>
            <w:pPr>
              <w:pStyle w:val="TableContents"/>
              <w:bidi w:val="0"/>
              <w:spacing w:before="0" w:after="283"/>
              <w:jc w:val="right"/>
              <w:rPr/>
            </w:pPr>
            <w:r>
              <w:rPr/>
              <w:t>598,481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03" w:type="dxa"/>
            <w:tcBorders/>
            <w:shd w:fill="CCEEFF" w:val="clear"/>
            <w:vAlign w:val="bottom"/>
          </w:tcPr>
          <w:p>
            <w:pPr>
              <w:pStyle w:val="TableContents"/>
              <w:bidi w:val="0"/>
              <w:spacing w:before="0" w:after="283"/>
              <w:jc w:val="right"/>
              <w:rPr/>
            </w:pPr>
            <w:r>
              <w:rPr/>
              <w:t>522,347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86.7</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International(2)</w:t>
            </w:r>
          </w:p>
        </w:tc>
        <w:tc>
          <w:tcPr>
            <w:tcW w:w="12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75,719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03" w:type="dxa"/>
            <w:tcBorders/>
            <w:vAlign w:val="bottom"/>
          </w:tcPr>
          <w:p>
            <w:pPr>
              <w:pStyle w:val="TableContents"/>
              <w:bidi w:val="0"/>
              <w:spacing w:before="0" w:after="283"/>
              <w:jc w:val="right"/>
              <w:rPr/>
            </w:pPr>
            <w:r>
              <w:rPr/>
              <w:t>76,248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03" w:type="dxa"/>
            <w:tcBorders/>
            <w:vAlign w:val="bottom"/>
          </w:tcPr>
          <w:p>
            <w:pPr>
              <w:pStyle w:val="TableContents"/>
              <w:bidi w:val="0"/>
              <w:spacing w:before="0" w:after="283"/>
              <w:jc w:val="right"/>
              <w:rPr/>
            </w:pPr>
            <w:r>
              <w:rPr/>
              <w:t>80,075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13.3</w:t>
            </w:r>
          </w:p>
        </w:tc>
        <w:tc>
          <w:tcPr>
            <w:tcW w:w="27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754" w:type="dxa"/>
            <w:tcBorders/>
            <w:shd w:fill="CCEEFF" w:val="clear"/>
            <w:vAlign w:val="bottom"/>
          </w:tcPr>
          <w:p>
            <w:pPr>
              <w:pStyle w:val="TableContents"/>
              <w:bidi w:val="0"/>
              <w:spacing w:before="0" w:after="283"/>
              <w:jc w:val="right"/>
              <w:rPr/>
            </w:pPr>
            <w:r>
              <w:rPr/>
              <w:t>733,799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03" w:type="dxa"/>
            <w:tcBorders/>
            <w:shd w:fill="CCEEFF" w:val="clear"/>
            <w:vAlign w:val="bottom"/>
          </w:tcPr>
          <w:p>
            <w:pPr>
              <w:pStyle w:val="TableContents"/>
              <w:bidi w:val="0"/>
              <w:spacing w:before="0" w:after="283"/>
              <w:jc w:val="right"/>
              <w:rPr/>
            </w:pPr>
            <w:r>
              <w:rPr/>
              <w:t>674,729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03" w:type="dxa"/>
            <w:tcBorders/>
            <w:shd w:fill="CCEEFF" w:val="clear"/>
            <w:vAlign w:val="bottom"/>
          </w:tcPr>
          <w:p>
            <w:pPr>
              <w:pStyle w:val="TableContents"/>
              <w:bidi w:val="0"/>
              <w:spacing w:before="0" w:after="283"/>
              <w:jc w:val="right"/>
              <w:rPr/>
            </w:pPr>
            <w:r>
              <w:rPr/>
              <w:t>602,422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property, plant and equipment of $66.2 million, $68.7 million, and $70.6 million were owned by certain Mexican subsidiaries of the Company as of September 30, 2025, December 31, 2024, and December 31, 2023, respectively. Property, plant and equipment attributed to other countries were not individually material as of any of the dates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Foreign Operations </w:t>
      </w:r>
    </w:p>
    <w:p>
      <w:pPr>
        <w:pStyle w:val="TextBody"/>
        <w:bidi w:val="0"/>
        <w:spacing w:before="120" w:after="0"/>
        <w:jc w:val="left"/>
        <w:rPr>
          <w:rFonts w:ascii="Times New Roman" w:hAnsi="Times New Roman"/>
          <w:sz w:val="20"/>
        </w:rPr>
      </w:pPr>
      <w:r>
        <w:rPr>
          <w:rFonts w:ascii="Times New Roman" w:hAnsi="Times New Roman"/>
          <w:sz w:val="20"/>
        </w:rPr>
        <w:t xml:space="preserve">Operating in foreign markets presents many political, social and economic challenges. Although we take measures to mitigate these risks, they cannot be completely eliminated. See “Risk Factors” for a further discussion of the risks of operating in foreign markets. </w:t>
      </w:r>
    </w:p>
    <w:p>
      <w:pPr>
        <w:pStyle w:val="TextBody"/>
        <w:bidi w:val="0"/>
        <w:spacing w:before="360" w:after="0"/>
        <w:jc w:val="left"/>
        <w:rPr>
          <w:rFonts w:ascii="Times New Roman" w:hAnsi="Times New Roman"/>
          <w:b/>
          <w:sz w:val="20"/>
        </w:rPr>
      </w:pPr>
      <w:r>
        <w:rPr>
          <w:rFonts w:ascii="Times New Roman" w:hAnsi="Times New Roman"/>
          <w:b/>
          <w:sz w:val="20"/>
        </w:rPr>
        <w:t xml:space="preserve">Reportable Segments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240" w:after="0"/>
        <w:jc w:val="left"/>
        <w:rPr>
          <w:rFonts w:ascii="Times New Roman" w:hAnsi="Times New Roman"/>
          <w:sz w:val="20"/>
        </w:rPr>
      </w:pPr>
      <w:r>
        <w:rPr>
          <w:rFonts w:ascii="Times New Roman" w:hAnsi="Times New Roman"/>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periods ended September 30, 2025 and 2024. The measure of segment assets is reported on the consolidated balance sheet as total assets as of September 30, 2025 and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60" w:after="0"/>
        <w:jc w:val="left"/>
        <w:rPr>
          <w:rFonts w:ascii="Times New Roman" w:hAnsi="Times New Roman"/>
          <w:b/>
          <w:sz w:val="20"/>
        </w:rPr>
      </w:pPr>
      <w:r>
        <w:rPr>
          <w:rFonts w:ascii="Times New Roman" w:hAnsi="Times New Roman"/>
          <w:b/>
          <w:sz w:val="20"/>
        </w:rPr>
        <w:t xml:space="preserve">Ongoing Acquisition/Investment Activities </w:t>
      </w:r>
    </w:p>
    <w:p>
      <w:pPr>
        <w:pStyle w:val="TextBody"/>
        <w:bidi w:val="0"/>
        <w:spacing w:before="120" w:after="0"/>
        <w:jc w:val="left"/>
        <w:rPr>
          <w:rFonts w:ascii="Times New Roman" w:hAnsi="Times New Roman"/>
          <w:sz w:val="20"/>
        </w:rPr>
      </w:pPr>
      <w:r>
        <w:rPr>
          <w:rFonts w:ascii="Times New Roman" w:hAnsi="Times New Roman"/>
          <w:sz w:val="20"/>
        </w:rPr>
        <w:t xml:space="preserve">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 </w:t>
      </w:r>
    </w:p>
    <w:p>
      <w:pPr>
        <w:pStyle w:val="TextBody"/>
        <w:bidi w:val="0"/>
        <w:spacing w:before="240" w:after="0"/>
        <w:jc w:val="left"/>
        <w:rPr>
          <w:rFonts w:ascii="Times New Roman" w:hAnsi="Times New Roman"/>
          <w:sz w:val="20"/>
        </w:rPr>
      </w:pPr>
      <w:r>
        <w:rPr>
          <w:rFonts w:ascii="Times New Roman" w:hAnsi="Times New Roman"/>
          <w:sz w:val="20"/>
        </w:rPr>
        <w:t xml:space="preserve">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 </w:t>
      </w:r>
    </w:p>
    <w:p>
      <w:pPr>
        <w:pStyle w:val="TextBody"/>
        <w:bidi w:val="0"/>
        <w:spacing w:before="240" w:after="0"/>
        <w:jc w:val="left"/>
        <w:rPr>
          <w:rFonts w:ascii="Times New Roman" w:hAnsi="Times New Roman"/>
          <w:sz w:val="20"/>
        </w:rPr>
      </w:pPr>
      <w:r>
        <w:rPr>
          <w:rFonts w:ascii="Times New Roman" w:hAnsi="Times New Roman"/>
          <w:sz w:val="20"/>
        </w:rPr>
        <w:t xml:space="preserve">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conditions, which may not ultimately be satisfied or waived. Accordingly, we can give no assurance that our current or future acquisition or investment efforts will be successful.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GoA. Offshore wind construction projects on the U.S. East Coast are seasonal, typically occurring between April and September of each year. Servicing of existing offshore wind facilities with C/SOVs is expected to occur year-round. Our government business is unaffected by seasonality. Humanitarian assistance and disaster relief efforts have typically been more pervasive during the hurricane season. </w:t>
      </w:r>
    </w:p>
    <w:p>
      <w:pPr>
        <w:pStyle w:val="TextBody"/>
        <w:bidi w:val="0"/>
        <w:spacing w:before="360" w:after="0"/>
        <w:jc w:val="left"/>
        <w:rPr>
          <w:rFonts w:ascii="Times New Roman" w:hAnsi="Times New Roman"/>
          <w:b/>
          <w:sz w:val="20"/>
        </w:rPr>
      </w:pPr>
      <w:r>
        <w:rPr>
          <w:rFonts w:ascii="Times New Roman" w:hAnsi="Times New Roman"/>
          <w:b/>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We may be party to various legal proceedings and claims from time to time in the ordinary course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Mexico Litigation </w:t>
      </w:r>
    </w:p>
    <w:p>
      <w:pPr>
        <w:pStyle w:val="TextBody"/>
        <w:bidi w:val="0"/>
        <w:spacing w:before="120" w:after="0"/>
        <w:jc w:val="left"/>
        <w:rPr>
          <w:rFonts w:ascii="Times New Roman" w:hAnsi="Times New Roman"/>
          <w:sz w:val="20"/>
        </w:rPr>
      </w:pPr>
      <w:r>
        <w:rPr>
          <w:rFonts w:ascii="Times New Roman" w:hAnsi="Times New Roman"/>
          <w:sz w:val="20"/>
        </w:rPr>
        <w:t xml:space="preserve">In 2023, Mexican regulators challenged our right to perform cabotage services in Mexico. As a result, we took legal action to preserve our cabotage privileges there, and a Mexican court ordered that our privileges be reinstated. On June 3, 2024, we appealed this decision to further clarify the court’s ruling, and our cabotage privileges remain active during the pendency of the appeal, which is expected to last between one and three years, if not longer. In the first quarter of 2026, we expect three of our Mexican-flagged vessels to return to Mexico to perform services under a long-term charter with an integrated oil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rom65571_10"/>
      <w:bookmarkEnd w:id="11"/>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concerning the individuals who will serve as our executive officers and directors upon the completion of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60"/>
        <w:gridCol w:w="79"/>
        <w:gridCol w:w="348"/>
        <w:gridCol w:w="124"/>
        <w:gridCol w:w="248"/>
        <w:gridCol w:w="5756"/>
      </w:tblGrid>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5756" w:type="dxa"/>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2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Position(s)</w:t>
            </w:r>
          </w:p>
        </w:tc>
      </w:tr>
      <w:tr>
        <w:trPr/>
        <w:tc>
          <w:tcPr>
            <w:tcW w:w="359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Directors:</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57</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Chairman of the Board, President and Chief Executive Officer</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Kurt M. Cellar</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56</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Lead Independent Director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Evan Behrens</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56</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Director</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Bobby Jindal</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54</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Director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Sylvia Jo Sydow Kerrigan</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60</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Director</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McConeghy</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32</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Director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Jacob Mercer</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50</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Director</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 Don Miller</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63</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Director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Aaron Rosen</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44</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Director</w:t>
            </w:r>
          </w:p>
        </w:tc>
      </w:tr>
      <w:tr>
        <w:trPr/>
        <w:tc>
          <w:tcPr>
            <w:tcW w:w="359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Chairman Emeritus:</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sz w:val="4"/>
                <w:szCs w:val="4"/>
              </w:rPr>
            </w:pPr>
            <w:r>
              <w:rPr>
                <w:sz w:val="4"/>
                <w:szCs w:val="4"/>
              </w:rPr>
            </w:r>
          </w:p>
        </w:tc>
        <w:tc>
          <w:tcPr>
            <w:tcW w:w="348" w:type="dxa"/>
            <w:tcBorders/>
            <w:shd w:fill="CCEEFF" w:val="clear"/>
          </w:tcPr>
          <w:p>
            <w:pPr>
              <w:pStyle w:val="TableContents"/>
              <w:bidi w:val="0"/>
              <w:spacing w:before="0" w:after="283"/>
              <w:jc w:val="left"/>
              <w:rPr>
                <w:sz w:val="4"/>
                <w:szCs w:val="4"/>
              </w:rPr>
            </w:pPr>
            <w:r>
              <w:rPr>
                <w:sz w:val="4"/>
                <w:szCs w:val="4"/>
              </w:rPr>
            </w:r>
          </w:p>
        </w:tc>
        <w:tc>
          <w:tcPr>
            <w:tcW w:w="124" w:type="dxa"/>
            <w:tcBorders/>
            <w:shd w:fill="CCEEFF" w:val="clear"/>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Larry D. Hornbeck</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85</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Chairman Emeritus</w:t>
            </w:r>
          </w:p>
        </w:tc>
      </w:tr>
      <w:tr>
        <w:trPr/>
        <w:tc>
          <w:tcPr>
            <w:tcW w:w="359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Other Executive Officers:</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sz w:val="4"/>
                <w:szCs w:val="4"/>
              </w:rPr>
            </w:pPr>
            <w:r>
              <w:rPr>
                <w:sz w:val="4"/>
                <w:szCs w:val="4"/>
              </w:rPr>
            </w:r>
          </w:p>
        </w:tc>
        <w:tc>
          <w:tcPr>
            <w:tcW w:w="348" w:type="dxa"/>
            <w:tcBorders/>
            <w:shd w:fill="CCEEFF" w:val="clear"/>
          </w:tcPr>
          <w:p>
            <w:pPr>
              <w:pStyle w:val="TableContents"/>
              <w:bidi w:val="0"/>
              <w:spacing w:before="0" w:after="283"/>
              <w:jc w:val="left"/>
              <w:rPr>
                <w:sz w:val="4"/>
                <w:szCs w:val="4"/>
              </w:rPr>
            </w:pPr>
            <w:r>
              <w:rPr>
                <w:sz w:val="4"/>
                <w:szCs w:val="4"/>
              </w:rPr>
            </w:r>
          </w:p>
        </w:tc>
        <w:tc>
          <w:tcPr>
            <w:tcW w:w="124" w:type="dxa"/>
            <w:tcBorders/>
            <w:shd w:fill="CCEEFF" w:val="clear"/>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68</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Executive Vice President—Military, Engineering, Repair &amp; Maintenance</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65</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Executive Vice President and Chief Financial Officer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63</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Executive Vice President, General Counsel and Corporate Secretary</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56</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Executive Vice President and Chief Commercial Officer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b/>
          <w:i/>
          <w:sz w:val="20"/>
        </w:rPr>
        <w:t xml:space="preserve">Todd M. Hornbeck </w:t>
      </w:r>
      <w:r>
        <w:rPr>
          <w:rFonts w:ascii="Times New Roman" w:hAnsi="Times New Roman"/>
          <w:sz w:val="20"/>
        </w:rPr>
        <w:t xml:space="preserve">is currently serving as our Chairman of the Board, President and Chief Executive Officer and founded Hornbeck in June 1997. Mr. Todd Hornbeck has served as the President and director of Hornbeck since founding the Company. Mr. Todd Hornbeck also served as Chief Operating Officer until February 2002, at which time he was appointed Chief Executive Officer. Additionally, in May 2005 he was appointed Chairman of the Board of Directors. Prior to founding Hornbeck, Mr. Todd Hornbeck was employed by the original Hornbeck Offshore Services, Inc., a NASDAQ-listed publicly traded offshore service vessel company founded by his father, Mr. Larry Hornbeck, our Chairman Emeritus, with over 105 offshore supply vessels operating worldwide, from 1991 to 1996, serving in various positions relating to business strategy and development. Following the Company’s merger with Tidewater Inc. (“Tidewater”) in March 1996, Mr. Todd Hornbeck accepted a position as Marketing Director-Gulf of America with Tidewater, where his responsibilities included managing relationships and overall business development in the U.S. GoA region. He remained with Tidewater until the Company’s formation. Mr. Todd Hornbeck has served on the board of directors of the ISOA, the Offshore Marine Service Association (“OMSA”) and the National Ocean Industries Association (“NOIA”). Mr. Todd Hornbeck’s extensive experience in the offshore service vessel industry, and over 25 years leading our company, positions him well to serve as our Chairman, President and Chief Executive Officer. As our founder, Mr. Todd Hornbeck brings his vision and goals for the Company to our Board of Directors. Under his leadership, we have expanded from a small private company to a large, global provider of technologically advanced offshore supply and multipurpose service vessels. The current Company carries the Hornbeck family name, uses the same horsehead logo and trademarks as the prior company and is able to benefit from long-standing working relationships with customers, vendors and Wall Street analysts, many of whom also had relationships with Messrs. Todd and Larry Hornbeck at the prior public company. Unlike other companies that are led by non-founding managers, the Company benefits from the history, entrepreneurial spirit, industry expertise and leadership of its founder.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 xml:space="preserve">Kurt M. Cellar </w:t>
      </w:r>
      <w:r>
        <w:rPr>
          <w:rFonts w:ascii="Times New Roman" w:hAnsi="Times New Roman"/>
          <w:sz w:val="20"/>
        </w:rPr>
        <w:t xml:space="preserve">has served as our Lead Independent Director since September 2020 and, upon completion of this offering, is expected to serve as a director of Hornbeck. Mr. Cellar currently serves as Lead Independent Director for American Banknote Corporation, where he serves as Chairman of both the Strategic Committee and Audit Committees. Mr. Cellar has served on the boards of more than twenty corporations over his career. In the past five years he has served as a corporate director for Six Flags Entertainment Corp (NYSE: SIX), U.S. Concrete, Inc. (NASDAQ: USCR), Guitar Center, Inc., Hawaiian Telecom, Inc. (NASDAQ: HCOM), and Home Buyers Warranty, Inc. From July 1999 until his retirement in January 2008, Mr. Cellar served as analyst, Director of Research and for the last five years as Partner and Portfolio Manager for Bay Harbour Management, LP. The firm received numerous awards including Absolute Returns Hedge Fund of the Year award in 2006. Prior to joining Bay Harbour, Mr. Cellar worked for the investment firm Remy Investors and Consultants and for the strategic consulting firm, LEK. Mr. Cellar received a B.A. in Economics/Business from the University of California, Los Angeles and a Masters of Business Administration in Finance from the Wharton School of Business at the University of Pennsylvania. Mr. Cellar is a retired Chartered Financial Analyst. We believe that Mr. Cellar is qualified to serve on our Board of Directors based on his significant financial and accounting experience as well as his public company board experience. </w:t>
      </w:r>
    </w:p>
    <w:p>
      <w:pPr>
        <w:pStyle w:val="TextBody"/>
        <w:bidi w:val="0"/>
        <w:spacing w:before="240" w:after="0"/>
        <w:jc w:val="left"/>
        <w:rPr>
          <w:rFonts w:ascii="Times New Roman" w:hAnsi="Times New Roman"/>
          <w:sz w:val="20"/>
        </w:rPr>
      </w:pPr>
      <w:r>
        <w:rPr>
          <w:rFonts w:ascii="Times New Roman" w:hAnsi="Times New Roman"/>
          <w:b/>
          <w:i/>
          <w:sz w:val="20"/>
        </w:rPr>
        <w:t>Evan Behrens</w:t>
      </w:r>
      <w:r>
        <w:rPr>
          <w:rFonts w:ascii="Times New Roman" w:hAnsi="Times New Roman"/>
          <w:sz w:val="20"/>
        </w:rPr>
        <w:t xml:space="preserve"> has served as a director of Hornbeck since September 2020. Mr. Behrens currently serves as Managing Member of B Capital Advisors LLC, an investment firm. Previously, Mr. Behrens served as Senior Vice President of Business Development at SEACOR Holdings from May 2009 to May 2017. Mr. Behrens initially joined SEACOR Holdings in 2008 and managed its involvement in numerous significant investments and transactions. Prior to joining SEACOR Holdings, Mr. Behrens served as a partner at Level Global Investors and prior to that, founded and managed Infinity Point (formerly Behrens Rubinoff Capital Partners). Mr. Behrens previously served in various positions at Paribas Corporation, Odyssey Partners/Ulysses Management and SAC Capital Management. Mr. Behrens currently serves on the board of directors of Oppenheimer Holdings Inc., a multinational independent investment bank and financial services company. Previously, Mr. Behrens served as a board member of SEACOR Marine Holdings, Harte-Hanks, Inc., Continental Insurance Group, Ltd, Penford Corporation, Global Marin Systems Limited, Trailer Bridge, Inc., Sidewinder Drilling LLC and Stemline Therapeutics. Mr. Behrens obtained an A.B. degree in political science from the University of Chicago. We believe that Mr. Behrens is qualified to serve as a director based on his broad experience regarding business valuations, mergers and acquisitions and investment management. </w:t>
      </w:r>
    </w:p>
    <w:p>
      <w:pPr>
        <w:pStyle w:val="TextBody"/>
        <w:bidi w:val="0"/>
        <w:spacing w:before="240" w:after="0"/>
        <w:jc w:val="left"/>
        <w:rPr>
          <w:rFonts w:ascii="Times New Roman" w:hAnsi="Times New Roman"/>
          <w:sz w:val="20"/>
        </w:rPr>
      </w:pPr>
      <w:r>
        <w:rPr>
          <w:rFonts w:ascii="Times New Roman" w:hAnsi="Times New Roman"/>
          <w:b/>
          <w:i/>
          <w:sz w:val="20"/>
        </w:rPr>
        <w:t>Bobby Jindal</w:t>
      </w:r>
      <w:r>
        <w:rPr>
          <w:rFonts w:ascii="Times New Roman" w:hAnsi="Times New Roman"/>
          <w:sz w:val="20"/>
        </w:rPr>
        <w:t xml:space="preserve"> has served as a director of Hornbeck since September 2020. Since 2017, Mr. Jindal has served as an operating advisor to the Ares Private Equity Group. Mr. Jindal served as the governor of the State of Louisiana from January 2008 to January 2016. Prior to that,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He has previously served as a director of Cotton Holdings, LifeMD and WellCare Health Plans, Inc. Mr. Jindal obtained a B.S. from Brown University and a Masters of Letters in Politics from Oxford University at New College. We believe that Mr. Jindal is qualified to serve as a director because his broad financial and diplomatic experience makes him an invaluable asset as the Company delves into further diversification efforts, and the achievement of our strategic objectives. </w:t>
      </w:r>
    </w:p>
    <w:p>
      <w:pPr>
        <w:pStyle w:val="TextBody"/>
        <w:bidi w:val="0"/>
        <w:spacing w:before="240" w:after="0"/>
        <w:jc w:val="left"/>
        <w:rPr>
          <w:rFonts w:ascii="Times New Roman" w:hAnsi="Times New Roman"/>
          <w:sz w:val="20"/>
        </w:rPr>
      </w:pPr>
      <w:r>
        <w:rPr>
          <w:rFonts w:ascii="Times New Roman" w:hAnsi="Times New Roman"/>
          <w:b/>
          <w:i/>
          <w:sz w:val="20"/>
        </w:rPr>
        <w:t>Sylvia Jo Sydow Kerrigan</w:t>
      </w:r>
      <w:r>
        <w:rPr>
          <w:rFonts w:ascii="Times New Roman" w:hAnsi="Times New Roman"/>
          <w:sz w:val="20"/>
        </w:rPr>
        <w:t xml:space="preserve"> has served as a director of Hornbeck since August 2022. Ms. Kerrigan currently serves as the Senior Vice President and Chief Legal Officer of Occidental Petroleum Company. She also serves on the board of directors of Diversified Energy, LLC and on the Board of Trustees for Southwestern University. She previously held various positions at Marathon Oil Corporation from 1995 to 2017, including serving as the Executive Vice President, General Counsel and Secretary and as the Chief Public Policy Officer and Chief Compliance Officer. Ms. Kerrigan worked at the United Nations Security Council’s Commission d’Indemnisation in Geneva, Switzerland from 2000 to 2002, serving as the senior legal officer responsible for arbitrating losses sustained by international oil companies following the 1990 Iraqi invasion of Kuwait. Ms. Kerrigan is past chairman of the State Bar of Texas International Law Section and a Life Fellow of the Texas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Bar Foundation. She also previously served as Executive Director of the Kay Bailey Hutchinson Energy Center for Business Law and Policy at the University of Texas in Austin. Ms. Kerrigan previously served on the boards of directors of Team, Inc., Nine Point Energy and Alta Mesa Resources. We believe that Ms. Kerrigan is qualified to serve as a director because she brings to our Board of Directors significant major oil company executive experience and critical insights into the issues facing the oil and gas industry. </w:t>
      </w:r>
    </w:p>
    <w:p>
      <w:pPr>
        <w:pStyle w:val="TextBody"/>
        <w:bidi w:val="0"/>
        <w:spacing w:before="240" w:after="0"/>
        <w:jc w:val="left"/>
        <w:rPr>
          <w:rFonts w:ascii="Times New Roman" w:hAnsi="Times New Roman"/>
          <w:sz w:val="20"/>
        </w:rPr>
      </w:pPr>
      <w:r>
        <w:rPr>
          <w:rFonts w:ascii="Times New Roman" w:hAnsi="Times New Roman"/>
          <w:b/>
          <w:i/>
          <w:sz w:val="20"/>
        </w:rPr>
        <w:t>James McConeghy</w:t>
      </w:r>
      <w:r>
        <w:rPr>
          <w:rFonts w:ascii="Times New Roman" w:hAnsi="Times New Roman"/>
          <w:sz w:val="20"/>
        </w:rPr>
        <w:t xml:space="preserve"> has served as a director of Hornbeck since February 2024. Mr. McConeghy is a Vice President in the Ares Credit Group, where he focuses on opportunistic credit investing. Prior to joining Ares in 2019, Mr. McConeghy was an Investment Banking Analyst at Moelis &amp; Company from July 2017 to June 2019. Previously, Mr. McConeghy was an Associate in PricewaterhouseCoopers’s Transaction Services Group from September 2015 to June 2017. He currently serves on the boards for the parent entities of Virgin Voyages, TriMark USA, Swissport and Convene. Mr. McConeghy holds a B.S. from Villanova University in Accountancy. He holds a CPA license (inactive) in the Commonwealth of Pennsylvania. Mr. McConeghy is qualified to serve as a director based on his investment and financial expertise. </w:t>
      </w:r>
    </w:p>
    <w:p>
      <w:pPr>
        <w:pStyle w:val="TextBody"/>
        <w:bidi w:val="0"/>
        <w:spacing w:before="240" w:after="0"/>
        <w:jc w:val="left"/>
        <w:rPr>
          <w:rFonts w:ascii="Times New Roman" w:hAnsi="Times New Roman"/>
          <w:sz w:val="20"/>
        </w:rPr>
      </w:pPr>
      <w:r>
        <w:rPr>
          <w:rFonts w:ascii="Times New Roman" w:hAnsi="Times New Roman"/>
          <w:b/>
          <w:i/>
          <w:sz w:val="20"/>
        </w:rPr>
        <w:t>Jacob Mercer</w:t>
      </w:r>
      <w:r>
        <w:rPr>
          <w:rFonts w:ascii="Times New Roman" w:hAnsi="Times New Roman"/>
          <w:sz w:val="20"/>
        </w:rPr>
        <w:t xml:space="preserve"> has served as a director of Hornbeck since July 2023. Mr. Mercer is a Partner, Head of Special Situations and Restructuring at Whitebox. Prior to joining Whitebox in 2007, Mr. Mercer worked for Xcel Energy Inc. (NASDAQ: XEL) (“Xcel Energy”) as Assistant Treasurer and Managing Director. Before joining Xcel Energy, he was a Senior Credit Analyst and Principal at Piper Jaffray and a Research Analyst at Voyageur Asset Management. Mr. Mercer also served as a logistics officer in the United States Army. Mr. Mercer has served as a director on numerous private and public company board of directors including current roles at HC Minerals since March 2024, Malamute Energy, Inc. since 2016, and Currax Pharmaceuticals LLC since 2018. Past director roles include GT Advanced Technologies Inc. (formerly NASDAQ: GTAT) from 2019 to 2021, Hi-Crush Inc. (formerly NYSE: HCR) from October 2020 to March 2024, and SAExploration Holdings, Inc. (Formerly NASDAQ: SAEX) from July 2016 to June 2019 and from February 2020 to December 2020. Mr. Mercer holds a B.A. with a double major in economics and business management from St. John’s University. He also holds the Chartered Financial Analyst (CFA) and the Certified Turnaround Professional (CTP) designations. We believe that Mr. Mercer is qualified to serve as a director based on his investment and financial expertise. </w:t>
      </w:r>
    </w:p>
    <w:p>
      <w:pPr>
        <w:pStyle w:val="TextBody"/>
        <w:bidi w:val="0"/>
        <w:spacing w:before="240" w:after="0"/>
        <w:jc w:val="left"/>
        <w:rPr>
          <w:rFonts w:ascii="Times New Roman" w:hAnsi="Times New Roman"/>
          <w:sz w:val="20"/>
        </w:rPr>
      </w:pPr>
      <w:r>
        <w:rPr>
          <w:rFonts w:ascii="Times New Roman" w:hAnsi="Times New Roman"/>
          <w:b/>
          <w:i/>
          <w:sz w:val="20"/>
        </w:rPr>
        <w:t>L. Don Miller</w:t>
      </w:r>
      <w:r>
        <w:rPr>
          <w:rFonts w:ascii="Times New Roman" w:hAnsi="Times New Roman"/>
          <w:sz w:val="20"/>
        </w:rPr>
        <w:t xml:space="preserve"> has served as a director of Hornbeck since February 2021. Mr. Miller is currently the Chief Financial Officer of Lake Resources NL. Prior to joining Lake Resources NL in December 2023, Mr. Miller served as President and Chief Executive Officer of Bristow Group Inc. (“Bristow”) from February 2019 to June 2020. He previously served as Senior Vice President and Chief Financial Officer of Bristow from August 2015 to February 2019. Before that he served as Bristow’s Senior Vice President, Mergers, Acquisitions and Integration from June 2015 to August 2015, its Vice President, Mergers, Acquisitions and Integration from November 2014 to June 2015 and its Vice President, Strategy and Structured Transactions from 2010 to 2014. Prior to joining Bristow, Mr. Miller worked as an independent consultant from 2008 to 2010 assisting companies in capital markets and in a financial advisory capacity. He was previously the post-petition President and Chief Executive Officer for Enron North America Corp. and Enron Power Marketing, Inc. from 2001 to 2007 and also served in senior financial positions with Enron, including Director – Finance and Vice President, Asset Marketing Group from 1998 to 2001. Mr. Miller served as a supervisory director for Franks International N.V., an energy services provider, from 2020 to 2021. His career also includes seven years in senior financial positions with Citicorp Securities, Inc. and four years as an account executive with Dean Witter Reynolds, Inc. Mr. Miller is a CFA Charterholder. We believe that Mr. Miller is qualified to serve as a director because of his extensive financial, industry and management experience. </w:t>
      </w:r>
    </w:p>
    <w:p>
      <w:pPr>
        <w:pStyle w:val="TextBody"/>
        <w:bidi w:val="0"/>
        <w:spacing w:before="240" w:after="0"/>
        <w:jc w:val="left"/>
        <w:rPr>
          <w:rFonts w:ascii="Times New Roman" w:hAnsi="Times New Roman"/>
          <w:sz w:val="20"/>
        </w:rPr>
      </w:pPr>
      <w:r>
        <w:rPr>
          <w:rFonts w:ascii="Times New Roman" w:hAnsi="Times New Roman"/>
          <w:b/>
          <w:i/>
          <w:sz w:val="20"/>
        </w:rPr>
        <w:t>Aaron Rosen</w:t>
      </w:r>
      <w:r>
        <w:rPr>
          <w:rFonts w:ascii="Times New Roman" w:hAnsi="Times New Roman"/>
          <w:sz w:val="20"/>
        </w:rPr>
        <w:t xml:space="preserve"> has served as a director of Hornbeck since December 2022. Mr. Rosen is a Partner, Co-Head of Opportunistic Credit and Co-Portfolio Manager of Special Opportunities in the Ares Credit Group, where he focuses on investing across the various Ares fund platforms. Mr. Rosen serves as a member of the Ares Credit Group’s Opportunistic Credit Investment Committee and the Ares Private Equity Group’s Corporate Opportunities Investment Committee. Mr. Rosen currently serves as a director, member of the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member of the nominating, governance and sustainability committee of the board of directors of Savers Value Village, Inc., positions he has held since April 2021. He also currently serves on the boards of the parent entities of Consolidated Precision Products, Form Technologies, TriMark USA, Virgin Voyages and WHP Global. Prior to joining Ares in 2018, Mr. Rosen was a Partner and Director of Research at Archview Investment Group, where he focused on credit and equity investments in both the U.S. and internationally. Prior to Archview, Mr. Rosen was a Vice President at Citigroup, where he was a founding member of the Citibank Global Special Situations Group focused on U.S. credit and value equity investment strategies. In addition, Mr. Rosen was a member of Citigroup’s Asset-Based Finance group, where he focused on structuring senior secured debt financings for non-investment grade corporate borrowers. Mr. Rosen holds a B.S., summa cum laude, from New York University’s Stern School of Business in Finance and Information Systems, where he received the Valedictorian Award. We believe that Mr. Rosen is qualified to serve as a director because of his extensive financial and accounting expertise.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Chairman Emeritus </w:t>
      </w:r>
    </w:p>
    <w:p>
      <w:pPr>
        <w:pStyle w:val="TextBody"/>
        <w:bidi w:val="0"/>
        <w:spacing w:before="120" w:after="0"/>
        <w:jc w:val="left"/>
        <w:rPr>
          <w:rFonts w:ascii="Times New Roman" w:hAnsi="Times New Roman"/>
          <w:sz w:val="20"/>
        </w:rPr>
      </w:pPr>
      <w:r>
        <w:rPr>
          <w:rFonts w:ascii="Times New Roman" w:hAnsi="Times New Roman"/>
          <w:b/>
          <w:i/>
          <w:sz w:val="20"/>
        </w:rPr>
        <w:t>Larry D. Hornbeck</w:t>
      </w:r>
      <w:r>
        <w:rPr>
          <w:rFonts w:ascii="Times New Roman" w:hAnsi="Times New Roman"/>
          <w:sz w:val="20"/>
        </w:rPr>
        <w:t xml:space="preserve"> serves as Hornbeck’s Chairman Emeritus, a role he assumed in September 2020. An executive with over 50 years of experience in the offshore supply vessel business worldwide, Mr. Larry Hornbeck was the sole founder of the original Hornbeck Offshore Services, Inc., and from its inception in 1981 until its merger with Tidewater in March 1996, Mr. Larry Hornbeck served as the Chairman of the Board, President and Chief Executive Officer of Hornbeck Offshore Services, Inc. Following the merger, Mr. Larry Hornbeck served as a director and a member of the audit committee of Tidewater from March 1996 until October 2000. From 1969 to 1980, Mr. Larry Hornbeck served as an officer in various capacities, culminating as Chairman, President and Chief Executive Officer of Sealcraft Operators, Inc., a former NASDAQ-listed publicly traded offshore service vessel company operating 29 geophysical and specialty service vessels worldwide. He served on the board of directors and as chairman of the compensation committee of Coastal Towing, an inland marine tug and barge company. Mr. Larry Hornbeck assisted in orchestrating the founding of the current Company and is the father of Mr. Todd M. Hornbeck, our Chairman of the Board, President and Chief Executive Officer. In addition to the leadership roles in which Mr. Larry Hornbeck has served or currently serves, he has extensive involvement in international and domestic marine industry associations. Mr. Larry Hornbeck helped form and served on the boards of several marine industry associations, including the OMSA, and the NOIA. He also served on the board of directors of the American Bureau of Shipping and the ISOA. We believe that Mr. Hornbeck is qualified to serve as Chairman Emeritus because Mr. Larry Hornbeck brings to our Board of Directors a deep understanding of the operations of a public company in the offshore service vessel industry. With his many years of experience as both Chief Executive Officer and Chairman of the board of directors of the original Hornbeck Offshore Services, Inc. and of Sealcraft Operators, Inc., Mr. Larry Hornbeck brings not only management expertise, and unique technical knowledge of offshore service vessels and their application, construction and operation, but also has longstanding relationships with customers and vendors. This, combined with his years of experience as Chairman Emeritus and his continued active involvement in the Company, make him an invaluable contributor to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Executive Officers </w:t>
      </w:r>
    </w:p>
    <w:p>
      <w:pPr>
        <w:pStyle w:val="TextBody"/>
        <w:bidi w:val="0"/>
        <w:spacing w:before="120" w:after="0"/>
        <w:jc w:val="left"/>
        <w:rPr>
          <w:rFonts w:ascii="Times New Roman" w:hAnsi="Times New Roman"/>
          <w:sz w:val="20"/>
        </w:rPr>
      </w:pPr>
      <w:r>
        <w:rPr>
          <w:rFonts w:ascii="Times New Roman" w:hAnsi="Times New Roman"/>
          <w:b/>
          <w:i/>
          <w:sz w:val="20"/>
        </w:rPr>
        <w:t xml:space="preserve">Carl G. Annessa </w:t>
      </w:r>
      <w:r>
        <w:rPr>
          <w:rFonts w:ascii="Times New Roman" w:hAnsi="Times New Roman"/>
          <w:sz w:val="20"/>
        </w:rPr>
        <w:t xml:space="preserve">joined Hornbeck in September 1997 and is currently serving as our Executive Vice President—Military, Engineering, Repair &amp; Maintenance. Mr. Annessa previously served as our Chief Operating Officer from February 2002 to September 2020. Prior to February 2002, Mr. Annessa served as our Vice President of Operations beginning in September 1997. Mr. Annessa is responsible for executive oversight of the Company’s fleet operations and for oversight of design and implementation of our vessel construction and modification programs. Prior to joining Hornbeck, Mr. Annessa was employed for 17 years by Tidewater in various technical and operational management positions, including management of large fleets of offshore supply vessels in the Arabian Gulf, Caribbean and West African markets, and was responsible for the design of several of Tidewater’s vessels. Mr. Annessa was employed for two years by Avondale Shipyards, Inc. as a mechanical engineer before joining Tidewater. Mr. Annessa received a degree in naval architecture and marine engineering from the University of Michigan in 1979.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 xml:space="preserve">James O. Harp, Jr. </w:t>
      </w:r>
      <w:r>
        <w:rPr>
          <w:rFonts w:ascii="Times New Roman" w:hAnsi="Times New Roman"/>
          <w:sz w:val="20"/>
        </w:rPr>
        <w:t xml:space="preserve">joined Hornbeck in 2001 and is currently serving as our Executive Vice President and Chief Financial Officer. Mr. Harp has served as the Chief Financial Officer for Hornbeck since joining the Company. He was appointed Executive Vice President in February 2005. Prior to that time, he served as our Vice President beginning in January 2001. Before joining the Company, Mr. Harp served as Vice President in the Energy Groups of investment banking firms RBC Dominion Securities Corporation, from August 1999 to January 2001, and Jefferies &amp; Company, Inc. from June 1997 to August 1999. During his investment banking career, Mr. Harp worked extensively with marine-related oil service companies, including Hornbeck as an investment banker in connection with the Company’s private placement of common stock in November of 2000. From July 1982 to June 1997, he held roles of increasing responsibility in the tax section of Arthur Andersen LLP, ultimately serving as a Tax Principal, and had a significant concentration of international clients in the oil service and maritime industries. Since April 1992, he has also served as Treasurer and Director of SEISCO, Inc., a privately-held seismic brokerage company that he co-founded. In June 2023, Mr. Harp was appointed President of SEISCO, Inc. Mr. Harp is an inactive certified public accountant in Louisiana. </w:t>
      </w:r>
    </w:p>
    <w:p>
      <w:pPr>
        <w:pStyle w:val="TextBody"/>
        <w:bidi w:val="0"/>
        <w:spacing w:before="240" w:after="0"/>
        <w:jc w:val="left"/>
        <w:rPr>
          <w:rFonts w:ascii="Times New Roman" w:hAnsi="Times New Roman"/>
          <w:sz w:val="20"/>
        </w:rPr>
      </w:pPr>
      <w:r>
        <w:rPr>
          <w:rFonts w:ascii="Times New Roman" w:hAnsi="Times New Roman"/>
          <w:b/>
          <w:i/>
          <w:sz w:val="20"/>
        </w:rPr>
        <w:t xml:space="preserve">Samuel A. Giberga </w:t>
      </w:r>
      <w:r>
        <w:rPr>
          <w:rFonts w:ascii="Times New Roman" w:hAnsi="Times New Roman"/>
          <w:sz w:val="20"/>
        </w:rPr>
        <w:t xml:space="preserve">joined Hornbeck in January 2004 and is currently serving as our Executive Vice President, General Counsel and Corporate Secretary. Mr. Giberga has served as the General Counsel of Hornbeck since joining the Company. He was appointed Corporate Secretary in January 2021, Executive Vice President and Chief Compliance Officer in June 2011, and served as Senior Vice President beginning in February 2005. Prior to joining Hornbeck, Mr. Giberga was engaged in the private practice of law for 14 years. During his legal career, Mr. Giberga has worked extensively with marine and energy service companies in a variety of contexts with a concentration in general business, international and intellectual property matters. </w:t>
      </w:r>
    </w:p>
    <w:p>
      <w:pPr>
        <w:pStyle w:val="TextBody"/>
        <w:bidi w:val="0"/>
        <w:spacing w:before="240" w:after="0"/>
        <w:jc w:val="left"/>
        <w:rPr>
          <w:rFonts w:ascii="Times New Roman" w:hAnsi="Times New Roman"/>
          <w:sz w:val="20"/>
        </w:rPr>
      </w:pPr>
      <w:r>
        <w:rPr>
          <w:rFonts w:ascii="Times New Roman" w:hAnsi="Times New Roman"/>
          <w:b/>
          <w:i/>
          <w:sz w:val="20"/>
        </w:rPr>
        <w:t xml:space="preserve">John S. Cook </w:t>
      </w:r>
      <w:r>
        <w:rPr>
          <w:rFonts w:ascii="Times New Roman" w:hAnsi="Times New Roman"/>
          <w:sz w:val="20"/>
        </w:rPr>
        <w:t xml:space="preserve">is currently serving as our Executive Vice President and Chief Commercial Officer. Mr. Cook joined Hornbeck in May 2002 as our Chief Information Officer and served in that role until August 2024. He was appointed Executive Vice President and Chief Commercial Officer in February 2013, and served as a Senior Vice President beginning in May 2008. Mr. Cook was initially designated an executive officer and appointed a Vice President of the Company in February 2006. Before joining Hornbeck, Mr. Cook held roles of increasing responsibility in the business consulting section of Arthur Andersen LLP from January 1992 to May 2002, ultimately serving as a Senior Manager. During his consulting career, he assisted numerous marine and energy service companies in various business process and information technology initiatives, including strategic planning and enterprise software implementations. Mr. Cook is an inactive certified public accountant in Louisiana and is a member of the American Institute of Certified Public Accountants and the Society of Louisiana Certified Public Accountants.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Mr. Todd M. Hornbeck, the Chairman of the Board, President and Chief Executive Officer of the Company, is the son of Mr. Larry Hornbeck, who serves as Hornbeck’s Chairman Emeritus and assisted in orchestrating the founding of the current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of Directors. Upon completion of this offering, our Board of Directors will initially consist of nine directors. Thereafter, our Board of Directors will have discretion to determine the size of the Board of Directors, subject to the terms of our amended and restated certificate of incorporation. Subject to certain exceptions, newly created director positions resulting from an increase in size of the Board of Directors and vacancies may be filled by our Board of Directors. See “Description of Capital Stock and Warrants—Size of the Board of Directors and Vacancies.”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will provide that following the completion of this offering, the principal stockholders managed or advised by Ares or its affiliates (the “Ares principal stockholders”) will have the right to nominate to our Board of Directors (i) two nominees for so long as the 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stockholders beneficially own 20% or greater of our Fully Diluted Securities and (ii) one nominee for so long as the Ares principal stockholders beneficially own at least (i) prior to the first anniversary of the consummation of this offering, 5% of our Fully Diluted Securities and (ii) thereafter, 10% of our Fully Diluted Securities ((i) and (ii), as applicable, the “Minimum Threshold”), but less than 20% of our Fully Diluted Securities. Aaron Rosen and James McConeghy will be the initial director nominees of the Ares principal stockholders. The principal stockholders managed or advised by Highbridge or its affiliates (the “Highbridge principal stockholders”) will have the right to nominate to our Board of Directors one nominee for so long as the Highbridge principal stockholders beneficially own at least the Minimum Threshold of our Fully Diluted Securities. Sylvia Jo Sydow Kerrigan will be the initial director nominee of the Highbridge principal stockholders. The principal stockholders managed or advised by Whitebox or its affiliates (the “Whitebox principal stockholders”) will have the right to nominate to our board of directors one nominee for so long as the Whitebox principal stockholders beneficially own at least the Minimum Threshold of our Fully Diluted Securities. Jacob Mercer will be the initial director nominee of the Whitebox principal stockholders. See “Description of Capital Stock and Warrants—Director Nomination Rights.” </w:t>
      </w:r>
    </w:p>
    <w:p>
      <w:pPr>
        <w:pStyle w:val="TextBody"/>
        <w:bidi w:val="0"/>
        <w:spacing w:before="240" w:after="0"/>
        <w:jc w:val="left"/>
        <w:rPr>
          <w:rFonts w:ascii="Times New Roman" w:hAnsi="Times New Roman"/>
          <w:sz w:val="20"/>
        </w:rPr>
      </w:pPr>
      <w:r>
        <w:rPr>
          <w:rFonts w:ascii="Times New Roman" w:hAnsi="Times New Roman"/>
          <w:sz w:val="20"/>
        </w:rPr>
        <w:t xml:space="preserve">At all times, the composition of our Board of Directors will remain compliant with NYSE rules and the Jones Act. Such compliance includes, among other things, a requirement that no more than a minority of the number of directors necessary to constitute a quorum of the Board of Directors (or any committee thereof) be non-U.S. citizens.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corporate governance standards of the NYSE, a director employed by us cannot be deemed an “independent director,” and each other director will qualify as “independent” only if our Board of Directors 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 affiliations, our Board of Directors has affirmatively determined that each of Kurt M. Cellar, Evan Behrens, James McConeghy, Sylvia Jo Sydow Kerrigan, Bobby Jindal, Jacob Mercer, L. Don Miller and Aaron Rosen are independent in accordance with the NYSE rules. </w:t>
      </w:r>
    </w:p>
    <w:p>
      <w:pPr>
        <w:pStyle w:val="TextBody"/>
        <w:bidi w:val="0"/>
        <w:spacing w:before="360" w:after="0"/>
        <w:jc w:val="left"/>
        <w:rPr>
          <w:rFonts w:ascii="Times New Roman" w:hAnsi="Times New Roman"/>
          <w:b/>
          <w:sz w:val="20"/>
        </w:rPr>
      </w:pPr>
      <w:r>
        <w:rPr>
          <w:rFonts w:ascii="Times New Roman" w:hAnsi="Times New Roman"/>
          <w:b/>
          <w:sz w:val="20"/>
        </w:rPr>
        <w:t xml:space="preserve">Lead Independent Director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shall have a Lead Independent Director and, upon the completion of this offering, we expect that Kurt M. Cellar will continue to serve as the Lead Independent Director of our Board of Directors. Upon the completion of this offering, our Board of Directors will have adopted a written charter for the office of the Lead Independent Director which will take effect upon the completion of this offering. This charter will be posted on our website upon the completion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Securityholders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this offering, we will amend and restate our existing securityholders agreement (the “A&amp;R Securityholders Agreement”). Pursuant to the A&amp;R Securityholders Agreement, the Company will agree to take all necessary action (subject to applicable law) to cause the election of each director designated by the principal stockholders managed or advised by Ares, Highbridge or Whitebox or their respective affiliates in their capacities as Appointing Persons in accordance with the terms of our amended and restated certificate of incorporation. The A&amp;R Securityholders’ Agreement will also provide that the Company will agree to take all necessary action (subject to applicable law) to cause any vacancies created by death, resignation, removal, retirement or disqualification of a director designated by an Appointing Person to be filled by such Appointing Person in accordance with the terms of our amended and restated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Board of Directors will have three standing committees: an audit committee, a compensation committee and a nominating, corporate governance and sustainability committee. The composition and responsibilities of each committee following this offering are described below. Members serve on these committees until their resignation or until otherwise determined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For each committee below, the rules of the SEC and the exchange upon which we list our shares require us to have one independent committee member upon the listing of our common stock, a majority of independent committee members within 90 days of the effective date of the registration statement and all independent audit committee members within one year of the effective date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for so long as any of the principal stockholders own at least the Minimum Threshold of our Fully Diluted Securities, each such principal stockholder will have the right to designate one member of each of the compensation committee and the nominating, corporate governance and sustainability committees of the Board of Directors. The chairperson and any additional committee members shall be determined by the Board of Directors and comply with the independence requirements of the NYSE and the SEC, as applicable, as well as the citizenship requirements of the Jones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audit committee will consist of Kurt M. Cellar, Evan Behrens and L. Don Miller, with Mr. Cellar serving as chair. Our Board of Directors has determined that Kurt M. Cellar, Evan Behrens and L. Don Miller each satisfy the independence requirements for audit committee members under the listing standards of the NYSE and Rule 10A-3 of the Exchange Act. Mr. Miller has been determined to be an audit committee “financial expert” as defined under SEC rules. All members of the audit committee are able to read and understand fundamental financial statements, are familiar with finance and accounting practices and principles and are financially literate. Our audit committee will be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and hiring our independent auditors, and approving the audit and non-audit services to be performed by our independent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the Board of Directors in evaluating the qualifications, performance and independence of our independent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the Board of Directors in monitoring the quality and integrity of our financial statements and our accounting and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and effectiveness of our internal control over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our independent auditors our annual and quarterly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audit committee report that the SEC requires in our annual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related-party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our Board of Directors will have adopted a written charter for the audit committee which will take effect upon the completion of this offering and which satisfies the applicable rules of the SEC and the listing standards of the NYSE, including with respect to the review of related party transactions. This charter will be posted on our website upon the completion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our compensation committee will consist of Bobby Jindal, James McConeghy and Sylvia Jo Sydow Kerrigan, with Mr. Jindal serving as chair. The compensation committee will be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the Board of Directors with respect to, the compensation of our other executive officers, including annual base salary, bonus, equity-based incentives and other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of Directors with respect to the compensation of our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with respect to our equity compensation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our Board of Directors will have adopted a written charter for the compensation committee which will take effect upon the completion of this offering and which satisfies the applicable rules of the SEC and the listing standards of the NYSE. This charter will be posted on our website upon the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Corporate Governance and Sustainability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we expect our nominating, corporate governance and sustainability committee will consist of     , Sylvia Jo Sydow Kerrigan and Evan Behrens, with      serving as chair. The nominating, corporate governance and sustainability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our Board of Directors in identifying prospective director nominees and recommending nominees to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Board of Directors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developments in corporate governance practices and developing and recommending a set of corporate governance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sustainability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members for each committee of our Board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our Board of Directors will have adopted a written charter for the nominating, corporate governance and sustainability committee which will take effect upon the completion of this offering and which satisfies the applicable rules of the SEC and the listing standards of the NYSE. This charter will be posted on our website upon the completion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Codes of Conduct </w:t>
      </w:r>
    </w:p>
    <w:p>
      <w:pPr>
        <w:pStyle w:val="TextBody"/>
        <w:bidi w:val="0"/>
        <w:spacing w:before="120" w:after="0"/>
        <w:jc w:val="left"/>
        <w:rPr>
          <w:rFonts w:ascii="Times New Roman" w:hAnsi="Times New Roman"/>
          <w:sz w:val="20"/>
        </w:rPr>
      </w:pPr>
      <w:r>
        <w:rPr>
          <w:rFonts w:ascii="Times New Roman" w:hAnsi="Times New Roman"/>
          <w:sz w:val="20"/>
        </w:rPr>
        <w:t xml:space="preserve">We have a Code of Conduct that applies to all of our officers and employees, including our principal executive officer, principal financial officer and principal accounting officer, and a Code of Business Conduct and Ethics for members of our Board of Directors, which are posted on our Internet website on the “Governance Highlights” page accessible through the “Investors” tab. Our Code of Conduct is a “code of ethics,” as defined in Item 406(b) of Regulation S-K. The information contained on, or accessible from, our website is not part of this prospectus by reference or otherwise. We will make any legally required disclosures regarding amendments to, or waivers of, provisions of our code of ethics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Board of Directors will have established corporate governance guidelines in accordance with the corporate governance rules of the NYSE, which will be posted on our Internet website on the “Governance Highlights” page accessible through the “Investors” tab. The information contained on, or accessible from, our website is not part of this prospectus by reference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These corporate governance guidelines will include the definition of independence used by the Company to determine whether our directors and nominees for directors are independent, which are the same qualifications prescribed under the NYSE Listing Standards. Pursuant to these corporate governance guidelines, our non-management directors will be required to meet in separate sessions without management on a regularly scheduled basis, but no less than four times a year. Generally, these meetings may occur as an executive session without the management director in attendance in conjunction with regularly scheduled meetings of our Board of Directors throughout the year. If the non-management directors include directors that are not independent directors (as determined by our Board of Directors), the independent directors will be required to meet in at least one separate session annually that includes only the independent directors. Because the Chairman of the Board is also a member of management, the non-management directors’ and independent directors’ separate sessions will be presided over by the Lead Independent Director or, in his absence, by an independent director designated by the Lead Independent Director or elected by a majority of the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rom65571_11"/>
      <w:bookmarkEnd w:id="12"/>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this compensation discussion and analysis section is to provide information about the material elements of compensation that are paid, awarded to or earned by our “named executive officers,” who consist of our principal executive officer, principal financial officer and three other most highly compensated executive officers. For our fiscal year ended December 31, 2024 (“Fiscal 2024”), our named executive officers (“NEOs”)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Todd M. Hornbeck, Chairman of the Board,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James O. Harp, Jr., Executive Vice President and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Samuel A. Giberga, Executive Vice President, General Counsel and Corporate Secretary;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John S. Cook, Executive Vice President and Chief Commercial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Carl G. Annessa, Executive Vice President—Military, Engineering, Repair &amp; Maintenance.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our compensation committee and our Board of Directors will review and approve the compensation of our NEOs and oversee and administer our executive compensation programs and initiatives. As we return to being a public company, we expect that the components and underlying driving factors of our executive compensation programs will continue to evolve. Accordingly, the compensation paid to our NEOs for Fiscal 2024 is not necessarily indicative of how we will compensate our NEOs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programs reflect our entrepreneurial and innovative culture and philosophy. Executives, including our NEOs, are (i) hired to devise and execute strategies that create long-term stockholder value consistent with our mission statement and core values and (ii) appropriately rewarded for doing so. </w:t>
      </w:r>
    </w:p>
    <w:p>
      <w:pPr>
        <w:pStyle w:val="TextBody"/>
        <w:bidi w:val="0"/>
        <w:spacing w:before="240" w:after="0"/>
        <w:jc w:val="left"/>
        <w:rPr>
          <w:rFonts w:ascii="Times New Roman" w:hAnsi="Times New Roman"/>
          <w:sz w:val="20"/>
        </w:rPr>
      </w:pPr>
      <w:r>
        <w:rPr>
          <w:rFonts w:ascii="Times New Roman" w:hAnsi="Times New Roman"/>
          <w:sz w:val="20"/>
        </w:rPr>
        <w:t xml:space="preserve">The objectives of our executive compensation programs are to (i) attract and retain executives who possess abilities essential to the Company’s long-term competitiveness and success, (ii) support a performance-oriented environment and (iii) create a culture of ownership, allowing executives to share meaningfully with stockholders in the long-term enhancement of stockholder value. Our compensation program for executive officers rewards the following attributes: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Performance</w:t>
            </w:r>
            <w:r>
              <w:rPr>
                <w:rFonts w:ascii="Times New Roman" w:hAnsi="Times New Roman"/>
                <w:sz w:val="20"/>
              </w:rPr>
              <w:t xml:space="preserve">. We reward decision-making that is designed to achieve operating results that increase stockholder value over the long-term and that compare favorably to the operating results of our peers.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Excellence</w:t>
            </w:r>
            <w:r>
              <w:rPr>
                <w:rFonts w:ascii="Times New Roman" w:hAnsi="Times New Roman"/>
                <w:sz w:val="20"/>
              </w:rPr>
              <w:t xml:space="preserve">. We expect our executive officers to discharge their duties with excellence, professionalism and a high level of enthusiasm, integrity, diligence, analytical rigor, business acumen and attention to detail.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Leadership</w:t>
            </w:r>
            <w:r>
              <w:rPr>
                <w:rFonts w:ascii="Times New Roman" w:hAnsi="Times New Roman"/>
                <w:sz w:val="20"/>
              </w:rPr>
              <w:t xml:space="preserve">. Executives of the Company are expected to demonstrate leadership consistent with our core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i/>
                <w:sz w:val="20"/>
              </w:rPr>
              <w:t>Teamwork</w:t>
            </w:r>
            <w:r>
              <w:rPr>
                <w:rFonts w:ascii="Times New Roman" w:hAnsi="Times New Roman"/>
                <w:sz w:val="20"/>
              </w:rPr>
              <w:t xml:space="preserve">. Executives are evaluated as members of a team, not merely as individuals.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i/>
                <w:sz w:val="20"/>
              </w:rPr>
              <w:t>Forward-Looking Focus</w:t>
            </w:r>
            <w:r>
              <w:rPr>
                <w:rFonts w:ascii="Times New Roman" w:hAnsi="Times New Roman"/>
                <w:sz w:val="20"/>
              </w:rPr>
              <w:t xml:space="preserve">. We believe executives need to focus not only on our short-term performance, but also on our long-term future. Accordingly, we compensate our executives in a manner that incentivizes them to manage our business in a way that enables us to meet our long-range objectives, as well as our short-term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Loyalty</w:t>
            </w:r>
            <w:r>
              <w:rPr>
                <w:rFonts w:ascii="Times New Roman" w:hAnsi="Times New Roman"/>
                <w:sz w:val="20"/>
              </w:rPr>
              <w:t xml:space="preserve">. We promote a culture of ownership throughout the Company and reward employees, including our NEOs, who remain dedicated to the Company over the long-term with equity ownership opportunities, as well as other forms of long-term and incentive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Prudent Operating Practices</w:t>
            </w:r>
            <w:r>
              <w:rPr>
                <w:rFonts w:ascii="Times New Roman" w:hAnsi="Times New Roman"/>
                <w:sz w:val="20"/>
              </w:rPr>
              <w:t xml:space="preserve">. The Company expects executive decision-making that promotes safe, effective, compliant and prudent work practices.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factors above, we consider other factors in establishing compensation, such as our financial condition and available resources and the competition for the services of our executives, each as of the time of the applicable compensation decision. We consider the competitive market for corresponding positions within comparable geographic areas and companies of similar size, strategic complexity and stage of development operating in our industry or in other industries that are relevant to us.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considers Company information, historical compensation information about each executive officer and data derived from market sources, including data regarding peer companies and current industry conditions, as points of reference for the appropriate mix of compensation elements. </w:t>
      </w:r>
    </w:p>
    <w:p>
      <w:pPr>
        <w:pStyle w:val="TextBody"/>
        <w:bidi w:val="0"/>
        <w:spacing w:before="240" w:after="0"/>
        <w:jc w:val="left"/>
        <w:rPr>
          <w:rFonts w:ascii="Times New Roman" w:hAnsi="Times New Roman"/>
          <w:sz w:val="20"/>
        </w:rPr>
      </w:pPr>
      <w:r>
        <w:rPr>
          <w:rFonts w:ascii="Times New Roman" w:hAnsi="Times New Roman"/>
          <w:i/>
          <w:sz w:val="20"/>
        </w:rPr>
        <w:t xml:space="preserve">The Role of the Compensation Committee. </w:t>
      </w:r>
      <w:r>
        <w:rPr>
          <w:rFonts w:ascii="Times New Roman" w:hAnsi="Times New Roman"/>
          <w:sz w:val="20"/>
        </w:rPr>
        <w:t xml:space="preserve">Our compensation committee is comprised solely of directors who (i) meet the independence requirements of Section 303A of the NYSE Listed Company Manual, the provisions of Section 952 of the Dodd-Frank Act and any rules or regulations promulgated thereunder and (ii) qualify as “Non-Employee Directors” under Rule 16b-3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is responsible for (i) establishing and administering an overall compensation program for our executive officers and approving all compensation for our executive officers, (ii) establishing and administering the Company’s policies governing annual cash compensation and equity incentive awards for employees other than our executive officers and (iii) ensuring that the administration of the Company’s incentive compensation and certain employee benefit plans is delegated appropriately in accordance with the applicable governing documents. The compensation committee meets multiple times each year to analyze and discuss the Company’s compensation plans, proposals and other compensation-related issues. From time to time, it also engages in informal sessions with and without executive management. These sessions usually coincide with the Company’s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our executive officers, including the establishment of base salaries, determination of any potential cash incentive compensation targets and participation levels of each NEO and approval of long-term incentive awards under the Company’s 2020 Management Incentive Plan. The compensation awards approved by the committee are part of the annual budget approved by the Board of Directors, which is typically approved at the same time. When appropriate, the compensation committee recommends compensation or benefit policies or plans (or amendments to existing policies or plans) and amendments to employment agreements with our executive officers to the full Board of Directors.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 </w:t>
      </w:r>
    </w:p>
    <w:p>
      <w:pPr>
        <w:pStyle w:val="TextBody"/>
        <w:bidi w:val="0"/>
        <w:spacing w:before="240" w:after="0"/>
        <w:jc w:val="left"/>
        <w:rPr>
          <w:rFonts w:ascii="Times New Roman" w:hAnsi="Times New Roman"/>
          <w:sz w:val="20"/>
        </w:rPr>
      </w:pPr>
      <w:r>
        <w:rPr>
          <w:rFonts w:ascii="Times New Roman" w:hAnsi="Times New Roman"/>
          <w:i/>
          <w:sz w:val="20"/>
        </w:rPr>
        <w:t xml:space="preserve">Compensation Consultant. </w:t>
      </w:r>
      <w:r>
        <w:rPr>
          <w:rFonts w:ascii="Times New Roman" w:hAnsi="Times New Roman"/>
          <w:sz w:val="20"/>
        </w:rPr>
        <w:t xml:space="preserve">In anticipation of a public offering, in late 2023, the compensation committee evaluated several independent consultants and engaged Frederic W. Cook &amp; Co., Inc. (“FW Cook”) to perform a full compensation review and analysis for Fiscal 2024. As part of their review, FW Cook provided advice on the compensation strategy and program design, compared the Company’s compensation programs with those of other companies and reviewed and recommended an updated peer group. The compensation committee may choose to retain outside compensation consultants to review compensation issues again in the future. </w:t>
      </w:r>
    </w:p>
    <w:p>
      <w:pPr>
        <w:pStyle w:val="TextBody"/>
        <w:bidi w:val="0"/>
        <w:spacing w:before="240" w:after="0"/>
        <w:jc w:val="left"/>
        <w:rPr>
          <w:rFonts w:ascii="Times New Roman" w:hAnsi="Times New Roman"/>
          <w:sz w:val="20"/>
        </w:rPr>
      </w:pPr>
      <w:r>
        <w:rPr>
          <w:rFonts w:ascii="Times New Roman" w:hAnsi="Times New Roman"/>
          <w:i/>
          <w:sz w:val="20"/>
        </w:rPr>
        <w:t xml:space="preserve">Benchmarks. </w:t>
      </w:r>
      <w:r>
        <w:rPr>
          <w:rFonts w:ascii="Times New Roman" w:hAnsi="Times New Roman"/>
          <w:sz w:val="20"/>
        </w:rPr>
        <w:t xml:space="preserve">We compete with other companies for executive talent. In doing so, we consider prevailing executive compensation trends in order to establish whether our compensation is appropriate, competitive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in-line with our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the Company so as to provide a source of meaningful comparison, or our Industry Peer Group; (ii) public filings of publicly traded marine service companies that are our direct competitors; and (iii) published survey information for the energy industry, as well as the broader commercial industry, when appropriate. Our competitive market is not comprised strictly of vessel owners, because the competition we face for certain executive talent is not limited to marine companies, and we believe that the number of such companies represents too small of a sample size for a reasonable comparison. Generally, the compensation committee considers how the compensation of our executives compares with the individual elements of, as well as the total direct compensation of, the NEOs of the groups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In January of 2024, at the compensation committee’s request, FW Cook identified and selected a peer group that was representative of the competitive compensation landscape and the marketplace for executive talent. The Industry Peer Group was used to benchmark executive compensation for Fiscal 2024. The companies that are included in the Company’s public company Industry Peer Group consist of the following: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Industry Peer Group Used to Benchmark –2024 Executive Compensation </w:t>
      </w:r>
    </w:p>
    <w:p>
      <w:pPr>
        <w:pStyle w:val="TextBody"/>
        <w:bidi w:val="0"/>
        <w:spacing w:before="240" w:after="0"/>
        <w:jc w:val="center"/>
        <w:rPr>
          <w:rFonts w:ascii="Times New Roman" w:hAnsi="Times New Roman"/>
          <w:sz w:val="20"/>
        </w:rPr>
      </w:pPr>
      <w:r>
        <w:rPr>
          <w:rFonts w:ascii="Times New Roman" w:hAnsi="Times New Roman"/>
          <w:sz w:val="20"/>
        </w:rPr>
        <w:t xml:space="preserve">Bristow Group Inc. (VTOL) </w:t>
      </w:r>
    </w:p>
    <w:p>
      <w:pPr>
        <w:pStyle w:val="TextBody"/>
        <w:bidi w:val="0"/>
        <w:spacing w:before="0" w:after="0"/>
        <w:jc w:val="center"/>
        <w:rPr>
          <w:rFonts w:ascii="Times New Roman" w:hAnsi="Times New Roman"/>
          <w:sz w:val="20"/>
        </w:rPr>
      </w:pPr>
      <w:r>
        <w:rPr>
          <w:rFonts w:ascii="Times New Roman" w:hAnsi="Times New Roman"/>
          <w:sz w:val="20"/>
        </w:rPr>
        <w:t xml:space="preserve">Cactus, Inc. (WHD) </w:t>
      </w:r>
    </w:p>
    <w:p>
      <w:pPr>
        <w:pStyle w:val="TextBody"/>
        <w:bidi w:val="0"/>
        <w:spacing w:before="0" w:after="0"/>
        <w:jc w:val="center"/>
        <w:rPr>
          <w:rFonts w:ascii="Times New Roman" w:hAnsi="Times New Roman"/>
          <w:sz w:val="20"/>
        </w:rPr>
      </w:pPr>
      <w:r>
        <w:rPr>
          <w:rFonts w:ascii="Times New Roman" w:hAnsi="Times New Roman"/>
          <w:sz w:val="20"/>
        </w:rPr>
        <w:t xml:space="preserve">Diamond Offshore Drilling, Inc. (DO) </w:t>
      </w:r>
    </w:p>
    <w:p>
      <w:pPr>
        <w:pStyle w:val="TextBody"/>
        <w:bidi w:val="0"/>
        <w:spacing w:before="0" w:after="0"/>
        <w:jc w:val="center"/>
        <w:rPr>
          <w:rFonts w:ascii="Times New Roman" w:hAnsi="Times New Roman"/>
          <w:sz w:val="20"/>
        </w:rPr>
      </w:pPr>
      <w:r>
        <w:rPr>
          <w:rFonts w:ascii="Times New Roman" w:hAnsi="Times New Roman"/>
          <w:sz w:val="20"/>
        </w:rPr>
        <w:t xml:space="preserve">Dril-Quip, Inc. (DRQ) </w:t>
      </w:r>
    </w:p>
    <w:p>
      <w:pPr>
        <w:pStyle w:val="TextBody"/>
        <w:bidi w:val="0"/>
        <w:spacing w:before="0" w:after="0"/>
        <w:jc w:val="center"/>
        <w:rPr>
          <w:rFonts w:ascii="Times New Roman" w:hAnsi="Times New Roman"/>
          <w:sz w:val="20"/>
        </w:rPr>
      </w:pPr>
      <w:r>
        <w:rPr>
          <w:rFonts w:ascii="Times New Roman" w:hAnsi="Times New Roman"/>
          <w:sz w:val="20"/>
        </w:rPr>
        <w:t xml:space="preserve">Great Lakes Dredge &amp; Dock Corporation (GLDD) </w:t>
      </w:r>
    </w:p>
    <w:p>
      <w:pPr>
        <w:pStyle w:val="TextBody"/>
        <w:bidi w:val="0"/>
        <w:spacing w:before="0" w:after="0"/>
        <w:jc w:val="center"/>
        <w:rPr>
          <w:rFonts w:ascii="Times New Roman" w:hAnsi="Times New Roman"/>
          <w:sz w:val="20"/>
        </w:rPr>
      </w:pPr>
      <w:r>
        <w:rPr>
          <w:rFonts w:ascii="Times New Roman" w:hAnsi="Times New Roman"/>
          <w:sz w:val="20"/>
        </w:rPr>
        <w:t xml:space="preserve">Helix Energy Solutions Group, Inc. (HLX) </w:t>
      </w:r>
    </w:p>
    <w:p>
      <w:pPr>
        <w:pStyle w:val="TextBody"/>
        <w:bidi w:val="0"/>
        <w:spacing w:before="0" w:after="0"/>
        <w:jc w:val="center"/>
        <w:rPr>
          <w:rFonts w:ascii="Times New Roman" w:hAnsi="Times New Roman"/>
          <w:sz w:val="20"/>
        </w:rPr>
      </w:pPr>
      <w:r>
        <w:rPr>
          <w:rFonts w:ascii="Times New Roman" w:hAnsi="Times New Roman"/>
          <w:sz w:val="20"/>
        </w:rPr>
        <w:t xml:space="preserve">Kirby Corporation (KEX) </w:t>
      </w:r>
    </w:p>
    <w:p>
      <w:pPr>
        <w:pStyle w:val="TextBody"/>
        <w:bidi w:val="0"/>
        <w:spacing w:before="0" w:after="0"/>
        <w:jc w:val="center"/>
        <w:rPr>
          <w:rFonts w:ascii="Times New Roman" w:hAnsi="Times New Roman"/>
          <w:sz w:val="20"/>
        </w:rPr>
      </w:pPr>
      <w:r>
        <w:rPr>
          <w:rFonts w:ascii="Times New Roman" w:hAnsi="Times New Roman"/>
          <w:sz w:val="20"/>
        </w:rPr>
        <w:t xml:space="preserve">Newpark Resources, Inc. (NR) </w:t>
      </w:r>
    </w:p>
    <w:p>
      <w:pPr>
        <w:pStyle w:val="TextBody"/>
        <w:bidi w:val="0"/>
        <w:spacing w:before="0" w:after="0"/>
        <w:jc w:val="center"/>
        <w:rPr>
          <w:rFonts w:ascii="Times New Roman" w:hAnsi="Times New Roman"/>
          <w:sz w:val="20"/>
        </w:rPr>
      </w:pPr>
      <w:r>
        <w:rPr>
          <w:rFonts w:ascii="Times New Roman" w:hAnsi="Times New Roman"/>
          <w:sz w:val="20"/>
        </w:rPr>
        <w:t xml:space="preserve">Oceaneering International, Inc. (OII) </w:t>
      </w:r>
    </w:p>
    <w:p>
      <w:pPr>
        <w:pStyle w:val="TextBody"/>
        <w:bidi w:val="0"/>
        <w:spacing w:before="0" w:after="0"/>
        <w:jc w:val="center"/>
        <w:rPr>
          <w:rFonts w:ascii="Times New Roman" w:hAnsi="Times New Roman"/>
          <w:sz w:val="20"/>
        </w:rPr>
      </w:pPr>
      <w:r>
        <w:rPr>
          <w:rFonts w:ascii="Times New Roman" w:hAnsi="Times New Roman"/>
          <w:sz w:val="20"/>
        </w:rPr>
        <w:t xml:space="preserve">SEACOR Marine Holdings Inc. (SMHI) </w:t>
      </w:r>
    </w:p>
    <w:p>
      <w:pPr>
        <w:pStyle w:val="TextBody"/>
        <w:bidi w:val="0"/>
        <w:spacing w:before="0" w:after="0"/>
        <w:jc w:val="center"/>
        <w:rPr>
          <w:rFonts w:ascii="Times New Roman" w:hAnsi="Times New Roman"/>
          <w:sz w:val="20"/>
        </w:rPr>
      </w:pPr>
      <w:r>
        <w:rPr>
          <w:rFonts w:ascii="Times New Roman" w:hAnsi="Times New Roman"/>
          <w:sz w:val="20"/>
        </w:rPr>
        <w:t xml:space="preserve">TETRA Technologies, Inc. (TTI) </w:t>
      </w:r>
    </w:p>
    <w:p>
      <w:pPr>
        <w:pStyle w:val="TextBody"/>
        <w:bidi w:val="0"/>
        <w:spacing w:before="0" w:after="0"/>
        <w:jc w:val="center"/>
        <w:rPr>
          <w:rFonts w:ascii="Times New Roman" w:hAnsi="Times New Roman"/>
          <w:sz w:val="20"/>
        </w:rPr>
      </w:pPr>
      <w:r>
        <w:rPr>
          <w:rFonts w:ascii="Times New Roman" w:hAnsi="Times New Roman"/>
          <w:sz w:val="20"/>
        </w:rPr>
        <w:t xml:space="preserve">Tidewater Inc. (TDW) </w:t>
      </w:r>
    </w:p>
    <w:p>
      <w:pPr>
        <w:pStyle w:val="TextBody"/>
        <w:bidi w:val="0"/>
        <w:spacing w:before="0" w:after="0"/>
        <w:jc w:val="center"/>
        <w:rPr>
          <w:rFonts w:ascii="Times New Roman" w:hAnsi="Times New Roman"/>
          <w:sz w:val="20"/>
        </w:rPr>
      </w:pPr>
      <w:r>
        <w:rPr>
          <w:rFonts w:ascii="Times New Roman" w:hAnsi="Times New Roman"/>
          <w:sz w:val="20"/>
        </w:rPr>
        <w:t xml:space="preserve">Valaris Limited (VAL) </w:t>
      </w:r>
    </w:p>
    <w:p>
      <w:pPr>
        <w:pStyle w:val="TextBody"/>
        <w:bidi w:val="0"/>
        <w:spacing w:before="240" w:after="0"/>
        <w:jc w:val="left"/>
        <w:rPr>
          <w:rFonts w:ascii="Times New Roman" w:hAnsi="Times New Roman"/>
          <w:sz w:val="20"/>
        </w:rPr>
      </w:pPr>
      <w:r>
        <w:rPr>
          <w:rFonts w:ascii="Times New Roman" w:hAnsi="Times New Roman"/>
          <w:i/>
          <w:sz w:val="20"/>
        </w:rPr>
        <w:t xml:space="preserve">Role of Executive Management in the Compensation Process. </w:t>
      </w:r>
      <w:r>
        <w:rPr>
          <w:rFonts w:ascii="Times New Roman" w:hAnsi="Times New Roman"/>
          <w:sz w:val="20"/>
        </w:rPr>
        <w:t xml:space="preserve">The compensation committee works with executive management with respect to the practical aspects of the design and execution of our executive compensation programs. Because our executive officers’ cash compensation is derived, in part, from the Company’s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NEOs. </w:t>
      </w:r>
    </w:p>
    <w:p>
      <w:pPr>
        <w:pStyle w:val="TextBody"/>
        <w:bidi w:val="0"/>
        <w:spacing w:before="240" w:after="0"/>
        <w:jc w:val="left"/>
        <w:rPr>
          <w:rFonts w:ascii="Times New Roman" w:hAnsi="Times New Roman"/>
          <w:sz w:val="20"/>
        </w:rPr>
      </w:pPr>
      <w:r>
        <w:rPr>
          <w:rFonts w:ascii="Times New Roman" w:hAnsi="Times New Roman"/>
          <w:i/>
          <w:sz w:val="20"/>
        </w:rPr>
        <w:t xml:space="preserve">Incentive Cash Compensation Metrics. </w:t>
      </w:r>
      <w:r>
        <w:rPr>
          <w:rFonts w:ascii="Times New Roman" w:hAnsi="Times New Roman"/>
          <w:sz w:val="20"/>
        </w:rPr>
        <w:t xml:space="preserve">The Company’s performance measures for incentive cash compensation generally consist of Adjusted EBITDA, relative safety performance and a discretionary component tied to the Company’s achievement of certain strategic objectives set by management and the Board of Directors. Adjusted EBITDA has historically been our most heavily weighted objective component because of the prominence that Adjusted EBITDA has in several facets of the Company’s operations. For instance, we disclose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discuss Adjusted EBITDA as a non-GAAP financial measure in our quarterly reports and conference calls with our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our Adjusted EBITDA to that of the potential acquisition target; and (iii) to assess our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our compensation analysis and/or are unpredictable for budgeting purposes. In setting the Adjusted EBITDA target used as a component of our cash incentive compensation, the compensation committee historically set the Adjusted EBITDA target based on expected performance for the year considering industry conditions, competitor performance and expectations of the Board of Directors. This approach historically resulted in Adjusted EBITDA targets that were designed to incentivize management to perform at demanding levels. The Company has not historically changed the Adjusted EBITDA target for cash incentive compensation for a given year, other than, on occasion, to adjust for significant acquisitions, dispositions or financings that had occurred after, and were unanticipated at the time when, the Adjusted EBITDA target was originally set. </w:t>
      </w:r>
    </w:p>
    <w:p>
      <w:pPr>
        <w:pStyle w:val="TextBody"/>
        <w:bidi w:val="0"/>
        <w:spacing w:before="240" w:after="0"/>
        <w:jc w:val="left"/>
        <w:rPr>
          <w:rFonts w:ascii="Times New Roman" w:hAnsi="Times New Roman"/>
          <w:sz w:val="20"/>
        </w:rPr>
      </w:pPr>
      <w:r>
        <w:rPr>
          <w:rFonts w:ascii="Times New Roman" w:hAnsi="Times New Roman"/>
          <w:sz w:val="20"/>
        </w:rPr>
        <w:t xml:space="preserve">The safety component is evaluated by comparing the total recordable incident rate (also known as “TRIR”) with various industry benchmarks and our own prior safety performance. When selecting service providers, we know that our customers make decisions based on the safety performance of the provider. Therefore, we believe that by using a safety component in our objective performance measures, we will not only reinforce the culture of safety within our Company, which benefits our employees, but also should optimize revenue and improve our long-term performance sustainability.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these metrics incentivize management to strive for operating results that increase stockholder value, while reaffirming our commitment to operating our business at the highest levels of safety and with the utmost care and protection of the environment. </w:t>
      </w:r>
    </w:p>
    <w:p>
      <w:pPr>
        <w:pStyle w:val="TextBody"/>
        <w:bidi w:val="0"/>
        <w:spacing w:before="360" w:after="0"/>
        <w:jc w:val="left"/>
        <w:rPr>
          <w:rFonts w:ascii="Times New Roman" w:hAnsi="Times New Roman"/>
          <w:b/>
          <w:sz w:val="20"/>
        </w:rPr>
      </w:pPr>
      <w:r>
        <w:rPr>
          <w:rFonts w:ascii="Times New Roman" w:hAnsi="Times New Roman"/>
          <w:b/>
          <w:sz w:val="20"/>
        </w:rPr>
        <w:t xml:space="preserve">Elements of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current executive compensation program, which was set by our compensation committee, consists of the following components: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cash incentive awards linked to our overall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periodic grants of long-term equity-based compensation, such as time- or performance-based restricted stock units or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executive benefits and perquisites;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employment agreements, which contain termination and change of control benefits. </w:t>
            </w:r>
          </w:p>
        </w:tc>
      </w:tr>
    </w:tbl>
    <w:p>
      <w:pPr>
        <w:pStyle w:val="TextBody"/>
        <w:bidi w:val="0"/>
        <w:spacing w:before="240" w:after="0"/>
        <w:jc w:val="left"/>
        <w:rPr>
          <w:rFonts w:ascii="Times New Roman" w:hAnsi="Times New Roman"/>
          <w:sz w:val="20"/>
        </w:rPr>
      </w:pPr>
      <w:r>
        <w:rPr>
          <w:rFonts w:ascii="Times New Roman" w:hAnsi="Times New Roman"/>
          <w:sz w:val="20"/>
        </w:rPr>
        <w:t>We combine these elements in order to formulate compensation packages that provide competitive pay, reward the achievement of financial, operational and strategic objectives and align the interests of our executive officers and other senior personnel with those of our stockholders.</w:t>
      </w:r>
    </w:p>
    <w:p>
      <w:pPr>
        <w:pStyle w:val="TextBody"/>
        <w:bidi w:val="0"/>
        <w:spacing w:before="360" w:after="0"/>
        <w:jc w:val="left"/>
        <w:rPr>
          <w:rFonts w:ascii="Times New Roman" w:hAnsi="Times New Roman"/>
          <w:b/>
          <w:sz w:val="20"/>
        </w:rPr>
      </w:pPr>
      <w:r>
        <w:rPr>
          <w:rFonts w:ascii="Times New Roman" w:hAnsi="Times New Roman"/>
          <w:b/>
          <w:sz w:val="20"/>
        </w:rPr>
        <w:t xml:space="preserve">Pay Mix </w:t>
      </w:r>
    </w:p>
    <w:p>
      <w:pPr>
        <w:pStyle w:val="TextBody"/>
        <w:bidi w:val="0"/>
        <w:spacing w:before="120" w:after="0"/>
        <w:jc w:val="left"/>
        <w:rPr>
          <w:rFonts w:ascii="Times New Roman" w:hAnsi="Times New Roman"/>
          <w:sz w:val="20"/>
        </w:rPr>
      </w:pPr>
      <w:r>
        <w:rPr>
          <w:rFonts w:ascii="Times New Roman" w:hAnsi="Times New Roman"/>
          <w:sz w:val="20"/>
        </w:rPr>
        <w:t xml:space="preserve">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Our compensation philosophy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designed to foster entrepreneurship at all levels of the organization and is focused on employee value and retention by making long-term, equity-based incentive opportunities a substantial component of our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we have focused on structuring overall compensation packages that serve the goals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We pay a base salary to each of our executive officers in order to compensate them for their day-to-day services rendered to us over the course of each year. Each NEO’s base salary was contractually established pursuant to his Amended and Restated Employment Agreement, dated September 4, 2020 (each, an “EA”). Our compensation committee reviews base salaries annually, and each NEO’s may be increased, but not decreased (given the terms of each NEO’s EA), from the contracted amount. In performing its annual review, the compensation committee considers the scope of the NEO’s job responsibilities, the NEO’s unique skill sets and experience and individual contributions, market conditions, the NEO’s current compensation as compared to that provided by peer and competitor companies, including the Industry Peer Group, and the Company’s annual financial budget. In addition, the compensation committee considers the overall performance of the Company and the recommendations of the Chief Executive Officer concerning the compensation of the NEOs other than himself. Consistent with the recommendation of FW Cook, the NEOs’ base salaries continued to remain unchanged for Fiscal 2024.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all of our NEOs (other than our Chief Executive Officer), our compensation committee determined to establish base salaries that are equal for each, given their shared level of seniority and experience, as well as the multiple roles each has played in the management of our business. This approach could change in the future. The equalized pay for our most senior executives also enhances our core values of teamwork. The base salaries paid to our NEOs in Fiscal 2024, and the fiscal years ended December 31, 2023 (“Fiscal 2023”) and December 31, 2022 (“Fiscal 2022”) are set forth in the Summary Compensation Table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Bonus </w:t>
      </w:r>
    </w:p>
    <w:p>
      <w:pPr>
        <w:pStyle w:val="TextBody"/>
        <w:bidi w:val="0"/>
        <w:spacing w:before="120" w:after="0"/>
        <w:jc w:val="left"/>
        <w:rPr>
          <w:rFonts w:ascii="Times New Roman" w:hAnsi="Times New Roman"/>
          <w:sz w:val="20"/>
        </w:rPr>
      </w:pPr>
      <w:r>
        <w:rPr>
          <w:rFonts w:ascii="Times New Roman" w:hAnsi="Times New Roman"/>
          <w:sz w:val="20"/>
        </w:rPr>
        <w:t xml:space="preserve">We utilize non-equity incentive compensation, also referred to herein as “cash incentive compensation,” in order to reward the achievement of specific results each year and the relative out-performance of our peers for the applicable measurement period. Each NEO’s EA provides for the payment of cash 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NEO’s EA also provides for a target cash incentive compensation opportunity for each fiscal year equal to 100% of the NEO’s annualized base salary for the fiscal year (the “Target Bonus”). Each NEO’s actual cash incentive compensation for the relevant fiscal year will equal a percentage of the Target Bonus, determined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Target Bonus, if threshold levels of performance for that fiscal year are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Target Bonus, if target levels of performance for that fiscal year are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 of the Target Bonus, if maximum levels of performance for that fiscal year are achieved;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percentage of the Target Bonus determined in accordance with the plan established by the compensation committee, if achieved performance for the fiscal year is in between threshold, target and maximum levels of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Fiscal 2024, the Company’s compensation program called for the award of cash incentive compensation based on relative achievement of two components: (i) Adjusted EBITDA (weighted 90%) and (ii) TRIR (weighted 10%). The compensation committee annually revisits whether to change the vesting criteria or otherwise adjust the weighting of the Adjusted EBITDA and TRIR components. We refer to each of the Adjusted EBITDA and TRIR component weighting percentages herein as an “Applicable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TRIR target uses annual industry safety benchmarks of the International Association of Drilling Contractors (“IADC”), ISOA and IMCA. Previously, we included the safety benchmark of OMSA; however, OMSA has discontinued publicizing its benchmark, so we no longer use OMSA as one of our safety benchmarks. Because the Company has usually outperformed these industry safety benchmarks and in an effort to place an even greater emphasis on the preservation of our executive team’s focus on efficient, safe and environmentally sound operations, the maximum safety level is set at 10% better than the average of the three-best annual TRIRs achieved by the Company in the most recent ten years. This results in a more difficult standard of TRIR necessary to achieve the maximum potential vesting for that factor.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Fiscal 2024,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2"/>
        <w:gridCol w:w="64"/>
        <w:gridCol w:w="1147"/>
        <w:gridCol w:w="128"/>
        <w:gridCol w:w="1232"/>
        <w:gridCol w:w="64"/>
        <w:gridCol w:w="1283"/>
        <w:gridCol w:w="63"/>
        <w:gridCol w:w="1225"/>
        <w:gridCol w:w="64"/>
        <w:gridCol w:w="1283"/>
        <w:gridCol w:w="64"/>
        <w:gridCol w:w="1225"/>
        <w:gridCol w:w="60"/>
        <w:gridCol w:w="1361"/>
      </w:tblGrid>
      <w:tr>
        <w:trPr/>
        <w:tc>
          <w:tcPr>
            <w:tcW w:w="942"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94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Component</w:t>
            </w:r>
          </w:p>
        </w:tc>
        <w:tc>
          <w:tcPr>
            <w:tcW w:w="64" w:type="dxa"/>
            <w:tcBorders/>
            <w:vAlign w:val="bottom"/>
          </w:tcPr>
          <w:p>
            <w:pPr>
              <w:pStyle w:val="TableContents"/>
              <w:bidi w:val="0"/>
              <w:spacing w:before="0" w:after="283"/>
              <w:jc w:val="left"/>
              <w:rPr/>
            </w:pPr>
            <w:r>
              <w:rPr/>
              <w:t> </w:t>
            </w:r>
          </w:p>
        </w:tc>
        <w:tc>
          <w:tcPr>
            <w:tcW w:w="1147" w:type="dxa"/>
            <w:tcBorders>
              <w:bottom w:val="single" w:sz="8" w:space="0" w:color="000000"/>
            </w:tcBorders>
            <w:tcMar>
              <w:bottom w:w="28" w:type="dxa"/>
            </w:tcMar>
            <w:vAlign w:val="bottom"/>
          </w:tcPr>
          <w:p>
            <w:pPr>
              <w:pStyle w:val="TableContents"/>
              <w:bidi w:val="0"/>
              <w:spacing w:before="0" w:after="283"/>
              <w:jc w:val="center"/>
              <w:rPr>
                <w:b/>
              </w:rPr>
            </w:pPr>
            <w:r>
              <w:rPr>
                <w:b/>
              </w:rPr>
              <w:t>Applicable</w:t>
              <w:br/>
              <w:t>Percentage</w:t>
            </w:r>
          </w:p>
        </w:tc>
        <w:tc>
          <w:tcPr>
            <w:tcW w:w="128" w:type="dxa"/>
            <w:tcBorders/>
            <w:vAlign w:val="bottom"/>
          </w:tcPr>
          <w:p>
            <w:pPr>
              <w:pStyle w:val="TableContents"/>
              <w:bidi w:val="0"/>
              <w:spacing w:before="0" w:after="283"/>
              <w:jc w:val="left"/>
              <w:rPr/>
            </w:pPr>
            <w:r>
              <w:rPr/>
              <w:t>  </w:t>
            </w:r>
          </w:p>
        </w:tc>
        <w:tc>
          <w:tcPr>
            <w:tcW w:w="12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Threshold Goal</w:t>
              <w:br/>
              <w:t>(Payout of 50%</w:t>
              <w:br/>
              <w:t>of Base Salary)</w:t>
            </w:r>
          </w:p>
        </w:tc>
        <w:tc>
          <w:tcPr>
            <w:tcW w:w="64" w:type="dxa"/>
            <w:tcBorders/>
            <w:vAlign w:val="bottom"/>
          </w:tcPr>
          <w:p>
            <w:pPr>
              <w:pStyle w:val="TableContents"/>
              <w:bidi w:val="0"/>
              <w:spacing w:before="0" w:after="283"/>
              <w:jc w:val="left"/>
              <w:rPr/>
            </w:pPr>
            <w:r>
              <w:rPr/>
              <w:t> </w:t>
            </w:r>
          </w:p>
        </w:tc>
        <w:tc>
          <w:tcPr>
            <w:tcW w:w="1283" w:type="dxa"/>
            <w:tcBorders>
              <w:bottom w:val="single" w:sz="8" w:space="0" w:color="000000"/>
            </w:tcBorders>
            <w:tcMar>
              <w:bottom w:w="28" w:type="dxa"/>
            </w:tcMar>
            <w:vAlign w:val="bottom"/>
          </w:tcPr>
          <w:p>
            <w:pPr>
              <w:pStyle w:val="TableContents"/>
              <w:bidi w:val="0"/>
              <w:spacing w:before="0" w:after="283"/>
              <w:jc w:val="center"/>
              <w:rPr>
                <w:b/>
              </w:rPr>
            </w:pPr>
            <w:r>
              <w:rPr>
                <w:b/>
              </w:rPr>
              <w:t>Threshold</w:t>
              <w:br/>
              <w:t>Payout</w:t>
              <w:br/>
              <w:t>Attributable</w:t>
              <w:br/>
              <w:t>to</w:t>
              <w:br/>
              <w:t>Component</w:t>
            </w:r>
          </w:p>
        </w:tc>
        <w:tc>
          <w:tcPr>
            <w:tcW w:w="63" w:type="dxa"/>
            <w:tcBorders/>
            <w:vAlign w:val="bottom"/>
          </w:tcPr>
          <w:p>
            <w:pPr>
              <w:pStyle w:val="TableContents"/>
              <w:bidi w:val="0"/>
              <w:spacing w:before="0" w:after="283"/>
              <w:jc w:val="left"/>
              <w:rPr/>
            </w:pPr>
            <w:r>
              <w:rPr/>
              <w:t> </w:t>
            </w:r>
          </w:p>
        </w:tc>
        <w:tc>
          <w:tcPr>
            <w:tcW w:w="12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 Goal</w:t>
              <w:br/>
              <w:t>(Payout of 100%</w:t>
              <w:br/>
              <w:t>of Base Salary)</w:t>
            </w:r>
          </w:p>
        </w:tc>
        <w:tc>
          <w:tcPr>
            <w:tcW w:w="64" w:type="dxa"/>
            <w:tcBorders/>
            <w:vAlign w:val="bottom"/>
          </w:tcPr>
          <w:p>
            <w:pPr>
              <w:pStyle w:val="TableContents"/>
              <w:bidi w:val="0"/>
              <w:spacing w:before="0" w:after="283"/>
              <w:jc w:val="left"/>
              <w:rPr/>
            </w:pPr>
            <w:r>
              <w:rPr/>
              <w:t> </w:t>
            </w:r>
          </w:p>
        </w:tc>
        <w:tc>
          <w:tcPr>
            <w:tcW w:w="1283" w:type="dxa"/>
            <w:tcBorders>
              <w:bottom w:val="single" w:sz="8" w:space="0" w:color="000000"/>
            </w:tcBorders>
            <w:tcMar>
              <w:bottom w:w="28" w:type="dxa"/>
            </w:tcMar>
            <w:vAlign w:val="bottom"/>
          </w:tcPr>
          <w:p>
            <w:pPr>
              <w:pStyle w:val="TableContents"/>
              <w:bidi w:val="0"/>
              <w:spacing w:before="0" w:after="283"/>
              <w:jc w:val="center"/>
              <w:rPr>
                <w:b/>
              </w:rPr>
            </w:pPr>
            <w:r>
              <w:rPr>
                <w:b/>
              </w:rPr>
              <w:t>Target</w:t>
              <w:br/>
              <w:t>Payout</w:t>
              <w:br/>
              <w:t>Attributable</w:t>
              <w:br/>
              <w:t>to</w:t>
              <w:br/>
              <w:t>Component</w:t>
            </w:r>
          </w:p>
        </w:tc>
        <w:tc>
          <w:tcPr>
            <w:tcW w:w="64" w:type="dxa"/>
            <w:tcBorders/>
            <w:vAlign w:val="bottom"/>
          </w:tcPr>
          <w:p>
            <w:pPr>
              <w:pStyle w:val="TableContents"/>
              <w:bidi w:val="0"/>
              <w:spacing w:before="0" w:after="283"/>
              <w:jc w:val="left"/>
              <w:rPr/>
            </w:pPr>
            <w:r>
              <w:rPr/>
              <w:t> </w:t>
            </w:r>
          </w:p>
        </w:tc>
        <w:tc>
          <w:tcPr>
            <w:tcW w:w="122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Maximum Goal</w:t>
              <w:br/>
              <w:t>(Payout of</w:t>
            </w:r>
          </w:p>
          <w:p>
            <w:pPr>
              <w:pStyle w:val="TableContents"/>
              <w:bidi w:val="0"/>
              <w:spacing w:before="0" w:after="20"/>
              <w:jc w:val="center"/>
              <w:rPr>
                <w:rFonts w:ascii="Times New Roman" w:hAnsi="Times New Roman"/>
                <w:b/>
                <w:sz w:val="16"/>
              </w:rPr>
            </w:pPr>
            <w:r>
              <w:rPr>
                <w:rFonts w:ascii="Times New Roman" w:hAnsi="Times New Roman"/>
                <w:b/>
                <w:sz w:val="16"/>
              </w:rPr>
              <w:t>200% of Base</w:t>
              <w:br/>
              <w:t>Salary)</w:t>
            </w:r>
          </w:p>
        </w:tc>
        <w:tc>
          <w:tcPr>
            <w:tcW w:w="60" w:type="dxa"/>
            <w:tcBorders/>
            <w:vAlign w:val="bottom"/>
          </w:tcPr>
          <w:p>
            <w:pPr>
              <w:pStyle w:val="TableContents"/>
              <w:bidi w:val="0"/>
              <w:spacing w:before="0" w:after="283"/>
              <w:jc w:val="left"/>
              <w:rPr/>
            </w:pPr>
            <w:r>
              <w:rPr/>
              <w:t> </w:t>
            </w:r>
          </w:p>
        </w:tc>
        <w:tc>
          <w:tcPr>
            <w:tcW w:w="1361" w:type="dxa"/>
            <w:tcBorders>
              <w:bottom w:val="single" w:sz="8" w:space="0" w:color="000000"/>
            </w:tcBorders>
            <w:tcMar>
              <w:bottom w:w="28" w:type="dxa"/>
            </w:tcMar>
            <w:vAlign w:val="bottom"/>
          </w:tcPr>
          <w:p>
            <w:pPr>
              <w:pStyle w:val="TableContents"/>
              <w:bidi w:val="0"/>
              <w:spacing w:before="0" w:after="283"/>
              <w:jc w:val="center"/>
              <w:rPr>
                <w:b/>
              </w:rPr>
            </w:pPr>
            <w:r>
              <w:rPr>
                <w:b/>
              </w:rPr>
              <w:t>Maximum</w:t>
              <w:br/>
              <w:t>Payout</w:t>
              <w:br/>
              <w:t>Attributable</w:t>
              <w:br/>
              <w:t>to</w:t>
              <w:br/>
              <w:t>Component</w:t>
            </w:r>
          </w:p>
        </w:tc>
      </w:tr>
      <w:tr>
        <w:trPr/>
        <w:tc>
          <w:tcPr>
            <w:tcW w:w="942" w:type="dxa"/>
            <w:tcBorders/>
          </w:tcPr>
          <w:p>
            <w:pPr>
              <w:pStyle w:val="TableContents"/>
              <w:bidi w:val="0"/>
              <w:spacing w:before="0" w:after="283"/>
              <w:jc w:val="left"/>
              <w:rPr/>
            </w:pPr>
            <w:r>
              <w:rPr/>
              <w:t>Adjusted EBITDA</w:t>
            </w:r>
          </w:p>
        </w:tc>
        <w:tc>
          <w:tcPr>
            <w:tcW w:w="64" w:type="dxa"/>
            <w:tcBorders/>
            <w:vAlign w:val="bottom"/>
          </w:tcPr>
          <w:p>
            <w:pPr>
              <w:pStyle w:val="TableContents"/>
              <w:bidi w:val="0"/>
              <w:spacing w:before="0" w:after="283"/>
              <w:jc w:val="left"/>
              <w:rPr/>
            </w:pPr>
            <w:r>
              <w:rPr/>
              <w:t> </w:t>
            </w:r>
          </w:p>
        </w:tc>
        <w:tc>
          <w:tcPr>
            <w:tcW w:w="1147" w:type="dxa"/>
            <w:tcBorders/>
          </w:tcPr>
          <w:p>
            <w:pPr>
              <w:pStyle w:val="TableContents"/>
              <w:bidi w:val="0"/>
              <w:spacing w:before="0" w:after="283"/>
              <w:jc w:val="center"/>
              <w:rPr/>
            </w:pPr>
            <w:r>
              <w:rPr/>
              <w:t>90%</w:t>
            </w:r>
          </w:p>
        </w:tc>
        <w:tc>
          <w:tcPr>
            <w:tcW w:w="12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center"/>
              <w:rPr/>
            </w:pPr>
            <w:r>
              <w:rPr/>
              <w:t>50% of the Adjusted EBITDA Target</w:t>
            </w:r>
          </w:p>
        </w:tc>
        <w:tc>
          <w:tcPr>
            <w:tcW w:w="64" w:type="dxa"/>
            <w:tcBorders/>
            <w:vAlign w:val="bottom"/>
          </w:tcPr>
          <w:p>
            <w:pPr>
              <w:pStyle w:val="TableContents"/>
              <w:bidi w:val="0"/>
              <w:spacing w:before="0" w:after="283"/>
              <w:jc w:val="left"/>
              <w:rPr/>
            </w:pPr>
            <w:r>
              <w:rPr/>
              <w:t> </w:t>
            </w:r>
          </w:p>
        </w:tc>
        <w:tc>
          <w:tcPr>
            <w:tcW w:w="1283" w:type="dxa"/>
            <w:tcBorders/>
          </w:tcPr>
          <w:p>
            <w:pPr>
              <w:pStyle w:val="TableContents"/>
              <w:bidi w:val="0"/>
              <w:spacing w:before="0" w:after="283"/>
              <w:jc w:val="center"/>
              <w:rPr/>
            </w:pPr>
            <w:r>
              <w:rPr/>
              <w:t>45% of Base</w:t>
              <w:br/>
              <w:t>Salary</w:t>
            </w:r>
          </w:p>
        </w:tc>
        <w:tc>
          <w:tcPr>
            <w:tcW w:w="63"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center"/>
              <w:rPr/>
            </w:pPr>
            <w:r>
              <w:rPr/>
              <w:t>100% of the Adjusted EBITDA Target</w:t>
            </w:r>
          </w:p>
        </w:tc>
        <w:tc>
          <w:tcPr>
            <w:tcW w:w="64" w:type="dxa"/>
            <w:tcBorders/>
            <w:vAlign w:val="bottom"/>
          </w:tcPr>
          <w:p>
            <w:pPr>
              <w:pStyle w:val="TableContents"/>
              <w:bidi w:val="0"/>
              <w:spacing w:before="0" w:after="283"/>
              <w:jc w:val="left"/>
              <w:rPr/>
            </w:pPr>
            <w:r>
              <w:rPr/>
              <w:t> </w:t>
            </w:r>
          </w:p>
        </w:tc>
        <w:tc>
          <w:tcPr>
            <w:tcW w:w="1283" w:type="dxa"/>
            <w:tcBorders/>
          </w:tcPr>
          <w:p>
            <w:pPr>
              <w:pStyle w:val="TableContents"/>
              <w:bidi w:val="0"/>
              <w:spacing w:before="0" w:after="283"/>
              <w:jc w:val="center"/>
              <w:rPr/>
            </w:pPr>
            <w:r>
              <w:rPr/>
              <w:t>90% of Base</w:t>
              <w:br/>
              <w:t>Salary</w:t>
            </w:r>
          </w:p>
        </w:tc>
        <w:tc>
          <w:tcPr>
            <w:tcW w:w="64"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center"/>
              <w:rPr/>
            </w:pPr>
            <w:r>
              <w:rPr/>
              <w:t>200% of the Adjusted EBITDA Target</w:t>
            </w:r>
          </w:p>
        </w:tc>
        <w:tc>
          <w:tcPr>
            <w:tcW w:w="60" w:type="dxa"/>
            <w:tcBorders/>
            <w:vAlign w:val="bottom"/>
          </w:tcPr>
          <w:p>
            <w:pPr>
              <w:pStyle w:val="TableContents"/>
              <w:bidi w:val="0"/>
              <w:spacing w:before="0" w:after="283"/>
              <w:jc w:val="left"/>
              <w:rPr/>
            </w:pPr>
            <w:r>
              <w:rPr/>
              <w:t> </w:t>
            </w:r>
          </w:p>
        </w:tc>
        <w:tc>
          <w:tcPr>
            <w:tcW w:w="1361" w:type="dxa"/>
            <w:tcBorders/>
          </w:tcPr>
          <w:p>
            <w:pPr>
              <w:pStyle w:val="TableContents"/>
              <w:bidi w:val="0"/>
              <w:spacing w:before="0" w:after="283"/>
              <w:jc w:val="center"/>
              <w:rPr/>
            </w:pPr>
            <w:r>
              <w:rPr/>
              <w:t>180% of Base</w:t>
              <w:br/>
              <w:t>Salary</w:t>
            </w:r>
          </w:p>
        </w:tc>
      </w:tr>
      <w:tr>
        <w:trPr>
          <w:trHeight w:val="75" w:hRule="atLeast"/>
        </w:trPr>
        <w:tc>
          <w:tcPr>
            <w:tcW w:w="942" w:type="dxa"/>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1360"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c>
          <w:tcPr>
            <w:tcW w:w="1288"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c>
          <w:tcPr>
            <w:tcW w:w="1289" w:type="dxa"/>
            <w:gridSpan w:val="2"/>
            <w:tcBorders/>
            <w:vAlign w:val="center"/>
          </w:tcPr>
          <w:p>
            <w:pPr>
              <w:pStyle w:val="TableContents"/>
              <w:bidi w:val="0"/>
              <w:spacing w:before="0" w:after="283"/>
              <w:jc w:val="left"/>
              <w:rPr>
                <w:sz w:val="4"/>
                <w:szCs w:val="4"/>
              </w:rPr>
            </w:pPr>
            <w:r>
              <w:rPr>
                <w:sz w:val="4"/>
                <w:szCs w:val="4"/>
              </w:rPr>
            </w:r>
          </w:p>
        </w:tc>
        <w:tc>
          <w:tcPr>
            <w:tcW w:w="1421" w:type="dxa"/>
            <w:gridSpan w:val="2"/>
            <w:tcBorders/>
            <w:vAlign w:val="center"/>
          </w:tcPr>
          <w:p>
            <w:pPr>
              <w:pStyle w:val="TableContents"/>
              <w:bidi w:val="0"/>
              <w:spacing w:before="0" w:after="283"/>
              <w:jc w:val="left"/>
              <w:rPr>
                <w:sz w:val="4"/>
                <w:szCs w:val="4"/>
              </w:rPr>
            </w:pPr>
            <w:r>
              <w:rPr>
                <w:sz w:val="4"/>
                <w:szCs w:val="4"/>
              </w:rPr>
            </w:r>
          </w:p>
        </w:tc>
      </w:tr>
      <w:tr>
        <w:trPr/>
        <w:tc>
          <w:tcPr>
            <w:tcW w:w="942" w:type="dxa"/>
            <w:tcBorders/>
          </w:tcPr>
          <w:p>
            <w:pPr>
              <w:pStyle w:val="TableContents"/>
              <w:bidi w:val="0"/>
              <w:spacing w:before="0" w:after="283"/>
              <w:jc w:val="left"/>
              <w:rPr/>
            </w:pPr>
            <w:r>
              <w:rPr/>
              <w:t>TRIR</w:t>
            </w:r>
          </w:p>
        </w:tc>
        <w:tc>
          <w:tcPr>
            <w:tcW w:w="64" w:type="dxa"/>
            <w:tcBorders/>
            <w:vAlign w:val="bottom"/>
          </w:tcPr>
          <w:p>
            <w:pPr>
              <w:pStyle w:val="TableContents"/>
              <w:bidi w:val="0"/>
              <w:spacing w:before="0" w:after="283"/>
              <w:jc w:val="left"/>
              <w:rPr/>
            </w:pPr>
            <w:r>
              <w:rPr/>
              <w:t> </w:t>
            </w:r>
          </w:p>
        </w:tc>
        <w:tc>
          <w:tcPr>
            <w:tcW w:w="1147" w:type="dxa"/>
            <w:tcBorders/>
          </w:tcPr>
          <w:p>
            <w:pPr>
              <w:pStyle w:val="TableContents"/>
              <w:bidi w:val="0"/>
              <w:spacing w:before="0" w:after="283"/>
              <w:jc w:val="center"/>
              <w:rPr/>
            </w:pPr>
            <w:r>
              <w:rPr/>
              <w:t>10%</w:t>
            </w:r>
          </w:p>
        </w:tc>
        <w:tc>
          <w:tcPr>
            <w:tcW w:w="12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center"/>
              <w:rPr/>
            </w:pPr>
            <w:r>
              <w:rPr/>
              <w:t>TRIR less than the lowest average of all three annual safety benchmarks for any year falling within the most recent three years compiled by IADC, ISOA and IMCA</w:t>
            </w:r>
          </w:p>
        </w:tc>
        <w:tc>
          <w:tcPr>
            <w:tcW w:w="64" w:type="dxa"/>
            <w:tcBorders/>
            <w:vAlign w:val="bottom"/>
          </w:tcPr>
          <w:p>
            <w:pPr>
              <w:pStyle w:val="TableContents"/>
              <w:bidi w:val="0"/>
              <w:spacing w:before="0" w:after="283"/>
              <w:jc w:val="left"/>
              <w:rPr/>
            </w:pPr>
            <w:r>
              <w:rPr/>
              <w:t> </w:t>
            </w:r>
          </w:p>
        </w:tc>
        <w:tc>
          <w:tcPr>
            <w:tcW w:w="1283" w:type="dxa"/>
            <w:tcBorders/>
          </w:tcPr>
          <w:p>
            <w:pPr>
              <w:pStyle w:val="TableContents"/>
              <w:bidi w:val="0"/>
              <w:spacing w:before="0" w:after="283"/>
              <w:jc w:val="center"/>
              <w:rPr/>
            </w:pPr>
            <w:r>
              <w:rPr/>
              <w:t>5% of Base</w:t>
              <w:br/>
              <w:t>Salary</w:t>
            </w:r>
          </w:p>
        </w:tc>
        <w:tc>
          <w:tcPr>
            <w:tcW w:w="63"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center"/>
              <w:rPr/>
            </w:pPr>
            <w:r>
              <w:rPr/>
              <w:t>TRIR less than the lowest of any one of the three annual safety benchmarks for any year falling within the most recent three years compiled by IADC, ISOA and IMCA.</w:t>
            </w:r>
          </w:p>
        </w:tc>
        <w:tc>
          <w:tcPr>
            <w:tcW w:w="64" w:type="dxa"/>
            <w:tcBorders/>
            <w:vAlign w:val="bottom"/>
          </w:tcPr>
          <w:p>
            <w:pPr>
              <w:pStyle w:val="TableContents"/>
              <w:bidi w:val="0"/>
              <w:spacing w:before="0" w:after="283"/>
              <w:jc w:val="left"/>
              <w:rPr/>
            </w:pPr>
            <w:r>
              <w:rPr/>
              <w:t> </w:t>
            </w:r>
          </w:p>
        </w:tc>
        <w:tc>
          <w:tcPr>
            <w:tcW w:w="1283" w:type="dxa"/>
            <w:tcBorders/>
          </w:tcPr>
          <w:p>
            <w:pPr>
              <w:pStyle w:val="TableContents"/>
              <w:bidi w:val="0"/>
              <w:spacing w:before="0" w:after="283"/>
              <w:jc w:val="center"/>
              <w:rPr/>
            </w:pPr>
            <w:r>
              <w:rPr/>
              <w:t>10% of Base</w:t>
              <w:br/>
              <w:t>Salary</w:t>
            </w:r>
          </w:p>
        </w:tc>
        <w:tc>
          <w:tcPr>
            <w:tcW w:w="64"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center"/>
              <w:rPr/>
            </w:pPr>
            <w:r>
              <w:rPr/>
              <w:t>TRIR at least 10% less than the Company’s three best annual TRIRs achieved in the last ten years</w:t>
            </w:r>
          </w:p>
        </w:tc>
        <w:tc>
          <w:tcPr>
            <w:tcW w:w="60" w:type="dxa"/>
            <w:tcBorders/>
            <w:vAlign w:val="bottom"/>
          </w:tcPr>
          <w:p>
            <w:pPr>
              <w:pStyle w:val="TableContents"/>
              <w:bidi w:val="0"/>
              <w:spacing w:before="0" w:after="283"/>
              <w:jc w:val="left"/>
              <w:rPr/>
            </w:pPr>
            <w:r>
              <w:rPr/>
              <w:t> </w:t>
            </w:r>
          </w:p>
        </w:tc>
        <w:tc>
          <w:tcPr>
            <w:tcW w:w="1361" w:type="dxa"/>
            <w:tcBorders/>
          </w:tcPr>
          <w:p>
            <w:pPr>
              <w:pStyle w:val="TableContents"/>
              <w:bidi w:val="0"/>
              <w:spacing w:before="0" w:after="283"/>
              <w:jc w:val="center"/>
              <w:rPr/>
            </w:pPr>
            <w:r>
              <w:rPr/>
              <w:t>20% of Base</w:t>
              <w:br/>
              <w:t>Salary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discussion concerning our use of TRIR in connection with compensation-related matters is found in the section captioned “Compensation Committee Procedures.” </w:t>
      </w:r>
    </w:p>
    <w:p>
      <w:pPr>
        <w:pStyle w:val="TextBody"/>
        <w:bidi w:val="0"/>
        <w:spacing w:before="240" w:after="0"/>
        <w:jc w:val="left"/>
        <w:rPr>
          <w:rFonts w:ascii="Times New Roman" w:hAnsi="Times New Roman"/>
          <w:sz w:val="20"/>
        </w:rPr>
      </w:pPr>
      <w:r>
        <w:rPr>
          <w:rFonts w:ascii="Times New Roman" w:hAnsi="Times New Roman"/>
          <w:sz w:val="20"/>
        </w:rPr>
        <w:t xml:space="preserve">For Fiscal 2024, the Company’s Adjusted EBITDA was $211 million, which entitled each of the NEOs to receive a cash incentive compensation payout (in respect of the Adjusted EBITDA vesting criteria and based on the Applicable Percentage) equal to 90% of base salary (i.e., 100% of Base Salary x the Applicable Percentage of 90%). The TRIR was 0.08, which entitled each of the NEOs to receive cash incentive compensation (in respect of the TRIR vesting criteria and based on the Applicable Percentage) equal to 20% of base salary (i.e., 200% of Base Salary x the Applicable Percentage of 10%), resulting in a combined weighted-average cash incentive compensation payout equal to 110% of base salary to each NEO for Fiscal 2024. </w:t>
      </w:r>
    </w:p>
    <w:p>
      <w:pPr>
        <w:pStyle w:val="TextBody"/>
        <w:bidi w:val="0"/>
        <w:spacing w:before="240" w:after="0"/>
        <w:jc w:val="left"/>
        <w:rPr>
          <w:rFonts w:ascii="Times New Roman" w:hAnsi="Times New Roman"/>
          <w:sz w:val="20"/>
        </w:rPr>
      </w:pPr>
      <w:r>
        <w:rPr>
          <w:rFonts w:ascii="Times New Roman" w:hAnsi="Times New Roman"/>
          <w:sz w:val="20"/>
        </w:rPr>
        <w:t xml:space="preserve">In extraordinary circumstances, the compensation committee can award event-driven or accomplishment-specific bonuses to the NEOs, which would be independent of the cash incentive compensation derived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formulaic approach. In Fiscal 2024, the compensation committee awarded a one-time accomplishment-specific bonus in the aggregate amount of $1,000,000 that was shared pro-rata among the NEOs (i.e., $200,000 for each NEO) for the achievement of the direct cost savings related to the Company’s refinancing transaction at the end of 2024 (the “Special 2024 Bonus”). The compensation committee may again choose to issue special, accomplishment-specific bonuses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Combined, the formulaic and accomplishment-specific bonuses resulted in an aggregate bonus payout equal to 153 % of the collective NEO base salaries.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Equity-Based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interests of our stockholders are best served when a meaningful portion of executive and management compensation is tied to equity ownership. On September 4, 2020, we adopted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The Company has historically used a combination of stock options, RSUs and PSUs as a means to incentivize long-term employment and performance and to align individual compensation with the objective of building stockholder value. The Company uses equity incentive compensation, with vesting based on time, performance or both, as a means of encouraging a “culture of ownership” among employees, including our NEOs. The compensation committee believes that by using equity-based forms of incentive compensation, the interests of the Company’s stockholders and the Company’s management employees remain aligned over the long-term. The compensation committee exercises discretion in determining the number and type of equity awards to be granted to our executive officers, including our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Board of Directors,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There were no equity awards granted to the NEOs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Executive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We provide our NEOs and our other employees with certain perquisites and other personal benefits as part of providing a competitive executive compensation program and for employee retention. The following table generally identifies the Company’s benefit plans and identifies those employees who may be eligible to participate. The NEOs participate in the following benefit plans in the same manner that our employees do, except where noted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28"/>
        <w:gridCol w:w="465"/>
        <w:gridCol w:w="1870"/>
        <w:gridCol w:w="465"/>
        <w:gridCol w:w="1884"/>
        <w:gridCol w:w="465"/>
        <w:gridCol w:w="2211"/>
      </w:tblGrid>
      <w:tr>
        <w:trPr/>
        <w:tc>
          <w:tcPr>
            <w:tcW w:w="2028"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20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Benefit Plan</w:t>
            </w:r>
          </w:p>
        </w:tc>
        <w:tc>
          <w:tcPr>
            <w:tcW w:w="465" w:type="dxa"/>
            <w:tcBorders/>
            <w:vAlign w:val="bottom"/>
          </w:tcPr>
          <w:p>
            <w:pPr>
              <w:pStyle w:val="TableContents"/>
              <w:bidi w:val="0"/>
              <w:spacing w:before="0" w:after="283"/>
              <w:jc w:val="left"/>
              <w:rPr/>
            </w:pPr>
            <w:r>
              <w:rPr/>
              <w:t>  </w:t>
            </w:r>
          </w:p>
        </w:tc>
        <w:tc>
          <w:tcPr>
            <w:tcW w:w="1870" w:type="dxa"/>
            <w:tcBorders>
              <w:bottom w:val="single" w:sz="8" w:space="0" w:color="000000"/>
            </w:tcBorders>
            <w:tcMar>
              <w:bottom w:w="28" w:type="dxa"/>
            </w:tcMar>
            <w:vAlign w:val="bottom"/>
          </w:tcPr>
          <w:p>
            <w:pPr>
              <w:pStyle w:val="TableContents"/>
              <w:bidi w:val="0"/>
              <w:spacing w:before="0" w:after="283"/>
              <w:jc w:val="center"/>
              <w:rPr>
                <w:b/>
              </w:rPr>
            </w:pPr>
            <w:r>
              <w:rPr>
                <w:b/>
              </w:rPr>
              <w:t>Executive Officers</w:t>
              <w:br/>
              <w:t>(including NEOs)</w:t>
            </w:r>
          </w:p>
        </w:tc>
        <w:tc>
          <w:tcPr>
            <w:tcW w:w="465" w:type="dxa"/>
            <w:tcBorders/>
            <w:vAlign w:val="bottom"/>
          </w:tcPr>
          <w:p>
            <w:pPr>
              <w:pStyle w:val="TableContents"/>
              <w:bidi w:val="0"/>
              <w:spacing w:before="0" w:after="283"/>
              <w:jc w:val="left"/>
              <w:rPr/>
            </w:pPr>
            <w:r>
              <w:rPr/>
              <w:t>  </w:t>
            </w:r>
          </w:p>
        </w:tc>
        <w:tc>
          <w:tcPr>
            <w:tcW w:w="1884" w:type="dxa"/>
            <w:tcBorders>
              <w:bottom w:val="single" w:sz="8" w:space="0" w:color="000000"/>
            </w:tcBorders>
            <w:tcMar>
              <w:bottom w:w="28" w:type="dxa"/>
            </w:tcMar>
            <w:vAlign w:val="bottom"/>
          </w:tcPr>
          <w:p>
            <w:pPr>
              <w:pStyle w:val="TableContents"/>
              <w:bidi w:val="0"/>
              <w:spacing w:before="0" w:after="283"/>
              <w:jc w:val="center"/>
              <w:rPr>
                <w:b/>
              </w:rPr>
            </w:pPr>
            <w:r>
              <w:rPr>
                <w:b/>
              </w:rPr>
              <w:t>Certain Managers</w:t>
            </w:r>
          </w:p>
        </w:tc>
        <w:tc>
          <w:tcPr>
            <w:tcW w:w="465" w:type="dxa"/>
            <w:tcBorders/>
            <w:vAlign w:val="bottom"/>
          </w:tcPr>
          <w:p>
            <w:pPr>
              <w:pStyle w:val="TableContents"/>
              <w:bidi w:val="0"/>
              <w:spacing w:before="0" w:after="283"/>
              <w:jc w:val="left"/>
              <w:rPr/>
            </w:pPr>
            <w:r>
              <w:rPr/>
              <w:t>  </w:t>
            </w:r>
          </w:p>
        </w:tc>
        <w:tc>
          <w:tcPr>
            <w:tcW w:w="2211" w:type="dxa"/>
            <w:tcBorders>
              <w:bottom w:val="single" w:sz="8" w:space="0" w:color="000000"/>
            </w:tcBorders>
            <w:tcMar>
              <w:bottom w:w="28" w:type="dxa"/>
            </w:tcMar>
            <w:vAlign w:val="bottom"/>
          </w:tcPr>
          <w:p>
            <w:pPr>
              <w:pStyle w:val="TableContents"/>
              <w:bidi w:val="0"/>
              <w:spacing w:before="0" w:after="283"/>
              <w:jc w:val="center"/>
              <w:rPr>
                <w:b/>
              </w:rPr>
            </w:pPr>
            <w:r>
              <w:rPr>
                <w:b/>
              </w:rPr>
              <w:t>Full-Time Employees</w:t>
            </w:r>
          </w:p>
        </w:tc>
      </w:tr>
      <w:tr>
        <w:trPr/>
        <w:tc>
          <w:tcPr>
            <w:tcW w:w="2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Medical Insurance(1)</w:t>
            </w:r>
          </w:p>
        </w:tc>
        <w:tc>
          <w:tcPr>
            <w:tcW w:w="46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2211" w:type="dxa"/>
            <w:tcBorders/>
            <w:shd w:fill="CCEEFF" w:val="clear"/>
            <w:vAlign w:val="bottom"/>
          </w:tcPr>
          <w:p>
            <w:pPr>
              <w:pStyle w:val="TableContents"/>
              <w:bidi w:val="0"/>
              <w:spacing w:before="0" w:after="283"/>
              <w:jc w:val="center"/>
              <w:rPr/>
            </w:pPr>
            <w:r>
              <w:rPr/>
              <w:t>X</w:t>
            </w:r>
          </w:p>
        </w:tc>
      </w:tr>
      <w:tr>
        <w:trPr/>
        <w:tc>
          <w:tcPr>
            <w:tcW w:w="2028" w:type="dxa"/>
            <w:tcBorders/>
          </w:tcPr>
          <w:p>
            <w:pPr>
              <w:pStyle w:val="TableContents"/>
              <w:bidi w:val="0"/>
              <w:spacing w:before="0" w:after="0"/>
              <w:jc w:val="left"/>
              <w:rPr>
                <w:rFonts w:ascii="Times New Roman" w:hAnsi="Times New Roman"/>
                <w:sz w:val="20"/>
              </w:rPr>
            </w:pPr>
            <w:r>
              <w:rPr>
                <w:rFonts w:ascii="Times New Roman" w:hAnsi="Times New Roman"/>
                <w:sz w:val="20"/>
              </w:rPr>
              <w:t>Dental Insurance(1)</w:t>
            </w:r>
          </w:p>
        </w:tc>
        <w:tc>
          <w:tcPr>
            <w:tcW w:w="46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2211" w:type="dxa"/>
            <w:tcBorders/>
            <w:vAlign w:val="bottom"/>
          </w:tcPr>
          <w:p>
            <w:pPr>
              <w:pStyle w:val="TableContents"/>
              <w:bidi w:val="0"/>
              <w:spacing w:before="0" w:after="283"/>
              <w:jc w:val="center"/>
              <w:rPr/>
            </w:pPr>
            <w:r>
              <w:rPr/>
              <w:t>X</w:t>
            </w:r>
          </w:p>
        </w:tc>
      </w:tr>
      <w:tr>
        <w:trPr/>
        <w:tc>
          <w:tcPr>
            <w:tcW w:w="2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Vision Insurance(1)</w:t>
            </w:r>
          </w:p>
        </w:tc>
        <w:tc>
          <w:tcPr>
            <w:tcW w:w="46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2211" w:type="dxa"/>
            <w:tcBorders/>
            <w:shd w:fill="CCEEFF" w:val="clear"/>
            <w:vAlign w:val="bottom"/>
          </w:tcPr>
          <w:p>
            <w:pPr>
              <w:pStyle w:val="TableContents"/>
              <w:bidi w:val="0"/>
              <w:spacing w:before="0" w:after="283"/>
              <w:jc w:val="center"/>
              <w:rPr/>
            </w:pPr>
            <w:r>
              <w:rPr/>
              <w:t>X</w:t>
            </w:r>
          </w:p>
        </w:tc>
      </w:tr>
      <w:tr>
        <w:trPr/>
        <w:tc>
          <w:tcPr>
            <w:tcW w:w="2028" w:type="dxa"/>
            <w:tcBorders/>
          </w:tcPr>
          <w:p>
            <w:pPr>
              <w:pStyle w:val="TableContents"/>
              <w:bidi w:val="0"/>
              <w:spacing w:before="0" w:after="0"/>
              <w:jc w:val="left"/>
              <w:rPr>
                <w:rFonts w:ascii="Times New Roman" w:hAnsi="Times New Roman"/>
                <w:sz w:val="20"/>
              </w:rPr>
            </w:pPr>
            <w:r>
              <w:rPr>
                <w:rFonts w:ascii="Times New Roman" w:hAnsi="Times New Roman"/>
                <w:sz w:val="20"/>
              </w:rPr>
              <w:t>Employee Assistance Plan</w:t>
            </w:r>
          </w:p>
        </w:tc>
        <w:tc>
          <w:tcPr>
            <w:tcW w:w="46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2211" w:type="dxa"/>
            <w:tcBorders/>
            <w:vAlign w:val="bottom"/>
          </w:tcPr>
          <w:p>
            <w:pPr>
              <w:pStyle w:val="TableContents"/>
              <w:bidi w:val="0"/>
              <w:spacing w:before="0" w:after="283"/>
              <w:jc w:val="center"/>
              <w:rPr/>
            </w:pPr>
            <w:r>
              <w:rPr/>
              <w:t>X</w:t>
            </w:r>
          </w:p>
        </w:tc>
      </w:tr>
      <w:tr>
        <w:trPr/>
        <w:tc>
          <w:tcPr>
            <w:tcW w:w="2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Life and Disability Insurance(2)</w:t>
            </w:r>
          </w:p>
        </w:tc>
        <w:tc>
          <w:tcPr>
            <w:tcW w:w="46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2211" w:type="dxa"/>
            <w:tcBorders/>
            <w:shd w:fill="CCEEFF" w:val="clear"/>
            <w:vAlign w:val="bottom"/>
          </w:tcPr>
          <w:p>
            <w:pPr>
              <w:pStyle w:val="TableContents"/>
              <w:bidi w:val="0"/>
              <w:spacing w:before="0" w:after="283"/>
              <w:jc w:val="center"/>
              <w:rPr/>
            </w:pPr>
            <w:r>
              <w:rPr/>
              <w:t>X</w:t>
            </w:r>
          </w:p>
        </w:tc>
      </w:tr>
      <w:tr>
        <w:trPr/>
        <w:tc>
          <w:tcPr>
            <w:tcW w:w="2028" w:type="dxa"/>
            <w:tcBorders/>
          </w:tcPr>
          <w:p>
            <w:pPr>
              <w:pStyle w:val="TableContents"/>
              <w:bidi w:val="0"/>
              <w:spacing w:before="0" w:after="0"/>
              <w:jc w:val="left"/>
              <w:rPr>
                <w:rFonts w:ascii="Times New Roman" w:hAnsi="Times New Roman"/>
                <w:sz w:val="20"/>
              </w:rPr>
            </w:pPr>
            <w:r>
              <w:rPr>
                <w:rFonts w:ascii="Times New Roman" w:hAnsi="Times New Roman"/>
                <w:sz w:val="20"/>
              </w:rPr>
              <w:t>Flexible Spending Accounts</w:t>
            </w:r>
          </w:p>
        </w:tc>
        <w:tc>
          <w:tcPr>
            <w:tcW w:w="46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2211" w:type="dxa"/>
            <w:tcBorders/>
            <w:vAlign w:val="bottom"/>
          </w:tcPr>
          <w:p>
            <w:pPr>
              <w:pStyle w:val="TableContents"/>
              <w:bidi w:val="0"/>
              <w:spacing w:before="0" w:after="283"/>
              <w:jc w:val="center"/>
              <w:rPr/>
            </w:pPr>
            <w:r>
              <w:rPr/>
              <w:t>X</w:t>
            </w:r>
          </w:p>
        </w:tc>
      </w:tr>
      <w:tr>
        <w:trPr/>
        <w:tc>
          <w:tcPr>
            <w:tcW w:w="2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401(k) Plan</w:t>
            </w:r>
          </w:p>
        </w:tc>
        <w:tc>
          <w:tcPr>
            <w:tcW w:w="46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2211" w:type="dxa"/>
            <w:tcBorders/>
            <w:shd w:fill="CCEEFF" w:val="clear"/>
            <w:vAlign w:val="bottom"/>
          </w:tcPr>
          <w:p>
            <w:pPr>
              <w:pStyle w:val="TableContents"/>
              <w:bidi w:val="0"/>
              <w:spacing w:before="0" w:after="283"/>
              <w:jc w:val="center"/>
              <w:rPr/>
            </w:pPr>
            <w:r>
              <w:rPr/>
              <w:t>X</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Fiscal 2024, each of our NEOs had a supplemental medical insurance policy that pays for all of the NEO’s eligible out-of-pocket medical, dental and vision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NEOs, the Company’s Vice Presidents and certain other officers have Company-paid basic life and accidental death and dismemberment insurance in an amount equal to 1.5 times their base salary, up to $300,000. All other employees have Company-paid basic life and accidental death and dismemberment insurance in an amount equal to 1.5 times their base salary, up to $100,000. In addition, the NEOs, the Company’s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believes it should provide limited perquisites for its executive officers. As a result, the Company has historically provided nominal perquisites. The following table generally illustrates the perquisites we do (and do not) provide and identifies those employees who may be eligible to receive them: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0"/>
        <w:gridCol w:w="302"/>
        <w:gridCol w:w="1871"/>
        <w:gridCol w:w="249"/>
        <w:gridCol w:w="1884"/>
        <w:gridCol w:w="302"/>
        <w:gridCol w:w="3037"/>
      </w:tblGrid>
      <w:tr>
        <w:trPr/>
        <w:tc>
          <w:tcPr>
            <w:tcW w:w="25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r>
      <w:tr>
        <w:trPr/>
        <w:tc>
          <w:tcPr>
            <w:tcW w:w="25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Perquisite</w:t>
            </w:r>
          </w:p>
        </w:tc>
        <w:tc>
          <w:tcPr>
            <w:tcW w:w="302" w:type="dxa"/>
            <w:tcBorders/>
            <w:vAlign w:val="bottom"/>
          </w:tcPr>
          <w:p>
            <w:pPr>
              <w:pStyle w:val="TableContents"/>
              <w:bidi w:val="0"/>
              <w:spacing w:before="0" w:after="283"/>
              <w:jc w:val="left"/>
              <w:rPr/>
            </w:pPr>
            <w:r>
              <w:rPr/>
              <w:t>  </w:t>
            </w:r>
          </w:p>
        </w:tc>
        <w:tc>
          <w:tcPr>
            <w:tcW w:w="1871" w:type="dxa"/>
            <w:tcBorders>
              <w:bottom w:val="single" w:sz="8" w:space="0" w:color="000000"/>
            </w:tcBorders>
            <w:tcMar>
              <w:bottom w:w="28" w:type="dxa"/>
            </w:tcMar>
            <w:vAlign w:val="bottom"/>
          </w:tcPr>
          <w:p>
            <w:pPr>
              <w:pStyle w:val="TableContents"/>
              <w:bidi w:val="0"/>
              <w:spacing w:before="0" w:after="283"/>
              <w:jc w:val="center"/>
              <w:rPr>
                <w:b/>
              </w:rPr>
            </w:pPr>
            <w:r>
              <w:rPr>
                <w:b/>
              </w:rPr>
              <w:t>Executive Officers</w:t>
              <w:br/>
              <w:t>(including NEOs)</w:t>
            </w:r>
          </w:p>
        </w:tc>
        <w:tc>
          <w:tcPr>
            <w:tcW w:w="249" w:type="dxa"/>
            <w:tcBorders/>
            <w:vAlign w:val="bottom"/>
          </w:tcPr>
          <w:p>
            <w:pPr>
              <w:pStyle w:val="TableContents"/>
              <w:bidi w:val="0"/>
              <w:spacing w:before="0" w:after="283"/>
              <w:jc w:val="left"/>
              <w:rPr/>
            </w:pPr>
            <w:r>
              <w:rPr/>
              <w:t> </w:t>
            </w:r>
          </w:p>
        </w:tc>
        <w:tc>
          <w:tcPr>
            <w:tcW w:w="1884" w:type="dxa"/>
            <w:tcBorders>
              <w:bottom w:val="single" w:sz="8" w:space="0" w:color="000000"/>
            </w:tcBorders>
            <w:tcMar>
              <w:bottom w:w="28" w:type="dxa"/>
            </w:tcMar>
            <w:vAlign w:val="bottom"/>
          </w:tcPr>
          <w:p>
            <w:pPr>
              <w:pStyle w:val="TableContents"/>
              <w:bidi w:val="0"/>
              <w:spacing w:before="0" w:after="283"/>
              <w:jc w:val="center"/>
              <w:rPr>
                <w:b/>
              </w:rPr>
            </w:pPr>
            <w:r>
              <w:rPr>
                <w:b/>
              </w:rPr>
              <w:t>Certain Managers</w:t>
            </w:r>
          </w:p>
        </w:tc>
        <w:tc>
          <w:tcPr>
            <w:tcW w:w="302" w:type="dxa"/>
            <w:tcBorders/>
            <w:vAlign w:val="bottom"/>
          </w:tcPr>
          <w:p>
            <w:pPr>
              <w:pStyle w:val="TableContents"/>
              <w:bidi w:val="0"/>
              <w:spacing w:before="0" w:after="283"/>
              <w:jc w:val="left"/>
              <w:rPr/>
            </w:pPr>
            <w:r>
              <w:rPr/>
              <w:t>  </w:t>
            </w:r>
          </w:p>
        </w:tc>
        <w:tc>
          <w:tcPr>
            <w:tcW w:w="3037" w:type="dxa"/>
            <w:tcBorders>
              <w:bottom w:val="single" w:sz="8" w:space="0" w:color="000000"/>
            </w:tcBorders>
            <w:tcMar>
              <w:bottom w:w="28" w:type="dxa"/>
            </w:tcMar>
            <w:vAlign w:val="bottom"/>
          </w:tcPr>
          <w:p>
            <w:pPr>
              <w:pStyle w:val="TableContents"/>
              <w:bidi w:val="0"/>
              <w:spacing w:before="0" w:after="283"/>
              <w:jc w:val="center"/>
              <w:rPr>
                <w:b/>
              </w:rPr>
            </w:pPr>
            <w:r>
              <w:rPr>
                <w:b/>
              </w:rPr>
              <w:t>Certain Full-Time Employees</w:t>
            </w:r>
          </w:p>
        </w:tc>
      </w:tr>
      <w:tr>
        <w:trPr/>
        <w:tc>
          <w:tcPr>
            <w:tcW w:w="2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Vehicle</w:t>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center"/>
              <w:rPr/>
            </w:pPr>
            <w:r>
              <w:rPr/>
              <w:t>X</w:t>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X</w:t>
            </w:r>
          </w:p>
        </w:tc>
      </w:tr>
      <w:tr>
        <w:trPr/>
        <w:tc>
          <w:tcPr>
            <w:tcW w:w="2560" w:type="dxa"/>
            <w:tcBorders/>
          </w:tcPr>
          <w:p>
            <w:pPr>
              <w:pStyle w:val="TableContents"/>
              <w:bidi w:val="0"/>
              <w:spacing w:before="0" w:after="0"/>
              <w:jc w:val="left"/>
              <w:rPr>
                <w:rFonts w:ascii="Times New Roman" w:hAnsi="Times New Roman"/>
                <w:sz w:val="20"/>
              </w:rPr>
            </w:pPr>
            <w:r>
              <w:rPr>
                <w:rFonts w:ascii="Times New Roman" w:hAnsi="Times New Roman"/>
                <w:sz w:val="20"/>
              </w:rPr>
              <w:t>Vehicle Allowance</w:t>
            </w:r>
          </w:p>
        </w:tc>
        <w:tc>
          <w:tcPr>
            <w:tcW w:w="302"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center"/>
              <w:rPr/>
            </w:pPr>
            <w:r>
              <w:rPr/>
              <w:t>Not offered</w:t>
            </w:r>
          </w:p>
        </w:tc>
        <w:tc>
          <w:tcPr>
            <w:tcW w:w="249"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X</w:t>
            </w:r>
          </w:p>
        </w:tc>
        <w:tc>
          <w:tcPr>
            <w:tcW w:w="302"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pPr>
            <w:r>
              <w:rPr/>
              <w:t>X</w:t>
            </w:r>
          </w:p>
        </w:tc>
      </w:tr>
      <w:tr>
        <w:trPr/>
        <w:tc>
          <w:tcPr>
            <w:tcW w:w="2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Use of Company Aircraft(1) </w:t>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center"/>
              <w:rPr/>
            </w:pPr>
            <w:r>
              <w:rPr/>
              <w:t>X</w:t>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Not offered</w:t>
            </w:r>
          </w:p>
        </w:tc>
      </w:tr>
      <w:tr>
        <w:trPr/>
        <w:tc>
          <w:tcPr>
            <w:tcW w:w="2560"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Medical Insurance</w:t>
            </w:r>
          </w:p>
        </w:tc>
        <w:tc>
          <w:tcPr>
            <w:tcW w:w="302"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center"/>
              <w:rPr/>
            </w:pPr>
            <w:r>
              <w:rPr/>
              <w:t>X</w:t>
            </w:r>
          </w:p>
        </w:tc>
        <w:tc>
          <w:tcPr>
            <w:tcW w:w="249"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Not offered</w:t>
            </w:r>
          </w:p>
        </w:tc>
        <w:tc>
          <w:tcPr>
            <w:tcW w:w="302"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pPr>
            <w:r>
              <w:rPr/>
              <w:t>Not offered</w:t>
            </w:r>
          </w:p>
        </w:tc>
      </w:tr>
      <w:tr>
        <w:trPr/>
        <w:tc>
          <w:tcPr>
            <w:tcW w:w="2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Country Club Memberships</w:t>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center"/>
              <w:rPr/>
            </w:pPr>
            <w:r>
              <w:rPr/>
              <w:t>Not offered</w:t>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Not offered</w:t>
            </w:r>
          </w:p>
        </w:tc>
      </w:tr>
      <w:tr>
        <w:trPr/>
        <w:tc>
          <w:tcPr>
            <w:tcW w:w="2560" w:type="dxa"/>
            <w:tcBorders/>
          </w:tcPr>
          <w:p>
            <w:pPr>
              <w:pStyle w:val="TableContents"/>
              <w:bidi w:val="0"/>
              <w:spacing w:before="0" w:after="0"/>
              <w:jc w:val="left"/>
              <w:rPr>
                <w:rFonts w:ascii="Times New Roman" w:hAnsi="Times New Roman"/>
                <w:sz w:val="20"/>
              </w:rPr>
            </w:pPr>
            <w:r>
              <w:rPr>
                <w:rFonts w:ascii="Times New Roman" w:hAnsi="Times New Roman"/>
                <w:sz w:val="20"/>
              </w:rPr>
              <w:t>Dwellings for Personal Use</w:t>
            </w:r>
          </w:p>
        </w:tc>
        <w:tc>
          <w:tcPr>
            <w:tcW w:w="302"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center"/>
              <w:rPr/>
            </w:pPr>
            <w:r>
              <w:rPr/>
              <w:t>Not offered</w:t>
            </w:r>
          </w:p>
        </w:tc>
        <w:tc>
          <w:tcPr>
            <w:tcW w:w="249"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Not offered</w:t>
            </w:r>
          </w:p>
        </w:tc>
        <w:tc>
          <w:tcPr>
            <w:tcW w:w="302"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pPr>
            <w:r>
              <w:rPr/>
              <w:t>Not offered</w:t>
            </w:r>
          </w:p>
        </w:tc>
      </w:tr>
      <w:tr>
        <w:trPr/>
        <w:tc>
          <w:tcPr>
            <w:tcW w:w="2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Security Services</w:t>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center"/>
              <w:rPr/>
            </w:pPr>
            <w:r>
              <w:rPr/>
              <w:t>Not offered</w:t>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Not offered</w:t>
            </w:r>
          </w:p>
        </w:tc>
      </w:tr>
      <w:tr>
        <w:trPr/>
        <w:tc>
          <w:tcPr>
            <w:tcW w:w="2560"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Executive Retirement Program (SERP)</w:t>
            </w:r>
          </w:p>
        </w:tc>
        <w:tc>
          <w:tcPr>
            <w:tcW w:w="302"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center"/>
              <w:rPr/>
            </w:pPr>
            <w:r>
              <w:rPr/>
              <w:t>Not offered</w:t>
            </w:r>
          </w:p>
        </w:tc>
        <w:tc>
          <w:tcPr>
            <w:tcW w:w="249"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Not offered</w:t>
            </w:r>
          </w:p>
        </w:tc>
        <w:tc>
          <w:tcPr>
            <w:tcW w:w="302"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pPr>
            <w:r>
              <w:rPr/>
              <w:t>Not offered</w:t>
            </w:r>
          </w:p>
        </w:tc>
      </w:tr>
      <w:tr>
        <w:trPr/>
        <w:tc>
          <w:tcPr>
            <w:tcW w:w="2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 Plan Matching Contribution</w:t>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center"/>
              <w:rPr/>
            </w:pPr>
            <w:r>
              <w:rPr/>
              <w:t>Not offered(2)</w:t>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Not offered</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Corporate Aircraft Use Policy permits the use of our aircraft for business purposes only, other than with respect to a personal use allowance of up to $50,000 to Mr. Hornbeck. The value of personal use of the aircraft is determined by the incremental cost to the Company for such use, which is calculated based on a contracted hourly rate billed to the Company per hour of operation. Fixed costs that do not change based on usage are not included.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Deferred Compensation Plan was adopted by the Board of Directors in 2007. However, no matching provision has been authorized under the Deferred Compensation Plan, and, to date, no NEO has availed himself of participation therein.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and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a strong, experienced management team is essential to the best interests of the Company and our shareholders. As noted above, we have entered into EAs with the NEOs in order to, among other things, minimize employment security concerns, including those arising in the course of negotiating and completing a significant transaction. The EAs provide for severance benefits, which are payable only if the NEO is terminated by the Company without “cause” or the NEO resigns for “good reason,” in each case, whether or not in connection with a change of control; these benefits are enumerated and quantified in the section captioned “Potential Payments Upon Termination or Change of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162(m)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Internal Revenue Code limits us to a deduction for federal income tax purposes of no more than $1 million of compensation paid to certain executive officers in a taxable year. Although we are mindful of the benefits of tax deductibility when determining executive compensation, we may approve compensation that will not be fully-deductible in order to ensure competitive levels of total compensation for our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Section 409A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Another section of the Code, Section 409A, affects the manner in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Code Section 280G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our NEOs is entitled to any gross-up with respect to any excise taxes that may be imposed under Code Section 4999, and as noted in the “Narrative Description to the Summary Compensation Table and the Grants of Plan-Based Awards Table for the 2024 Fiscal Year,” each NEO’s EA provides for a “best-net” cutback.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 Year-End Actions Affecting Compensation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in March of each year, the compensation committee determines the cash incentive compensation and/or bonuses for the NEOs for services provided during the previous fiscal year. The compensation committee also determines equity incentive compensation awards for the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NEOs, are addressed by the Board of Directors in its final approval of the Company’s annual budget. </w:t>
      </w:r>
    </w:p>
    <w:p>
      <w:pPr>
        <w:pStyle w:val="TextBody"/>
        <w:bidi w:val="0"/>
        <w:spacing w:before="240" w:after="0"/>
        <w:jc w:val="left"/>
        <w:rPr>
          <w:rFonts w:ascii="Times New Roman" w:hAnsi="Times New Roman"/>
          <w:sz w:val="20"/>
        </w:rPr>
      </w:pPr>
      <w:r>
        <w:rPr>
          <w:rFonts w:ascii="Times New Roman" w:hAnsi="Times New Roman"/>
          <w:sz w:val="20"/>
        </w:rPr>
        <w:t xml:space="preserve">In 2025, we adopted the 2025 Cash Long Term Incentive Plan (the “Cash LTIP”) to further enable us to incentivize and reward key executives and align the interests of management with the Company and our shareholders. Under the Cash LTIP, upon certain capital return events, including distributions to our stockholders from cash flow and certain other approved monetization events, each NEO is entitled to receive a cash payment equal to the product of (a) their applicable participation percentage and (b) the aggregate amount of the Cash LTIP pool that is funded based on the amount of returned capital, subject to the NEO’s continued employment through the date of the capital return event. The amount of the pool is up to maximum of $6 million. The percentage of the pool that each NEO is eligible to receive is 40% for Mr. Hornbeck and 15% for each other NEO. </w:t>
      </w:r>
    </w:p>
    <w:p>
      <w:pPr>
        <w:pStyle w:val="TextBody"/>
        <w:bidi w:val="0"/>
        <w:spacing w:before="360" w:after="0"/>
        <w:jc w:val="left"/>
        <w:rPr>
          <w:rFonts w:ascii="Times New Roman" w:hAnsi="Times New Roman"/>
          <w:b/>
          <w:i/>
          <w:sz w:val="20"/>
        </w:rPr>
      </w:pPr>
      <w:r>
        <w:rPr>
          <w:rFonts w:ascii="Times New Roman" w:hAnsi="Times New Roman"/>
          <w:b/>
          <w:i/>
          <w:sz w:val="20"/>
        </w:rPr>
        <w:t xml:space="preserve">MIP Buybacks </w:t>
      </w:r>
    </w:p>
    <w:p>
      <w:pPr>
        <w:pStyle w:val="TextBody"/>
        <w:bidi w:val="0"/>
        <w:spacing w:before="120" w:after="0"/>
        <w:jc w:val="left"/>
        <w:rPr>
          <w:rFonts w:ascii="Times New Roman" w:hAnsi="Times New Roman"/>
          <w:sz w:val="20"/>
        </w:rPr>
      </w:pPr>
      <w:r>
        <w:rPr>
          <w:rFonts w:ascii="Times New Roman" w:hAnsi="Times New Roman"/>
          <w:sz w:val="20"/>
        </w:rPr>
        <w:t xml:space="preserve">Concurrent with our tender offer to purchase for cash certain of our equity securities at a unit price of $65.67, on December 31, 2024, we accelerated the vesting of certain stock options, restricted stock units and performance stock units granted to employees and non-employee directors, including the NEOs, under the 2020 Management Incentive Plan and cashed out the shares of common stock underlying such accelerated stock options (net of the exercise price), restricted stock units and performance stock units at a price equal to $65.67 per share. See “Option Exercises and Stock Vested in the 2024 Fiscal Year” below for more information with respect to the NEOs’ equity awards that were accelerated and the underlying shares cashed out in connection with the MIP buyback.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Once a publicly traded company, we will be subject to SEC rules regarding risk assessment. Those rules require a publicly traded company to determine whether any of its existing incentive compensation plans, programs or arrangements create risks that are reasonably likely to have a material adverse effect on the Company. We do not believe that any of our incentive compensation plans, programs or arrangements create risks that are reasonably likely to have a material adverse effect on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annual compensation awarded to or earned by our NEOs for Fiscal 2024, Fiscal 2023 and Fiscal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23"/>
        <w:gridCol w:w="81"/>
        <w:gridCol w:w="60"/>
        <w:gridCol w:w="500"/>
        <w:gridCol w:w="60"/>
        <w:gridCol w:w="81"/>
        <w:gridCol w:w="60"/>
        <w:gridCol w:w="802"/>
        <w:gridCol w:w="60"/>
        <w:gridCol w:w="81"/>
        <w:gridCol w:w="60"/>
        <w:gridCol w:w="802"/>
        <w:gridCol w:w="60"/>
        <w:gridCol w:w="81"/>
        <w:gridCol w:w="60"/>
        <w:gridCol w:w="981"/>
        <w:gridCol w:w="60"/>
        <w:gridCol w:w="81"/>
        <w:gridCol w:w="84"/>
        <w:gridCol w:w="1412"/>
        <w:gridCol w:w="60"/>
        <w:gridCol w:w="60"/>
        <w:gridCol w:w="120"/>
        <w:gridCol w:w="1380"/>
        <w:gridCol w:w="81"/>
        <w:gridCol w:w="68"/>
        <w:gridCol w:w="60"/>
        <w:gridCol w:w="981"/>
        <w:gridCol w:w="106"/>
      </w:tblGrid>
      <w:tr>
        <w:trPr/>
        <w:tc>
          <w:tcPr>
            <w:tcW w:w="182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r>
      <w:tr>
        <w:trPr/>
        <w:tc>
          <w:tcPr>
            <w:tcW w:w="18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and Principal </w:t>
              <w:br/>
              <w:t>Position</w:t>
            </w:r>
          </w:p>
        </w:tc>
        <w:tc>
          <w:tcPr>
            <w:tcW w:w="8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($)(1)</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($)(2)</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($)(3)</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w:t>
              <w:br/>
              <w:t>Plan</w:t>
              <w:br/>
              <w:t>Compensation</w:t>
              <w:b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($)(5)</w:t>
            </w:r>
          </w:p>
        </w:tc>
        <w:tc>
          <w:tcPr>
            <w:tcW w:w="8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106" w:type="dxa"/>
            <w:tcBorders/>
            <w:vAlign w:val="bottom"/>
          </w:tcPr>
          <w:p>
            <w:pPr>
              <w:pStyle w:val="TableContents"/>
              <w:bidi w:val="0"/>
              <w:spacing w:before="0" w:after="283"/>
              <w:jc w:val="left"/>
              <w:rPr/>
            </w:pPr>
            <w:r>
              <w:rPr/>
              <w:t> </w:t>
            </w:r>
          </w:p>
        </w:tc>
      </w:tr>
      <w:tr>
        <w:trPr/>
        <w:tc>
          <w:tcPr>
            <w:tcW w:w="1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750,000</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825,000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93,452</w:t>
            </w:r>
          </w:p>
        </w:tc>
        <w:tc>
          <w:tcPr>
            <w:tcW w:w="8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1,868,452</w:t>
            </w:r>
          </w:p>
        </w:tc>
        <w:tc>
          <w:tcPr>
            <w:tcW w:w="106" w:type="dxa"/>
            <w:tcBorders/>
            <w:shd w:fill="CCEEFF" w:val="clear"/>
            <w:vAlign w:val="bottom"/>
          </w:tcPr>
          <w:p>
            <w:pPr>
              <w:pStyle w:val="TableContents"/>
              <w:bidi w:val="0"/>
              <w:spacing w:before="0" w:after="283"/>
              <w:jc w:val="left"/>
              <w:rPr/>
            </w:pPr>
            <w:r>
              <w:rPr/>
              <w:t> </w:t>
            </w:r>
          </w:p>
        </w:tc>
      </w:tr>
      <w:tr>
        <w:trPr/>
        <w:tc>
          <w:tcPr>
            <w:tcW w:w="1823" w:type="dxa"/>
            <w:vMerge w:val="restart"/>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Chairman, President &amp; Chief Executive Officer</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750,000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100,000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6,054,243</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885,000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80" w:type="dxa"/>
            <w:tcBorders/>
            <w:shd w:fill="CCEEFF" w:val="clear"/>
          </w:tcPr>
          <w:p>
            <w:pPr>
              <w:pStyle w:val="TableContents"/>
              <w:bidi w:val="0"/>
              <w:spacing w:before="0" w:after="283"/>
              <w:jc w:val="right"/>
              <w:rPr/>
            </w:pPr>
            <w:r>
              <w:rPr/>
              <w:t>66,242</w:t>
            </w:r>
          </w:p>
        </w:tc>
        <w:tc>
          <w:tcPr>
            <w:tcW w:w="81" w:type="dxa"/>
            <w:tcBorders/>
            <w:shd w:fill="CCEEFF" w:val="clear"/>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7,855,485</w:t>
            </w:r>
          </w:p>
        </w:tc>
        <w:tc>
          <w:tcPr>
            <w:tcW w:w="106" w:type="dxa"/>
            <w:tcBorders/>
            <w:shd w:fill="CCEEFF" w:val="clear"/>
          </w:tcPr>
          <w:p>
            <w:pPr>
              <w:pStyle w:val="TableContents"/>
              <w:bidi w:val="0"/>
              <w:spacing w:before="0" w:after="283"/>
              <w:jc w:val="left"/>
              <w:rPr/>
            </w:pPr>
            <w:r>
              <w:rPr/>
              <w:t> </w:t>
            </w:r>
          </w:p>
        </w:tc>
      </w:tr>
      <w:tr>
        <w:trPr/>
        <w:tc>
          <w:tcPr>
            <w:tcW w:w="1823" w:type="dxa"/>
            <w:vMerge w:val="continue"/>
            <w:tcBorders/>
            <w:shd w:fill="CCEEFF" w:val="clear"/>
          </w:tcPr>
          <w:p>
            <w:pPr>
              <w:pStyle w:val="Normal"/>
              <w:bidi w:val="0"/>
              <w:jc w:val="left"/>
              <w:rPr/>
            </w:pPr>
            <w:r>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2022</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750,000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3,868,245</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tcPr>
          <w:p>
            <w:pPr>
              <w:pStyle w:val="TableContents"/>
              <w:bidi w:val="0"/>
              <w:spacing w:before="0" w:after="283"/>
              <w:jc w:val="left"/>
              <w:rPr/>
            </w:pPr>
            <w:r>
              <w:rPr/>
              <w:t> </w:t>
            </w:r>
          </w:p>
        </w:tc>
        <w:tc>
          <w:tcPr>
            <w:tcW w:w="1412" w:type="dxa"/>
            <w:tcBorders/>
            <w:shd w:fill="CCEEFF" w:val="clear"/>
          </w:tcPr>
          <w:p>
            <w:pPr>
              <w:pStyle w:val="TableContents"/>
              <w:bidi w:val="0"/>
              <w:spacing w:before="0" w:after="283"/>
              <w:jc w:val="right"/>
              <w:rPr/>
            </w:pPr>
            <w:r>
              <w:rPr/>
              <w:t>1,455,000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80" w:type="dxa"/>
            <w:tcBorders/>
            <w:shd w:fill="CCEEFF" w:val="clear"/>
          </w:tcPr>
          <w:p>
            <w:pPr>
              <w:pStyle w:val="TableContents"/>
              <w:bidi w:val="0"/>
              <w:spacing w:before="0" w:after="283"/>
              <w:jc w:val="right"/>
              <w:rPr/>
            </w:pPr>
            <w:r>
              <w:rPr/>
              <w:t>69,916</w:t>
            </w:r>
          </w:p>
        </w:tc>
        <w:tc>
          <w:tcPr>
            <w:tcW w:w="81" w:type="dxa"/>
            <w:tcBorders/>
            <w:shd w:fill="CCEEFF" w:val="clear"/>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6,143,162</w:t>
            </w:r>
          </w:p>
        </w:tc>
        <w:tc>
          <w:tcPr>
            <w:tcW w:w="106" w:type="dxa"/>
            <w:tcBorders/>
            <w:shd w:fill="CCEEFF" w:val="clear"/>
          </w:tcPr>
          <w:p>
            <w:pPr>
              <w:pStyle w:val="TableContents"/>
              <w:bidi w:val="0"/>
              <w:spacing w:before="0" w:after="283"/>
              <w:jc w:val="left"/>
              <w:rPr/>
            </w:pPr>
            <w:r>
              <w:rPr/>
              <w:t> </w:t>
            </w:r>
          </w:p>
        </w:tc>
      </w:tr>
      <w:tr>
        <w:trPr>
          <w:trHeight w:val="120" w:hRule="atLeast"/>
        </w:trPr>
        <w:tc>
          <w:tcPr>
            <w:tcW w:w="1823" w:type="dxa"/>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c>
          <w:tcPr>
            <w:tcW w:w="1182" w:type="dxa"/>
            <w:gridSpan w:val="4"/>
            <w:tcBorders/>
            <w:vAlign w:val="center"/>
          </w:tcPr>
          <w:p>
            <w:pPr>
              <w:pStyle w:val="TableContents"/>
              <w:bidi w:val="0"/>
              <w:spacing w:before="0" w:after="283"/>
              <w:jc w:val="left"/>
              <w:rPr>
                <w:sz w:val="4"/>
                <w:szCs w:val="4"/>
              </w:rPr>
            </w:pPr>
            <w:r>
              <w:rPr>
                <w:sz w:val="4"/>
                <w:szCs w:val="4"/>
              </w:rPr>
            </w:r>
          </w:p>
        </w:tc>
        <w:tc>
          <w:tcPr>
            <w:tcW w:w="1637"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400,000</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440,000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pPr>
            <w:r>
              <w:rPr/>
              <w:t>51,919</w:t>
            </w:r>
          </w:p>
        </w:tc>
        <w:tc>
          <w:tcPr>
            <w:tcW w:w="8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1,091,919</w:t>
            </w:r>
          </w:p>
        </w:tc>
        <w:tc>
          <w:tcPr>
            <w:tcW w:w="106" w:type="dxa"/>
            <w:tcBorders/>
            <w:vAlign w:val="bottom"/>
          </w:tcPr>
          <w:p>
            <w:pPr>
              <w:pStyle w:val="TableContents"/>
              <w:bidi w:val="0"/>
              <w:spacing w:before="0" w:after="283"/>
              <w:jc w:val="left"/>
              <w:rPr/>
            </w:pPr>
            <w:r>
              <w:rPr/>
              <w:t> </w:t>
            </w:r>
          </w:p>
        </w:tc>
      </w:tr>
      <w:tr>
        <w:trPr/>
        <w:tc>
          <w:tcPr>
            <w:tcW w:w="1823" w:type="dxa"/>
            <w:vMerge w:val="restart"/>
            <w:tcBorders/>
          </w:tcPr>
          <w:p>
            <w:pPr>
              <w:pStyle w:val="TableContents"/>
              <w:bidi w:val="0"/>
              <w:spacing w:before="0" w:after="0"/>
              <w:jc w:val="left"/>
              <w:rPr>
                <w:rFonts w:ascii="Times New Roman" w:hAnsi="Times New Roman"/>
                <w:i/>
                <w:sz w:val="20"/>
              </w:rPr>
            </w:pPr>
            <w:r>
              <w:rPr>
                <w:rFonts w:ascii="Times New Roman" w:hAnsi="Times New Roman"/>
                <w:i/>
                <w:sz w:val="20"/>
              </w:rPr>
              <w:t>EVP &amp; Chief Financial Officer</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100,000</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1" w:type="dxa"/>
            <w:tcBorders/>
          </w:tcPr>
          <w:p>
            <w:pPr>
              <w:pStyle w:val="TableContents"/>
              <w:bidi w:val="0"/>
              <w:spacing w:before="0" w:after="283"/>
              <w:jc w:val="right"/>
              <w:rPr/>
            </w:pPr>
            <w:r>
              <w:rPr/>
              <w:t>2,522,664</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4" w:type="dxa"/>
            <w:tcBorders/>
          </w:tcPr>
          <w:p>
            <w:pPr>
              <w:pStyle w:val="TableContents"/>
              <w:bidi w:val="0"/>
              <w:spacing w:before="0" w:after="283"/>
              <w:jc w:val="left"/>
              <w:rPr/>
            </w:pPr>
            <w:r>
              <w:rPr/>
              <w:t> </w:t>
            </w:r>
          </w:p>
        </w:tc>
        <w:tc>
          <w:tcPr>
            <w:tcW w:w="1412" w:type="dxa"/>
            <w:tcBorders/>
          </w:tcPr>
          <w:p>
            <w:pPr>
              <w:pStyle w:val="TableContents"/>
              <w:bidi w:val="0"/>
              <w:spacing w:before="0" w:after="283"/>
              <w:jc w:val="right"/>
              <w:rPr/>
            </w:pPr>
            <w:r>
              <w:rPr/>
              <w:t>472,000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80" w:type="dxa"/>
            <w:tcBorders/>
          </w:tcPr>
          <w:p>
            <w:pPr>
              <w:pStyle w:val="TableContents"/>
              <w:bidi w:val="0"/>
              <w:spacing w:before="0" w:after="283"/>
              <w:jc w:val="right"/>
              <w:rPr/>
            </w:pPr>
            <w:r>
              <w:rPr/>
              <w:t>52,173</w:t>
            </w:r>
          </w:p>
        </w:tc>
        <w:tc>
          <w:tcPr>
            <w:tcW w:w="81" w:type="dxa"/>
            <w:tcBorders/>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1" w:type="dxa"/>
            <w:tcBorders/>
          </w:tcPr>
          <w:p>
            <w:pPr>
              <w:pStyle w:val="TableContents"/>
              <w:bidi w:val="0"/>
              <w:spacing w:before="0" w:after="283"/>
              <w:jc w:val="right"/>
              <w:rPr/>
            </w:pPr>
            <w:r>
              <w:rPr/>
              <w:t>3,546,837</w:t>
            </w:r>
          </w:p>
        </w:tc>
        <w:tc>
          <w:tcPr>
            <w:tcW w:w="106" w:type="dxa"/>
            <w:tcBorders/>
          </w:tcPr>
          <w:p>
            <w:pPr>
              <w:pStyle w:val="TableContents"/>
              <w:bidi w:val="0"/>
              <w:spacing w:before="0" w:after="283"/>
              <w:jc w:val="left"/>
              <w:rPr/>
            </w:pPr>
            <w:r>
              <w:rPr/>
              <w:t> </w:t>
            </w:r>
          </w:p>
        </w:tc>
      </w:tr>
      <w:tr>
        <w:trPr/>
        <w:tc>
          <w:tcPr>
            <w:tcW w:w="1823" w:type="dxa"/>
            <w:vMerge w:val="continue"/>
            <w:tcBorders/>
          </w:tcPr>
          <w:p>
            <w:pPr>
              <w:pStyle w:val="Normal"/>
              <w:bidi w:val="0"/>
              <w:jc w:val="left"/>
              <w:rPr/>
            </w:pPr>
            <w:r>
              <w:rPr/>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2022</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1" w:type="dxa"/>
            <w:tcBorders/>
          </w:tcPr>
          <w:p>
            <w:pPr>
              <w:pStyle w:val="TableContents"/>
              <w:bidi w:val="0"/>
              <w:spacing w:before="0" w:after="283"/>
              <w:jc w:val="right"/>
              <w:rPr/>
            </w:pPr>
            <w:r>
              <w:rPr/>
              <w:t>1,611,762</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4" w:type="dxa"/>
            <w:tcBorders/>
          </w:tcPr>
          <w:p>
            <w:pPr>
              <w:pStyle w:val="TableContents"/>
              <w:bidi w:val="0"/>
              <w:spacing w:before="0" w:after="283"/>
              <w:jc w:val="left"/>
              <w:rPr/>
            </w:pPr>
            <w:r>
              <w:rPr/>
              <w:t> </w:t>
            </w:r>
          </w:p>
        </w:tc>
        <w:tc>
          <w:tcPr>
            <w:tcW w:w="1412" w:type="dxa"/>
            <w:tcBorders/>
          </w:tcPr>
          <w:p>
            <w:pPr>
              <w:pStyle w:val="TableContents"/>
              <w:bidi w:val="0"/>
              <w:spacing w:before="0" w:after="283"/>
              <w:jc w:val="right"/>
              <w:rPr/>
            </w:pPr>
            <w:r>
              <w:rPr/>
              <w:t>776,000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80" w:type="dxa"/>
            <w:tcBorders/>
          </w:tcPr>
          <w:p>
            <w:pPr>
              <w:pStyle w:val="TableContents"/>
              <w:bidi w:val="0"/>
              <w:spacing w:before="0" w:after="283"/>
              <w:jc w:val="right"/>
              <w:rPr/>
            </w:pPr>
            <w:r>
              <w:rPr/>
              <w:t>46,445</w:t>
            </w:r>
          </w:p>
        </w:tc>
        <w:tc>
          <w:tcPr>
            <w:tcW w:w="81" w:type="dxa"/>
            <w:tcBorders/>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1" w:type="dxa"/>
            <w:tcBorders/>
          </w:tcPr>
          <w:p>
            <w:pPr>
              <w:pStyle w:val="TableContents"/>
              <w:bidi w:val="0"/>
              <w:spacing w:before="0" w:after="283"/>
              <w:jc w:val="right"/>
              <w:rPr/>
            </w:pPr>
            <w:r>
              <w:rPr/>
              <w:t>2,834,207</w:t>
            </w:r>
          </w:p>
        </w:tc>
        <w:tc>
          <w:tcPr>
            <w:tcW w:w="106" w:type="dxa"/>
            <w:tcBorders/>
          </w:tcPr>
          <w:p>
            <w:pPr>
              <w:pStyle w:val="TableContents"/>
              <w:bidi w:val="0"/>
              <w:spacing w:before="0" w:after="283"/>
              <w:jc w:val="left"/>
              <w:rPr/>
            </w:pPr>
            <w:r>
              <w:rPr/>
              <w:t> </w:t>
            </w:r>
          </w:p>
        </w:tc>
      </w:tr>
      <w:tr>
        <w:trPr>
          <w:trHeight w:val="120" w:hRule="atLeast"/>
        </w:trPr>
        <w:tc>
          <w:tcPr>
            <w:tcW w:w="1823" w:type="dxa"/>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c>
          <w:tcPr>
            <w:tcW w:w="1182" w:type="dxa"/>
            <w:gridSpan w:val="4"/>
            <w:tcBorders/>
            <w:vAlign w:val="center"/>
          </w:tcPr>
          <w:p>
            <w:pPr>
              <w:pStyle w:val="TableContents"/>
              <w:bidi w:val="0"/>
              <w:spacing w:before="0" w:after="283"/>
              <w:jc w:val="left"/>
              <w:rPr>
                <w:sz w:val="4"/>
                <w:szCs w:val="4"/>
              </w:rPr>
            </w:pPr>
            <w:r>
              <w:rPr>
                <w:sz w:val="4"/>
                <w:szCs w:val="4"/>
              </w:rPr>
            </w:r>
          </w:p>
        </w:tc>
        <w:tc>
          <w:tcPr>
            <w:tcW w:w="1637"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r>
      <w:tr>
        <w:trPr/>
        <w:tc>
          <w:tcPr>
            <w:tcW w:w="1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440,000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51,938</w:t>
            </w:r>
          </w:p>
        </w:tc>
        <w:tc>
          <w:tcPr>
            <w:tcW w:w="8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1,091,938</w:t>
            </w:r>
          </w:p>
        </w:tc>
        <w:tc>
          <w:tcPr>
            <w:tcW w:w="106" w:type="dxa"/>
            <w:tcBorders/>
            <w:shd w:fill="CCEEFF" w:val="clear"/>
            <w:vAlign w:val="bottom"/>
          </w:tcPr>
          <w:p>
            <w:pPr>
              <w:pStyle w:val="TableContents"/>
              <w:bidi w:val="0"/>
              <w:spacing w:before="0" w:after="283"/>
              <w:jc w:val="left"/>
              <w:rPr/>
            </w:pPr>
            <w:r>
              <w:rPr/>
              <w:t> </w:t>
            </w:r>
          </w:p>
        </w:tc>
      </w:tr>
      <w:tr>
        <w:trPr/>
        <w:tc>
          <w:tcPr>
            <w:tcW w:w="1823" w:type="dxa"/>
            <w:vMerge w:val="restart"/>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EVP, General Counsel, Chief Compliance Officer &amp; Corporate Secretary</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100,000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2,522,610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472,000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80" w:type="dxa"/>
            <w:tcBorders/>
            <w:shd w:fill="CCEEFF" w:val="clear"/>
          </w:tcPr>
          <w:p>
            <w:pPr>
              <w:pStyle w:val="TableContents"/>
              <w:bidi w:val="0"/>
              <w:spacing w:before="0" w:after="283"/>
              <w:jc w:val="right"/>
              <w:rPr/>
            </w:pPr>
            <w:r>
              <w:rPr/>
              <w:t>50,518</w:t>
            </w:r>
          </w:p>
        </w:tc>
        <w:tc>
          <w:tcPr>
            <w:tcW w:w="81" w:type="dxa"/>
            <w:tcBorders/>
            <w:shd w:fill="CCEEFF" w:val="clear"/>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3,545,128</w:t>
            </w:r>
          </w:p>
        </w:tc>
        <w:tc>
          <w:tcPr>
            <w:tcW w:w="106" w:type="dxa"/>
            <w:tcBorders/>
            <w:shd w:fill="CCEEFF" w:val="clear"/>
          </w:tcPr>
          <w:p>
            <w:pPr>
              <w:pStyle w:val="TableContents"/>
              <w:bidi w:val="0"/>
              <w:spacing w:before="0" w:after="283"/>
              <w:jc w:val="left"/>
              <w:rPr/>
            </w:pPr>
            <w:r>
              <w:rPr/>
              <w:t> </w:t>
            </w:r>
          </w:p>
        </w:tc>
      </w:tr>
      <w:tr>
        <w:trPr/>
        <w:tc>
          <w:tcPr>
            <w:tcW w:w="1823" w:type="dxa"/>
            <w:vMerge w:val="continue"/>
            <w:tcBorders/>
            <w:shd w:fill="CCEEFF" w:val="clear"/>
          </w:tcPr>
          <w:p>
            <w:pPr>
              <w:pStyle w:val="Normal"/>
              <w:bidi w:val="0"/>
              <w:jc w:val="left"/>
              <w:rPr/>
            </w:pPr>
            <w:r>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2022</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1,611,762</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tcPr>
          <w:p>
            <w:pPr>
              <w:pStyle w:val="TableContents"/>
              <w:bidi w:val="0"/>
              <w:spacing w:before="0" w:after="283"/>
              <w:jc w:val="left"/>
              <w:rPr/>
            </w:pPr>
            <w:r>
              <w:rPr/>
              <w:t> </w:t>
            </w:r>
          </w:p>
        </w:tc>
        <w:tc>
          <w:tcPr>
            <w:tcW w:w="1412" w:type="dxa"/>
            <w:tcBorders/>
            <w:shd w:fill="CCEEFF" w:val="clear"/>
          </w:tcPr>
          <w:p>
            <w:pPr>
              <w:pStyle w:val="TableContents"/>
              <w:bidi w:val="0"/>
              <w:spacing w:before="0" w:after="283"/>
              <w:jc w:val="right"/>
              <w:rPr/>
            </w:pPr>
            <w:r>
              <w:rPr/>
              <w:t>776,000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80" w:type="dxa"/>
            <w:tcBorders/>
            <w:shd w:fill="CCEEFF" w:val="clear"/>
          </w:tcPr>
          <w:p>
            <w:pPr>
              <w:pStyle w:val="TableContents"/>
              <w:bidi w:val="0"/>
              <w:spacing w:before="0" w:after="283"/>
              <w:jc w:val="right"/>
              <w:rPr/>
            </w:pPr>
            <w:r>
              <w:rPr/>
              <w:t>44,751</w:t>
            </w:r>
          </w:p>
        </w:tc>
        <w:tc>
          <w:tcPr>
            <w:tcW w:w="81" w:type="dxa"/>
            <w:tcBorders/>
            <w:shd w:fill="CCEEFF" w:val="clear"/>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2,832,513</w:t>
            </w:r>
          </w:p>
        </w:tc>
        <w:tc>
          <w:tcPr>
            <w:tcW w:w="106" w:type="dxa"/>
            <w:tcBorders/>
            <w:shd w:fill="CCEEFF" w:val="clear"/>
          </w:tcPr>
          <w:p>
            <w:pPr>
              <w:pStyle w:val="TableContents"/>
              <w:bidi w:val="0"/>
              <w:spacing w:before="0" w:after="283"/>
              <w:jc w:val="left"/>
              <w:rPr/>
            </w:pPr>
            <w:r>
              <w:rPr/>
              <w:t> </w:t>
            </w:r>
          </w:p>
        </w:tc>
      </w:tr>
      <w:tr>
        <w:trPr/>
        <w:tc>
          <w:tcPr>
            <w:tcW w:w="1823" w:type="dxa"/>
            <w:vMerge w:val="continue"/>
            <w:tcBorders/>
            <w:shd w:fill="CCEEFF" w:val="clear"/>
          </w:tcPr>
          <w:p>
            <w:pPr>
              <w:pStyle w:val="Normal"/>
              <w:bidi w:val="0"/>
              <w:jc w:val="left"/>
              <w:rPr/>
            </w:pPr>
            <w:r>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lineRule="atLeast" w:line="142" w:before="0" w:after="0"/>
              <w:jc w:val="left"/>
              <w:rPr/>
            </w:pPr>
            <w:r>
              <w:rPr/>
              <w:t> </w:t>
            </w:r>
          </w:p>
        </w:tc>
        <w:tc>
          <w:tcPr>
            <w:tcW w:w="500" w:type="dxa"/>
            <w:tcBorders/>
            <w:shd w:fill="CCEEFF" w:val="clear"/>
          </w:tcPr>
          <w:p>
            <w:pPr>
              <w:pStyle w:val="TableContents"/>
              <w:bidi w:val="0"/>
              <w:spacing w:lineRule="atLeast" w:line="142" w:before="0" w:after="0"/>
              <w:jc w:val="right"/>
              <w:rPr/>
            </w:pPr>
            <w:r>
              <w:rPr/>
              <w:t> </w:t>
            </w:r>
          </w:p>
        </w:tc>
        <w:tc>
          <w:tcPr>
            <w:tcW w:w="60" w:type="dxa"/>
            <w:tcBorders/>
            <w:shd w:fill="CCEEFF" w:val="clear"/>
          </w:tcPr>
          <w:p>
            <w:pPr>
              <w:pStyle w:val="TableContents"/>
              <w:bidi w:val="0"/>
              <w:spacing w:lineRule="atLeast" w:line="142" w:before="0" w:after="0"/>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1"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tcPr>
          <w:p>
            <w:pPr>
              <w:pStyle w:val="TableContents"/>
              <w:bidi w:val="0"/>
              <w:spacing w:before="0" w:after="283"/>
              <w:jc w:val="left"/>
              <w:rPr>
                <w:sz w:val="4"/>
                <w:szCs w:val="4"/>
              </w:rPr>
            </w:pPr>
            <w:r>
              <w:rPr>
                <w:sz w:val="4"/>
                <w:szCs w:val="4"/>
              </w:rPr>
            </w:r>
          </w:p>
        </w:tc>
        <w:tc>
          <w:tcPr>
            <w:tcW w:w="141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sz w:val="4"/>
                <w:szCs w:val="4"/>
              </w:rPr>
            </w:pPr>
            <w:r>
              <w:rPr>
                <w:sz w:val="4"/>
                <w:szCs w:val="4"/>
              </w:rPr>
            </w:r>
          </w:p>
        </w:tc>
        <w:tc>
          <w:tcPr>
            <w:tcW w:w="1380"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1" w:type="dxa"/>
            <w:tcBorders/>
            <w:shd w:fill="CCEEFF" w:val="clear"/>
          </w:tcPr>
          <w:p>
            <w:pPr>
              <w:pStyle w:val="TableContents"/>
              <w:bidi w:val="0"/>
              <w:spacing w:before="0" w:after="283"/>
              <w:jc w:val="left"/>
              <w:rPr>
                <w:sz w:val="4"/>
                <w:szCs w:val="4"/>
              </w:rPr>
            </w:pPr>
            <w:r>
              <w:rPr>
                <w:sz w:val="4"/>
                <w:szCs w:val="4"/>
              </w:rPr>
            </w:r>
          </w:p>
        </w:tc>
        <w:tc>
          <w:tcPr>
            <w:tcW w:w="106" w:type="dxa"/>
            <w:tcBorders/>
            <w:shd w:fill="CCEEFF" w:val="clear"/>
          </w:tcPr>
          <w:p>
            <w:pPr>
              <w:pStyle w:val="TableContents"/>
              <w:bidi w:val="0"/>
              <w:spacing w:before="0" w:after="283"/>
              <w:jc w:val="left"/>
              <w:rPr>
                <w:sz w:val="4"/>
                <w:szCs w:val="4"/>
              </w:rPr>
            </w:pPr>
            <w:r>
              <w:rPr>
                <w:sz w:val="4"/>
                <w:szCs w:val="4"/>
              </w:rPr>
            </w:r>
          </w:p>
        </w:tc>
      </w:tr>
      <w:tr>
        <w:trPr>
          <w:trHeight w:val="120" w:hRule="atLeast"/>
        </w:trPr>
        <w:tc>
          <w:tcPr>
            <w:tcW w:w="1823" w:type="dxa"/>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c>
          <w:tcPr>
            <w:tcW w:w="1182" w:type="dxa"/>
            <w:gridSpan w:val="4"/>
            <w:tcBorders/>
            <w:vAlign w:val="center"/>
          </w:tcPr>
          <w:p>
            <w:pPr>
              <w:pStyle w:val="TableContents"/>
              <w:bidi w:val="0"/>
              <w:spacing w:before="0" w:after="283"/>
              <w:jc w:val="left"/>
              <w:rPr>
                <w:sz w:val="4"/>
                <w:szCs w:val="4"/>
              </w:rPr>
            </w:pPr>
            <w:r>
              <w:rPr>
                <w:sz w:val="4"/>
                <w:szCs w:val="4"/>
              </w:rPr>
            </w:r>
          </w:p>
        </w:tc>
        <w:tc>
          <w:tcPr>
            <w:tcW w:w="1637"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400,000</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440,000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pPr>
            <w:r>
              <w:rPr/>
              <w:t>51,497</w:t>
            </w:r>
          </w:p>
        </w:tc>
        <w:tc>
          <w:tcPr>
            <w:tcW w:w="8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1,091,497</w:t>
            </w:r>
          </w:p>
        </w:tc>
        <w:tc>
          <w:tcPr>
            <w:tcW w:w="106" w:type="dxa"/>
            <w:tcBorders/>
            <w:vAlign w:val="bottom"/>
          </w:tcPr>
          <w:p>
            <w:pPr>
              <w:pStyle w:val="TableContents"/>
              <w:bidi w:val="0"/>
              <w:spacing w:before="0" w:after="283"/>
              <w:jc w:val="left"/>
              <w:rPr/>
            </w:pPr>
            <w:r>
              <w:rPr/>
              <w:t> </w:t>
            </w:r>
          </w:p>
        </w:tc>
      </w:tr>
      <w:tr>
        <w:trPr/>
        <w:tc>
          <w:tcPr>
            <w:tcW w:w="1823" w:type="dxa"/>
            <w:vMerge w:val="restart"/>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EVP &amp; Chief Commercial Officer(6)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100,000</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1" w:type="dxa"/>
            <w:tcBorders/>
          </w:tcPr>
          <w:p>
            <w:pPr>
              <w:pStyle w:val="TableContents"/>
              <w:bidi w:val="0"/>
              <w:spacing w:before="0" w:after="283"/>
              <w:jc w:val="right"/>
              <w:rPr/>
            </w:pPr>
            <w:r>
              <w:rPr/>
              <w:t>2,522,610</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472,000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80" w:type="dxa"/>
            <w:tcBorders/>
          </w:tcPr>
          <w:p>
            <w:pPr>
              <w:pStyle w:val="TableContents"/>
              <w:bidi w:val="0"/>
              <w:spacing w:before="0" w:after="283"/>
              <w:jc w:val="right"/>
              <w:rPr/>
            </w:pPr>
            <w:r>
              <w:rPr/>
              <w:t>53,935</w:t>
            </w:r>
          </w:p>
        </w:tc>
        <w:tc>
          <w:tcPr>
            <w:tcW w:w="81" w:type="dxa"/>
            <w:tcBorders/>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1" w:type="dxa"/>
            <w:tcBorders/>
          </w:tcPr>
          <w:p>
            <w:pPr>
              <w:pStyle w:val="TableContents"/>
              <w:bidi w:val="0"/>
              <w:spacing w:before="0" w:after="283"/>
              <w:jc w:val="right"/>
              <w:rPr/>
            </w:pPr>
            <w:r>
              <w:rPr/>
              <w:t>3,548,545</w:t>
            </w:r>
          </w:p>
        </w:tc>
        <w:tc>
          <w:tcPr>
            <w:tcW w:w="106" w:type="dxa"/>
            <w:tcBorders/>
          </w:tcPr>
          <w:p>
            <w:pPr>
              <w:pStyle w:val="TableContents"/>
              <w:bidi w:val="0"/>
              <w:spacing w:before="0" w:after="283"/>
              <w:jc w:val="left"/>
              <w:rPr/>
            </w:pPr>
            <w:r>
              <w:rPr/>
              <w:t> </w:t>
            </w:r>
          </w:p>
        </w:tc>
      </w:tr>
      <w:tr>
        <w:trPr/>
        <w:tc>
          <w:tcPr>
            <w:tcW w:w="1823" w:type="dxa"/>
            <w:vMerge w:val="continue"/>
            <w:tcBorders/>
          </w:tcPr>
          <w:p>
            <w:pPr>
              <w:pStyle w:val="Normal"/>
              <w:bidi w:val="0"/>
              <w:jc w:val="left"/>
              <w:rPr/>
            </w:pPr>
            <w:r>
              <w:rPr/>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2022</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1" w:type="dxa"/>
            <w:tcBorders/>
          </w:tcPr>
          <w:p>
            <w:pPr>
              <w:pStyle w:val="TableContents"/>
              <w:bidi w:val="0"/>
              <w:spacing w:before="0" w:after="283"/>
              <w:jc w:val="right"/>
              <w:rPr/>
            </w:pPr>
            <w:r>
              <w:rPr/>
              <w:t>1,611,762</w:t>
            </w:r>
          </w:p>
        </w:tc>
        <w:tc>
          <w:tcPr>
            <w:tcW w:w="60" w:type="dxa"/>
            <w:tcBorders/>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4" w:type="dxa"/>
            <w:tcBorders/>
          </w:tcPr>
          <w:p>
            <w:pPr>
              <w:pStyle w:val="TableContents"/>
              <w:bidi w:val="0"/>
              <w:spacing w:before="0" w:after="283"/>
              <w:jc w:val="left"/>
              <w:rPr/>
            </w:pPr>
            <w:r>
              <w:rPr/>
              <w:t> </w:t>
            </w:r>
          </w:p>
        </w:tc>
        <w:tc>
          <w:tcPr>
            <w:tcW w:w="1412" w:type="dxa"/>
            <w:tcBorders/>
          </w:tcPr>
          <w:p>
            <w:pPr>
              <w:pStyle w:val="TableContents"/>
              <w:bidi w:val="0"/>
              <w:spacing w:before="0" w:after="283"/>
              <w:jc w:val="right"/>
              <w:rPr/>
            </w:pPr>
            <w:r>
              <w:rPr/>
              <w:t>776,000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80" w:type="dxa"/>
            <w:tcBorders/>
          </w:tcPr>
          <w:p>
            <w:pPr>
              <w:pStyle w:val="TableContents"/>
              <w:bidi w:val="0"/>
              <w:spacing w:before="0" w:after="283"/>
              <w:jc w:val="right"/>
              <w:rPr/>
            </w:pPr>
            <w:r>
              <w:rPr/>
              <w:t>44,106</w:t>
            </w:r>
          </w:p>
        </w:tc>
        <w:tc>
          <w:tcPr>
            <w:tcW w:w="81" w:type="dxa"/>
            <w:tcBorders/>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1" w:type="dxa"/>
            <w:tcBorders/>
          </w:tcPr>
          <w:p>
            <w:pPr>
              <w:pStyle w:val="TableContents"/>
              <w:bidi w:val="0"/>
              <w:spacing w:before="0" w:after="283"/>
              <w:jc w:val="right"/>
              <w:rPr/>
            </w:pPr>
            <w:r>
              <w:rPr/>
              <w:t>2,831,868</w:t>
            </w:r>
          </w:p>
        </w:tc>
        <w:tc>
          <w:tcPr>
            <w:tcW w:w="106" w:type="dxa"/>
            <w:tcBorders/>
          </w:tcPr>
          <w:p>
            <w:pPr>
              <w:pStyle w:val="TableContents"/>
              <w:bidi w:val="0"/>
              <w:spacing w:before="0" w:after="283"/>
              <w:jc w:val="left"/>
              <w:rPr/>
            </w:pPr>
            <w:r>
              <w:rPr/>
              <w:t> </w:t>
            </w:r>
          </w:p>
        </w:tc>
      </w:tr>
      <w:tr>
        <w:trPr>
          <w:trHeight w:val="120" w:hRule="atLeast"/>
        </w:trPr>
        <w:tc>
          <w:tcPr>
            <w:tcW w:w="1823" w:type="dxa"/>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c>
          <w:tcPr>
            <w:tcW w:w="1182" w:type="dxa"/>
            <w:gridSpan w:val="4"/>
            <w:tcBorders/>
            <w:vAlign w:val="center"/>
          </w:tcPr>
          <w:p>
            <w:pPr>
              <w:pStyle w:val="TableContents"/>
              <w:bidi w:val="0"/>
              <w:spacing w:before="0" w:after="283"/>
              <w:jc w:val="left"/>
              <w:rPr>
                <w:sz w:val="4"/>
                <w:szCs w:val="4"/>
              </w:rPr>
            </w:pPr>
            <w:r>
              <w:rPr>
                <w:sz w:val="4"/>
                <w:szCs w:val="4"/>
              </w:rPr>
            </w:r>
          </w:p>
        </w:tc>
        <w:tc>
          <w:tcPr>
            <w:tcW w:w="1637"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r>
      <w:tr>
        <w:trPr/>
        <w:tc>
          <w:tcPr>
            <w:tcW w:w="1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440,000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53,419</w:t>
            </w:r>
          </w:p>
        </w:tc>
        <w:tc>
          <w:tcPr>
            <w:tcW w:w="8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1,093,419</w:t>
            </w:r>
          </w:p>
        </w:tc>
        <w:tc>
          <w:tcPr>
            <w:tcW w:w="106" w:type="dxa"/>
            <w:tcBorders/>
            <w:shd w:fill="CCEEFF" w:val="clear"/>
            <w:vAlign w:val="bottom"/>
          </w:tcPr>
          <w:p>
            <w:pPr>
              <w:pStyle w:val="TableContents"/>
              <w:bidi w:val="0"/>
              <w:spacing w:before="0" w:after="283"/>
              <w:jc w:val="left"/>
              <w:rPr/>
            </w:pPr>
            <w:r>
              <w:rPr/>
              <w:t> </w:t>
            </w:r>
          </w:p>
        </w:tc>
      </w:tr>
      <w:tr>
        <w:trPr/>
        <w:tc>
          <w:tcPr>
            <w:tcW w:w="1823" w:type="dxa"/>
            <w:vMerge w:val="restart"/>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EVP—Military, Engineering, Repair &amp; Maintenance</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100,000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2,522,664</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472,000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80" w:type="dxa"/>
            <w:tcBorders/>
            <w:shd w:fill="CCEEFF" w:val="clear"/>
          </w:tcPr>
          <w:p>
            <w:pPr>
              <w:pStyle w:val="TableContents"/>
              <w:bidi w:val="0"/>
              <w:spacing w:before="0" w:after="283"/>
              <w:jc w:val="right"/>
              <w:rPr/>
            </w:pPr>
            <w:r>
              <w:rPr/>
              <w:t>52,073</w:t>
            </w:r>
          </w:p>
        </w:tc>
        <w:tc>
          <w:tcPr>
            <w:tcW w:w="81" w:type="dxa"/>
            <w:tcBorders/>
            <w:shd w:fill="CCEEFF" w:val="clear"/>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3,546,737</w:t>
            </w:r>
          </w:p>
        </w:tc>
        <w:tc>
          <w:tcPr>
            <w:tcW w:w="106" w:type="dxa"/>
            <w:tcBorders/>
            <w:shd w:fill="CCEEFF" w:val="clear"/>
          </w:tcPr>
          <w:p>
            <w:pPr>
              <w:pStyle w:val="TableContents"/>
              <w:bidi w:val="0"/>
              <w:spacing w:before="0" w:after="283"/>
              <w:jc w:val="left"/>
              <w:rPr/>
            </w:pPr>
            <w:r>
              <w:rPr/>
              <w:t> </w:t>
            </w:r>
          </w:p>
        </w:tc>
      </w:tr>
      <w:tr>
        <w:trPr/>
        <w:tc>
          <w:tcPr>
            <w:tcW w:w="1823" w:type="dxa"/>
            <w:vMerge w:val="continue"/>
            <w:tcBorders/>
            <w:shd w:fill="CCEEFF" w:val="clear"/>
          </w:tcPr>
          <w:p>
            <w:pPr>
              <w:pStyle w:val="Normal"/>
              <w:bidi w:val="0"/>
              <w:jc w:val="left"/>
              <w:rPr/>
            </w:pPr>
            <w:r>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2022</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1,611,762</w:t>
            </w:r>
          </w:p>
        </w:tc>
        <w:tc>
          <w:tcPr>
            <w:tcW w:w="60" w:type="dxa"/>
            <w:tcBorders/>
            <w:shd w:fill="CCEEFF" w:val="clear"/>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tcPr>
          <w:p>
            <w:pPr>
              <w:pStyle w:val="TableContents"/>
              <w:bidi w:val="0"/>
              <w:spacing w:before="0" w:after="283"/>
              <w:jc w:val="left"/>
              <w:rPr/>
            </w:pPr>
            <w:r>
              <w:rPr/>
              <w:t> </w:t>
            </w:r>
          </w:p>
        </w:tc>
        <w:tc>
          <w:tcPr>
            <w:tcW w:w="1412" w:type="dxa"/>
            <w:tcBorders/>
            <w:shd w:fill="CCEEFF" w:val="clear"/>
          </w:tcPr>
          <w:p>
            <w:pPr>
              <w:pStyle w:val="TableContents"/>
              <w:bidi w:val="0"/>
              <w:spacing w:before="0" w:after="283"/>
              <w:jc w:val="right"/>
              <w:rPr/>
            </w:pPr>
            <w:r>
              <w:rPr/>
              <w:t>776,000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80" w:type="dxa"/>
            <w:tcBorders/>
            <w:shd w:fill="CCEEFF" w:val="clear"/>
          </w:tcPr>
          <w:p>
            <w:pPr>
              <w:pStyle w:val="TableContents"/>
              <w:bidi w:val="0"/>
              <w:spacing w:before="0" w:after="283"/>
              <w:jc w:val="right"/>
              <w:rPr/>
            </w:pPr>
            <w:r>
              <w:rPr/>
              <w:t>44,623</w:t>
            </w:r>
          </w:p>
        </w:tc>
        <w:tc>
          <w:tcPr>
            <w:tcW w:w="81" w:type="dxa"/>
            <w:tcBorders/>
            <w:shd w:fill="CCEEFF" w:val="clear"/>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1" w:type="dxa"/>
            <w:tcBorders/>
            <w:shd w:fill="CCEEFF" w:val="clear"/>
          </w:tcPr>
          <w:p>
            <w:pPr>
              <w:pStyle w:val="TableContents"/>
              <w:bidi w:val="0"/>
              <w:spacing w:before="0" w:after="283"/>
              <w:jc w:val="right"/>
              <w:rPr/>
            </w:pPr>
            <w:r>
              <w:rPr/>
              <w:t>2,832,385</w:t>
            </w:r>
          </w:p>
        </w:tc>
        <w:tc>
          <w:tcPr>
            <w:tcW w:w="106" w:type="dxa"/>
            <w:tcBorders/>
            <w:shd w:fill="CCEEFF" w:val="clear"/>
          </w:tcPr>
          <w:p>
            <w:pPr>
              <w:pStyle w:val="TableContents"/>
              <w:bidi w:val="0"/>
              <w:spacing w:before="0" w:after="283"/>
              <w:jc w:val="left"/>
              <w:rPr/>
            </w:pPr>
            <w:r>
              <w:rPr/>
              <w:t> </w:t>
            </w:r>
          </w:p>
        </w:tc>
      </w:tr>
      <w:tr>
        <w:trPr/>
        <w:tc>
          <w:tcPr>
            <w:tcW w:w="1823" w:type="dxa"/>
            <w:vMerge w:val="continue"/>
            <w:tcBorders/>
            <w:shd w:fill="CCEEFF" w:val="clear"/>
          </w:tcPr>
          <w:p>
            <w:pPr>
              <w:pStyle w:val="Normal"/>
              <w:bidi w:val="0"/>
              <w:jc w:val="left"/>
              <w:rPr/>
            </w:pPr>
            <w:r>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5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1"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84" w:type="dxa"/>
            <w:tcBorders/>
            <w:shd w:fill="CCEEFF" w:val="clear"/>
          </w:tcPr>
          <w:p>
            <w:pPr>
              <w:pStyle w:val="TableContents"/>
              <w:bidi w:val="0"/>
              <w:spacing w:before="0" w:after="283"/>
              <w:jc w:val="left"/>
              <w:rPr>
                <w:sz w:val="4"/>
                <w:szCs w:val="4"/>
              </w:rPr>
            </w:pPr>
            <w:r>
              <w:rPr>
                <w:sz w:val="4"/>
                <w:szCs w:val="4"/>
              </w:rPr>
            </w:r>
          </w:p>
        </w:tc>
        <w:tc>
          <w:tcPr>
            <w:tcW w:w="141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sz w:val="4"/>
                <w:szCs w:val="4"/>
              </w:rPr>
            </w:pPr>
            <w:r>
              <w:rPr>
                <w:sz w:val="4"/>
                <w:szCs w:val="4"/>
              </w:rPr>
            </w:r>
          </w:p>
        </w:tc>
        <w:tc>
          <w:tcPr>
            <w:tcW w:w="1380" w:type="dxa"/>
            <w:tcBorders/>
            <w:shd w:fill="CCEEFF" w:val="clear"/>
          </w:tcPr>
          <w:p>
            <w:pPr>
              <w:pStyle w:val="TableContents"/>
              <w:bidi w:val="0"/>
              <w:spacing w:before="0" w:after="283"/>
              <w:jc w:val="left"/>
              <w:rPr>
                <w:sz w:val="4"/>
                <w:szCs w:val="4"/>
              </w:rPr>
            </w:pPr>
            <w:r>
              <w:rPr>
                <w:sz w:val="4"/>
                <w:szCs w:val="4"/>
              </w:rPr>
            </w:r>
          </w:p>
        </w:tc>
        <w:tc>
          <w:tcPr>
            <w:tcW w:w="81" w:type="dxa"/>
            <w:tcBorders/>
            <w:shd w:fill="CCEEFF" w:val="clear"/>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1" w:type="dxa"/>
            <w:tcBorders/>
            <w:shd w:fill="CCEEFF" w:val="clear"/>
          </w:tcPr>
          <w:p>
            <w:pPr>
              <w:pStyle w:val="TableContents"/>
              <w:bidi w:val="0"/>
              <w:spacing w:before="0" w:after="283"/>
              <w:jc w:val="left"/>
              <w:rPr>
                <w:sz w:val="4"/>
                <w:szCs w:val="4"/>
              </w:rPr>
            </w:pPr>
            <w:r>
              <w:rPr>
                <w:sz w:val="4"/>
                <w:szCs w:val="4"/>
              </w:rPr>
            </w:r>
          </w:p>
        </w:tc>
        <w:tc>
          <w:tcPr>
            <w:tcW w:w="106"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actual base salaries earned by our NEOs for Fiscal 2024, Fiscal 2023 and Fiscal 2022.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for 2024 reflect the Special 2024 Bonus, which is described above in the section titled “Pay Mix—Bonus,” and for 2023 reflect a special one-time bonus awarded to the NEOs for the successful resolution of the GIFI litigation, which was a key accomplishment of management in Fiscal 2023 that benefited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grant date fair values (computed in accordance with FASB ASC Topic 718) of the RSU and PSU awards granted to the NEOs in Fiscal 2023 and Fiscal 2022. See Note 14 to our Financial Statements included elsewhere in this prospectus for the assumptions used in calculating the grant date fair values. For the RSUs, the amounts reported in this column reflect the aggregate grant date fair value computed in accordance with ASC Topic 718. For the PSUs, the amounts reported in this column reflect the aggregate grant date fair value computed in accordance with ASC Topic 718, and assumes that the maximum number of the PSUs vest and participate in distributions.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bonuses paid to our NEOs for Fiscal 2024, Fiscal 2023 and Fiscal 2022 performance, pursuant to the terms of the annual cash incentive compensation opportunities set forth in their respective employment agreements and the Company’s cash incentive compensation program in effect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Fiscal 2024, Fiscal 2023 and Fiscal 2022, respectively. The Company’s cash incentive compensation program is described above in the section titled “Pay Mix—Bonus.”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following amounts paid to our NEOs for Fiscal 2024: (i) employer-paid automobile lease and insurance expenses, which total $19,772, $17,294, $17,313, $16,871 and $18,361 for each of Messrs. Hornbeck, Harp, Giberga, Cook and Annessa, respectively, (ii) employer-paid term life insurance policy expenses for each NEO, (iii) employer-paid supplemental health insurance policy expenses in the amount of $19,152 for Mr. Annessa and $18,720 for each of the other NEOs, (iv) 401(k) matching contributions, which total $15,525 for each of our NEOs and (v) use of the Company’s aircraft for Mr. Hornbeck of $39,055. For the aircraft use, the value shown is the incremental cost to the Company for such use, which is calculated based on a contracted hourly rate billed to the Company per hour of operation. Fixed costs that do not change based on usage are not included.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August 2024, Mr. Cook’s title was changed from EVP, Chief Commercial Officer &amp; Chief Information Officer to EVP &amp; Chief Commercial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Grants of Plan-Based Awards for the 2024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non-equity incentive plan awards granted to our NEOs during Fiscal 2024. No equity incentive plan awards were granted to our NEOs during Fiscal 2024. All numbers have been rounded to the nearest whole dollar or unit.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78"/>
        <w:gridCol w:w="139"/>
        <w:gridCol w:w="60"/>
        <w:gridCol w:w="840"/>
        <w:gridCol w:w="60"/>
        <w:gridCol w:w="139"/>
        <w:gridCol w:w="74"/>
        <w:gridCol w:w="1060"/>
        <w:gridCol w:w="60"/>
        <w:gridCol w:w="139"/>
        <w:gridCol w:w="60"/>
        <w:gridCol w:w="803"/>
        <w:gridCol w:w="60"/>
        <w:gridCol w:w="139"/>
        <w:gridCol w:w="60"/>
        <w:gridCol w:w="1066"/>
        <w:gridCol w:w="68"/>
      </w:tblGrid>
      <w:tr>
        <w:trPr/>
        <w:tc>
          <w:tcPr>
            <w:tcW w:w="537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37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5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Estimated Future Payouts</w:t>
              <w:br/>
              <w:t>Under Non-Equity Incentive</w:t>
              <w:br/>
              <w:t>Plan Awards(1)</w:t>
            </w:r>
          </w:p>
        </w:tc>
        <w:tc>
          <w:tcPr>
            <w:tcW w:w="68" w:type="dxa"/>
            <w:tcBorders/>
            <w:vAlign w:val="bottom"/>
          </w:tcPr>
          <w:p>
            <w:pPr>
              <w:pStyle w:val="TableContents"/>
              <w:bidi w:val="0"/>
              <w:spacing w:before="0" w:after="283"/>
              <w:jc w:val="left"/>
              <w:rPr/>
            </w:pPr>
            <w:r>
              <w:rPr/>
              <w:t> </w:t>
            </w:r>
          </w:p>
        </w:tc>
      </w:tr>
      <w:tr>
        <w:trPr/>
        <w:tc>
          <w:tcPr>
            <w:tcW w:w="53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9"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Threshold</w:t>
              <w:br/>
              <w: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br/>
              <w: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w:t>
            </w:r>
          </w:p>
        </w:tc>
        <w:tc>
          <w:tcPr>
            <w:tcW w:w="68" w:type="dxa"/>
            <w:tcBorders/>
            <w:vAlign w:val="bottom"/>
          </w:tcPr>
          <w:p>
            <w:pPr>
              <w:pStyle w:val="TableContents"/>
              <w:bidi w:val="0"/>
              <w:spacing w:before="0" w:after="283"/>
              <w:jc w:val="left"/>
              <w:rPr/>
            </w:pPr>
            <w:r>
              <w:rPr/>
              <w:t> </w:t>
            </w:r>
          </w:p>
        </w:tc>
      </w:tr>
      <w:tr>
        <w:trPr/>
        <w:tc>
          <w:tcPr>
            <w:tcW w:w="5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3/11/2024</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375,000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750,000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1,500,000</w:t>
            </w:r>
          </w:p>
        </w:tc>
        <w:tc>
          <w:tcPr>
            <w:tcW w:w="68" w:type="dxa"/>
            <w:tcBorders/>
            <w:shd w:fill="CCEEFF" w:val="clear"/>
            <w:vAlign w:val="bottom"/>
          </w:tcPr>
          <w:p>
            <w:pPr>
              <w:pStyle w:val="TableContents"/>
              <w:bidi w:val="0"/>
              <w:spacing w:before="0" w:after="283"/>
              <w:jc w:val="left"/>
              <w:rPr/>
            </w:pPr>
            <w:r>
              <w:rPr/>
              <w:t> </w:t>
            </w:r>
          </w:p>
        </w:tc>
      </w:tr>
      <w:tr>
        <w:trPr/>
        <w:tc>
          <w:tcPr>
            <w:tcW w:w="5378"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3/11/2024</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400,000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800,000</w:t>
            </w:r>
          </w:p>
        </w:tc>
        <w:tc>
          <w:tcPr>
            <w:tcW w:w="68" w:type="dxa"/>
            <w:tcBorders/>
            <w:vAlign w:val="bottom"/>
          </w:tcPr>
          <w:p>
            <w:pPr>
              <w:pStyle w:val="TableContents"/>
              <w:bidi w:val="0"/>
              <w:spacing w:before="0" w:after="283"/>
              <w:jc w:val="left"/>
              <w:rPr/>
            </w:pPr>
            <w:r>
              <w:rPr/>
              <w:t> </w:t>
            </w:r>
          </w:p>
        </w:tc>
      </w:tr>
      <w:tr>
        <w:trPr/>
        <w:tc>
          <w:tcPr>
            <w:tcW w:w="5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3/11/2024</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800,000</w:t>
            </w:r>
          </w:p>
        </w:tc>
        <w:tc>
          <w:tcPr>
            <w:tcW w:w="68" w:type="dxa"/>
            <w:tcBorders/>
            <w:shd w:fill="CCEEFF" w:val="clear"/>
            <w:vAlign w:val="bottom"/>
          </w:tcPr>
          <w:p>
            <w:pPr>
              <w:pStyle w:val="TableContents"/>
              <w:bidi w:val="0"/>
              <w:spacing w:before="0" w:after="283"/>
              <w:jc w:val="left"/>
              <w:rPr/>
            </w:pPr>
            <w:r>
              <w:rPr/>
              <w:t> </w:t>
            </w:r>
          </w:p>
        </w:tc>
      </w:tr>
      <w:tr>
        <w:trPr/>
        <w:tc>
          <w:tcPr>
            <w:tcW w:w="5378"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3/11/2024</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400,000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800,000</w:t>
            </w:r>
          </w:p>
        </w:tc>
        <w:tc>
          <w:tcPr>
            <w:tcW w:w="68" w:type="dxa"/>
            <w:tcBorders/>
            <w:vAlign w:val="bottom"/>
          </w:tcPr>
          <w:p>
            <w:pPr>
              <w:pStyle w:val="TableContents"/>
              <w:bidi w:val="0"/>
              <w:spacing w:before="0" w:after="283"/>
              <w:jc w:val="left"/>
              <w:rPr/>
            </w:pPr>
            <w:r>
              <w:rPr/>
              <w:t> </w:t>
            </w:r>
          </w:p>
        </w:tc>
      </w:tr>
      <w:tr>
        <w:trPr/>
        <w:tc>
          <w:tcPr>
            <w:tcW w:w="5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3/11/2024</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800,000</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Fiscal 2024, each NEO was eligible to receive non-equity incentive plan compensation based on the achievement of objective Adjusted EBITDA and TRIR performance goals. The amount actually paid to each NEO in respect of Fiscal 2024 pursuant to these criteria is reflected in the “Summary Compensation Table” under the heading “Non-Equity Incentive Plan Compensation.”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Description to the Summary Compensation Table and the Grants of Plan-Based Awards Table for the 2024 Fiscal Year </w:t>
      </w:r>
    </w:p>
    <w:p>
      <w:pPr>
        <w:pStyle w:val="TextBody"/>
        <w:bidi w:val="0"/>
        <w:spacing w:before="120" w:after="0"/>
        <w:jc w:val="left"/>
        <w:rPr>
          <w:rFonts w:ascii="Times New Roman" w:hAnsi="Times New Roman"/>
          <w:b/>
          <w:i/>
          <w:sz w:val="20"/>
        </w:rPr>
      </w:pPr>
      <w:r>
        <w:rPr>
          <w:rFonts w:ascii="Times New Roman" w:hAnsi="Times New Roman"/>
          <w:b/>
          <w:i/>
          <w:sz w:val="20"/>
        </w:rPr>
        <w:t xml:space="preserve">Amended and Restated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each of our NEOs is a party to an EA that provides for such NEO’s initial annual base salary, target annual cash incentive compensation opportunity, certain severance benefits (as described in detail in the section titled “Potential Payments upon Termination or Change of Control”), entitlement to reimbursement of reasonable business expenses and eligibility to participate in our benefit plans generally. </w:t>
      </w:r>
    </w:p>
    <w:p>
      <w:pPr>
        <w:pStyle w:val="TextBody"/>
        <w:bidi w:val="0"/>
        <w:spacing w:before="240" w:after="0"/>
        <w:jc w:val="left"/>
        <w:rPr>
          <w:rFonts w:ascii="Times New Roman" w:hAnsi="Times New Roman"/>
          <w:sz w:val="20"/>
        </w:rPr>
      </w:pPr>
      <w:r>
        <w:rPr>
          <w:rFonts w:ascii="Times New Roman" w:hAnsi="Times New Roman"/>
          <w:sz w:val="20"/>
        </w:rPr>
        <w:t xml:space="preserve">At the end of Fiscal 2024, Mr. Hornbeck’s annualized base salary was $750,000, and each of the other NEOs had an annualized base salary of $400,000, and each of the NEOs (including Mr. Hornbeck) had a target annual cash incentive compensation opportunity equal to 100% of his annualized base salary. As previously noted, 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EAs subject the NEOs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the NEO receiving a greater amount (on an after-tax basis) than the NEO would receive absent such reduction.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2024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on the stock option and stock award holdings of our NEOs as of the end of Fiscal 2024. This table includes unexercised stock options and unvested RSUs and PSUs. The vesting dates for each award are shown in the accompanying footnotes. The market value of the stock awards was determined using a price per share of $65.67, which is the fair market value of a share of our common stock as of December 31, 2024 and the price used for the tender offer in December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3"/>
        <w:gridCol w:w="60"/>
        <w:gridCol w:w="99"/>
        <w:gridCol w:w="1331"/>
        <w:gridCol w:w="60"/>
        <w:gridCol w:w="60"/>
        <w:gridCol w:w="84"/>
        <w:gridCol w:w="791"/>
        <w:gridCol w:w="60"/>
        <w:gridCol w:w="60"/>
        <w:gridCol w:w="119"/>
        <w:gridCol w:w="996"/>
        <w:gridCol w:w="60"/>
        <w:gridCol w:w="60"/>
        <w:gridCol w:w="84"/>
        <w:gridCol w:w="1060"/>
        <w:gridCol w:w="350"/>
        <w:gridCol w:w="60"/>
        <w:gridCol w:w="66"/>
        <w:gridCol w:w="1079"/>
        <w:gridCol w:w="60"/>
        <w:gridCol w:w="60"/>
        <w:gridCol w:w="92"/>
        <w:gridCol w:w="1053"/>
        <w:gridCol w:w="350"/>
        <w:gridCol w:w="60"/>
        <w:gridCol w:w="63"/>
        <w:gridCol w:w="1037"/>
        <w:gridCol w:w="68"/>
      </w:tblGrid>
      <w:tr>
        <w:trPr/>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8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8" w:type="dxa"/>
            <w:tcBorders/>
            <w:vAlign w:val="bottom"/>
          </w:tcPr>
          <w:p>
            <w:pPr>
              <w:pStyle w:val="TableContents"/>
              <w:bidi w:val="0"/>
              <w:spacing w:before="0" w:after="283"/>
              <w:jc w:val="left"/>
              <w:rPr/>
            </w:pPr>
            <w:r>
              <w:rPr/>
              <w:t> </w:t>
            </w:r>
          </w:p>
        </w:tc>
      </w:tr>
      <w:tr>
        <w:trPr/>
        <w:tc>
          <w:tcPr>
            <w:tcW w:w="8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 Awards:</w:t>
              <w:br/>
              <w:t>Number of</w:t>
              <w:br/>
              <w:t>Securities</w:t>
              <w:br/>
              <w:t>Underlying</w:t>
              <w:br/>
              <w:t>Unexercised</w:t>
              <w:br/>
              <w:t>Unearned</w:t>
              <w:br/>
              <w:t>Options</w:t>
              <w:b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Unearned</w:t>
              <w:br/>
              <w:t>Shares,</w:t>
              <w:br/>
              <w:t>Units or</w:t>
              <w:br/>
              <w:t>Other</w:t>
              <w:br/>
              <w:t>Rights</w:t>
              <w:br/>
              <w:t>That Have</w:t>
              <w:br/>
              <w:t>Not Vested</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or</w:t>
              <w:br/>
              <w:t>Payout</w:t>
              <w:br/>
              <w:t>Value of</w:t>
              <w:br/>
              <w:t>Unearned</w:t>
              <w:br/>
              <w:t>Shares,</w:t>
              <w:br/>
              <w:t>Units or</w:t>
              <w:br/>
              <w:t>Other</w:t>
              <w:br/>
              <w:t>Rights</w:t>
              <w:br/>
              <w:t>That Have</w:t>
              <w:br/>
              <w:t>Not Vested</w:t>
              <w:b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w:t>
              <w:br/>
              <w:t>Awards:</w:t>
              <w:br/>
              <w:t>Number of</w:t>
              <w:br/>
              <w:t>Unearned</w:t>
              <w:br/>
              <w:t>Shares,</w:t>
              <w:br/>
              <w:t>Units or</w:t>
              <w:br/>
              <w:t>Other</w:t>
              <w:br/>
              <w:t>Rights</w:t>
              <w:br/>
              <w:t>That Have</w:t>
              <w:br/>
              <w:t>Not Vested</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w:t>
              <w:br/>
              <w:t>Awards:</w:t>
              <w:br/>
              <w:t>Market or</w:t>
              <w:br/>
              <w:t>Payout</w:t>
              <w:br/>
              <w:t>Value of</w:t>
              <w:br/>
              <w:t>Unearned</w:t>
              <w:br/>
              <w:t>Shares,</w:t>
              <w:br/>
              <w:t>Units or</w:t>
              <w:br/>
              <w:t>Other</w:t>
              <w:br/>
              <w:t>Rights</w:t>
              <w:br/>
              <w:t>That Have</w:t>
              <w:br/>
              <w:t>Not Vested</w:t>
              <w:br/>
              <w:t>($)(4)</w:t>
            </w:r>
          </w:p>
        </w:tc>
        <w:tc>
          <w:tcPr>
            <w:tcW w:w="68" w:type="dxa"/>
            <w:tcBorders/>
            <w:vAlign w:val="bottom"/>
          </w:tcPr>
          <w:p>
            <w:pPr>
              <w:pStyle w:val="TableContents"/>
              <w:bidi w:val="0"/>
              <w:spacing w:before="0" w:after="283"/>
              <w:jc w:val="left"/>
              <w:rPr/>
            </w:pPr>
            <w:r>
              <w:rPr/>
              <w:t> </w:t>
            </w:r>
          </w:p>
        </w:tc>
      </w:tr>
      <w:tr>
        <w:trPr/>
        <w:tc>
          <w:tcPr>
            <w:tcW w:w="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117,362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9/4/2030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82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31,207</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2,049,364</w:t>
            </w:r>
          </w:p>
        </w:tc>
        <w:tc>
          <w:tcPr>
            <w:tcW w:w="68" w:type="dxa"/>
            <w:tcBorders/>
            <w:shd w:fill="CCEEFF" w:val="clear"/>
            <w:vAlign w:val="bottom"/>
          </w:tcPr>
          <w:p>
            <w:pPr>
              <w:pStyle w:val="TableContents"/>
              <w:bidi w:val="0"/>
              <w:spacing w:before="0" w:after="283"/>
              <w:jc w:val="left"/>
              <w:rPr/>
            </w:pPr>
            <w:r>
              <w:rPr/>
              <w:t> </w:t>
            </w:r>
          </w:p>
        </w:tc>
      </w:tr>
      <w:tr>
        <w:trPr/>
        <w:tc>
          <w:tcPr>
            <w:tcW w:w="82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36,077(3)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2,369,177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823"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48,900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8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13,003</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853,907</w:t>
            </w:r>
          </w:p>
        </w:tc>
        <w:tc>
          <w:tcPr>
            <w:tcW w:w="68" w:type="dxa"/>
            <w:tcBorders/>
            <w:vAlign w:val="bottom"/>
          </w:tcPr>
          <w:p>
            <w:pPr>
              <w:pStyle w:val="TableContents"/>
              <w:bidi w:val="0"/>
              <w:spacing w:before="0" w:after="283"/>
              <w:jc w:val="left"/>
              <w:rPr/>
            </w:pPr>
            <w:r>
              <w:rPr/>
              <w:t> </w:t>
            </w:r>
          </w:p>
        </w:tc>
      </w:tr>
      <w:tr>
        <w:trPr/>
        <w:tc>
          <w:tcPr>
            <w:tcW w:w="8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15,034</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987,283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48,900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9/4/2030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82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13,003</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853,907</w:t>
            </w:r>
          </w:p>
        </w:tc>
        <w:tc>
          <w:tcPr>
            <w:tcW w:w="68" w:type="dxa"/>
            <w:tcBorders/>
            <w:shd w:fill="CCEEFF" w:val="clear"/>
            <w:vAlign w:val="bottom"/>
          </w:tcPr>
          <w:p>
            <w:pPr>
              <w:pStyle w:val="TableContents"/>
              <w:bidi w:val="0"/>
              <w:spacing w:before="0" w:after="283"/>
              <w:jc w:val="left"/>
              <w:rPr/>
            </w:pPr>
            <w:r>
              <w:rPr/>
              <w:t> </w:t>
            </w:r>
          </w:p>
        </w:tc>
      </w:tr>
      <w:tr>
        <w:trPr/>
        <w:tc>
          <w:tcPr>
            <w:tcW w:w="82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15,034</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987,283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823"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48,900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8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13,003</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853,907</w:t>
            </w:r>
          </w:p>
        </w:tc>
        <w:tc>
          <w:tcPr>
            <w:tcW w:w="68" w:type="dxa"/>
            <w:tcBorders/>
            <w:vAlign w:val="bottom"/>
          </w:tcPr>
          <w:p>
            <w:pPr>
              <w:pStyle w:val="TableContents"/>
              <w:bidi w:val="0"/>
              <w:spacing w:before="0" w:after="283"/>
              <w:jc w:val="left"/>
              <w:rPr/>
            </w:pPr>
            <w:r>
              <w:rPr/>
              <w:t> </w:t>
            </w:r>
          </w:p>
        </w:tc>
      </w:tr>
      <w:tr>
        <w:trPr/>
        <w:tc>
          <w:tcPr>
            <w:tcW w:w="8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15,033</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987,217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48,900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9/4/2030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82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13,003</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853,907</w:t>
            </w:r>
          </w:p>
        </w:tc>
        <w:tc>
          <w:tcPr>
            <w:tcW w:w="68" w:type="dxa"/>
            <w:tcBorders/>
            <w:shd w:fill="CCEEFF" w:val="clear"/>
            <w:vAlign w:val="bottom"/>
          </w:tcPr>
          <w:p>
            <w:pPr>
              <w:pStyle w:val="TableContents"/>
              <w:bidi w:val="0"/>
              <w:spacing w:before="0" w:after="283"/>
              <w:jc w:val="left"/>
              <w:rPr/>
            </w:pPr>
            <w:r>
              <w:rPr/>
              <w:t> </w:t>
            </w:r>
          </w:p>
        </w:tc>
      </w:tr>
      <w:tr>
        <w:trPr/>
        <w:tc>
          <w:tcPr>
            <w:tcW w:w="82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15,034</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987,283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September 4, 2020, each of our NEOs received an award of stock options that is comprised of three equal tranches, with each tranche subject to both time-vesting and performance-vesting conditions. The stock options time-vested ratably on each of the first three anniversaries of June 19, 2020, subject to the NEO’s continued employment through the applicable vesting date. The stock options performance-vest based on the achievement of specified total enterprise value (“TEV”) levels, such that the NEO will only performance-vest if and when (i) a “change of control” (as defined in the 2020 Management Incentive Plan), an initial public offering or September 4, 2027 occurs and (ii) the implied TEV as of such time equals or exceeds the specified TEV threshold for such tranche.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9, 2022, each of our NEOs received an award of PSUs subject to both time-based and performance-based vesting conditions. The PSUs performance-vest based on the achievement of specified TEV levels, such that the NEO will only performance-vest if and when (i) a “change of control” (as defined in the 2020 Management Incentive Plan), an initial public offering or September 4, 2027 occurs, subject to the NEO’s continued service until such date, and (ii) the implied TEV as of such time equals or exceeds the specified TEV threshold for such tranche.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March 23, 2023, each of our NEOs received an award of RSUs, all of which are subject to time-based vesting conditions only. The first one-half of the award vested and became settleable immediately on the grant date. The remainder of the award vested and became settleable (or will vest and become settleable, as applicable) in three equal tranches on February 15th of each of 2024, 2025 and 2026,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by multiplying (i) the number of shares of our common stock underlying the unvested portion of the RSU or PSU award, as applicable, by (ii) $65.67, which is the fair market value of a share of our common stock as of December 31, 2024 and the price used for the tender offer in December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Option Exercises and Stock Vested in the 2024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on an aggregate basis, about our NEOs’ stock awards that vested during Fiscal 2024. None of our NEOs exercised stock options in Fiscal 2024.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1979"/>
        <w:gridCol w:w="232"/>
        <w:gridCol w:w="135"/>
        <w:gridCol w:w="1279"/>
        <w:gridCol w:w="60"/>
        <w:gridCol w:w="232"/>
        <w:gridCol w:w="108"/>
        <w:gridCol w:w="1462"/>
        <w:gridCol w:w="60"/>
        <w:gridCol w:w="232"/>
        <w:gridCol w:w="105"/>
        <w:gridCol w:w="1225"/>
        <w:gridCol w:w="60"/>
        <w:gridCol w:w="232"/>
        <w:gridCol w:w="69"/>
        <w:gridCol w:w="1139"/>
        <w:gridCol w:w="65"/>
      </w:tblGrid>
      <w:tr>
        <w:trPr/>
        <w:tc>
          <w:tcPr>
            <w:tcW w:w="1979"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97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2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5" w:type="dxa"/>
            <w:tcBorders/>
            <w:vAlign w:val="bottom"/>
          </w:tcPr>
          <w:p>
            <w:pPr>
              <w:pStyle w:val="TableContents"/>
              <w:bidi w:val="0"/>
              <w:spacing w:before="0" w:after="283"/>
              <w:jc w:val="left"/>
              <w:rPr/>
            </w:pPr>
            <w:r>
              <w:rPr/>
              <w:t> </w:t>
            </w:r>
          </w:p>
        </w:tc>
      </w:tr>
      <w:tr>
        <w:trPr/>
        <w:tc>
          <w:tcPr>
            <w:tcW w:w="19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32" w:type="dxa"/>
            <w:tcBorders/>
            <w:vAlign w:val="bottom"/>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Acquired on</w:t>
              <w:br/>
              <w:t>Exercise (#)(1)</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Realized</w:t>
              <w:br/>
              <w:t>on Exercise</w:t>
              <w:br/>
              <w:t xml:space="preserve">($)(1)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Acquired on</w:t>
              <w:br/>
              <w:t>Vesting (#)(1)</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Realized on</w:t>
              <w:br/>
              <w:t>Vesting</w:t>
              <w:br/>
              <w:t>($)(2)</w:t>
            </w:r>
          </w:p>
        </w:tc>
        <w:tc>
          <w:tcPr>
            <w:tcW w:w="65" w:type="dxa"/>
            <w:tcBorders/>
            <w:vAlign w:val="bottom"/>
          </w:tcPr>
          <w:p>
            <w:pPr>
              <w:pStyle w:val="TableContents"/>
              <w:bidi w:val="0"/>
              <w:spacing w:before="0" w:after="283"/>
              <w:jc w:val="left"/>
              <w:rPr/>
            </w:pPr>
            <w:r>
              <w:rPr/>
              <w:t> </w:t>
            </w:r>
          </w:p>
        </w:tc>
      </w:tr>
      <w:tr>
        <w:trPr/>
        <w:tc>
          <w:tcPr>
            <w:tcW w:w="1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23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8,026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446,807</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60,397</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3,836,692</w:t>
            </w:r>
          </w:p>
        </w:tc>
        <w:tc>
          <w:tcPr>
            <w:tcW w:w="65" w:type="dxa"/>
            <w:tcBorders/>
            <w:shd w:fill="CCEEFF" w:val="clear"/>
            <w:vAlign w:val="bottom"/>
          </w:tcPr>
          <w:p>
            <w:pPr>
              <w:pStyle w:val="TableContents"/>
              <w:bidi w:val="0"/>
              <w:spacing w:before="0" w:after="283"/>
              <w:jc w:val="left"/>
              <w:rPr/>
            </w:pPr>
            <w:r>
              <w:rPr/>
              <w:t> </w:t>
            </w:r>
          </w:p>
        </w:tc>
      </w:tr>
      <w:tr>
        <w:trPr/>
        <w:tc>
          <w:tcPr>
            <w:tcW w:w="1979"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23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3,345</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186,216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25,164</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1,598,531</w:t>
            </w:r>
          </w:p>
        </w:tc>
        <w:tc>
          <w:tcPr>
            <w:tcW w:w="65" w:type="dxa"/>
            <w:tcBorders/>
            <w:vAlign w:val="bottom"/>
          </w:tcPr>
          <w:p>
            <w:pPr>
              <w:pStyle w:val="TableContents"/>
              <w:bidi w:val="0"/>
              <w:spacing w:before="0" w:after="283"/>
              <w:jc w:val="left"/>
              <w:rPr/>
            </w:pPr>
            <w:r>
              <w:rPr/>
              <w:t> </w:t>
            </w:r>
          </w:p>
        </w:tc>
      </w:tr>
      <w:tr>
        <w:trPr/>
        <w:tc>
          <w:tcPr>
            <w:tcW w:w="1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23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3,345</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186,216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25,164</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1,598,531</w:t>
            </w:r>
          </w:p>
        </w:tc>
        <w:tc>
          <w:tcPr>
            <w:tcW w:w="65" w:type="dxa"/>
            <w:tcBorders/>
            <w:shd w:fill="CCEEFF" w:val="clear"/>
            <w:vAlign w:val="bottom"/>
          </w:tcPr>
          <w:p>
            <w:pPr>
              <w:pStyle w:val="TableContents"/>
              <w:bidi w:val="0"/>
              <w:spacing w:before="0" w:after="283"/>
              <w:jc w:val="left"/>
              <w:rPr/>
            </w:pPr>
            <w:r>
              <w:rPr/>
              <w:t> </w:t>
            </w:r>
          </w:p>
        </w:tc>
      </w:tr>
      <w:tr>
        <w:trPr/>
        <w:tc>
          <w:tcPr>
            <w:tcW w:w="1979"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23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3,345</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186,216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25,164</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1,598,531</w:t>
            </w:r>
          </w:p>
        </w:tc>
        <w:tc>
          <w:tcPr>
            <w:tcW w:w="65" w:type="dxa"/>
            <w:tcBorders/>
            <w:vAlign w:val="bottom"/>
          </w:tcPr>
          <w:p>
            <w:pPr>
              <w:pStyle w:val="TableContents"/>
              <w:bidi w:val="0"/>
              <w:spacing w:before="0" w:after="283"/>
              <w:jc w:val="left"/>
              <w:rPr/>
            </w:pPr>
            <w:r>
              <w:rPr/>
              <w:t> </w:t>
            </w:r>
          </w:p>
        </w:tc>
      </w:tr>
      <w:tr>
        <w:trPr/>
        <w:tc>
          <w:tcPr>
            <w:tcW w:w="1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23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3,345</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186,216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25,164</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1,598,531</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the number of stock options that were granted to each NEO on September 4, 2020, for which vesting was accelerated and the underlying shares cashed out in connection with the MIP buyback.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vesting was calculated by multiplying the number of options that vested in connection with the MIP buyback by $55.67, which represents the excess of the price at which shares underlying the vested options were cashed out in connection with the MIP buyback, which is $65.67, over the exercise price of the stock options, which is $10.00.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(i) RSUs that were granted to each NEO on March 23, 2023, of which 16.67% vested and became settleable on February 15, 2024, (ii) RSUs that were granted to each NEO on June 9, 2022, of which 33.33% vested became settleable on February 15, 2024 and (iii) the portion of RSUs that were granted to each NEO on March 23, 2023 and the portion of RSUs and PSUs that were granted to each NEO on June 9, 2022, for which vesting was accelerated and the underlying shares cashed out in connection with the MIP buyback.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vesting was calculated by multiplying (i) the number of RSUs that vested in February 2024 by the fair market value of a share of our common stock as of March 31, 2024 (i.e., $62.22) and (ii) the number of RSUs and PSUs that vested in connection with the MIP buyback by $65.67, which was the price at which shares underlying the vested RSUs and PSUs were cashed out in connection with the MIP buyback.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on an aggregate basis, about our NEOs’ vested RSUs for which settlement was deferred during Fiscal 2023, Fiscal 2022 and Fiscal 2021.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61"/>
        <w:gridCol w:w="412"/>
        <w:gridCol w:w="143"/>
        <w:gridCol w:w="1360"/>
        <w:gridCol w:w="63"/>
      </w:tblGrid>
      <w:tr>
        <w:trPr/>
        <w:tc>
          <w:tcPr>
            <w:tcW w:w="4961"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12"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Balance at</w:t>
              <w:br/>
              <w:t>Last FYE(1)</w:t>
              <w:br/>
              <w:t>($)</w:t>
            </w:r>
          </w:p>
        </w:tc>
        <w:tc>
          <w:tcPr>
            <w:tcW w:w="63" w:type="dxa"/>
            <w:tcBorders/>
            <w:vAlign w:val="bottom"/>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4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360" w:type="dxa"/>
            <w:tcBorders/>
            <w:shd w:fill="CCEEFF" w:val="clear"/>
            <w:vAlign w:val="bottom"/>
          </w:tcPr>
          <w:p>
            <w:pPr>
              <w:pStyle w:val="TableContents"/>
              <w:bidi w:val="0"/>
              <w:spacing w:before="0" w:after="283"/>
              <w:jc w:val="right"/>
              <w:rPr/>
            </w:pPr>
            <w:r>
              <w:rPr/>
              <w:t>13,934,846</w:t>
            </w:r>
          </w:p>
        </w:tc>
        <w:tc>
          <w:tcPr>
            <w:tcW w:w="63" w:type="dxa"/>
            <w:tcBorders/>
            <w:shd w:fill="CCEEFF" w:val="clear"/>
            <w:vAlign w:val="bottom"/>
          </w:tcPr>
          <w:p>
            <w:pPr>
              <w:pStyle w:val="TableContents"/>
              <w:bidi w:val="0"/>
              <w:spacing w:before="0" w:after="283"/>
              <w:jc w:val="left"/>
              <w:rPr/>
            </w:pPr>
            <w:r>
              <w:rPr/>
              <w:t> </w:t>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4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5,806,213</w:t>
            </w:r>
          </w:p>
        </w:tc>
        <w:tc>
          <w:tcPr>
            <w:tcW w:w="63" w:type="dxa"/>
            <w:tcBorders/>
            <w:vAlign w:val="bottom"/>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4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360" w:type="dxa"/>
            <w:tcBorders/>
            <w:shd w:fill="CCEEFF" w:val="clear"/>
            <w:vAlign w:val="bottom"/>
          </w:tcPr>
          <w:p>
            <w:pPr>
              <w:pStyle w:val="TableContents"/>
              <w:bidi w:val="0"/>
              <w:spacing w:before="0" w:after="283"/>
              <w:jc w:val="right"/>
              <w:rPr/>
            </w:pPr>
            <w:r>
              <w:rPr/>
              <w:t>5,806,213</w:t>
            </w:r>
          </w:p>
        </w:tc>
        <w:tc>
          <w:tcPr>
            <w:tcW w:w="63" w:type="dxa"/>
            <w:tcBorders/>
            <w:shd w:fill="CCEEFF" w:val="clear"/>
            <w:vAlign w:val="bottom"/>
          </w:tcPr>
          <w:p>
            <w:pPr>
              <w:pStyle w:val="TableContents"/>
              <w:bidi w:val="0"/>
              <w:spacing w:before="0" w:after="283"/>
              <w:jc w:val="left"/>
              <w:rPr/>
            </w:pPr>
            <w:r>
              <w:rPr/>
              <w:t> </w:t>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4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5,806,213</w:t>
            </w:r>
          </w:p>
        </w:tc>
        <w:tc>
          <w:tcPr>
            <w:tcW w:w="63" w:type="dxa"/>
            <w:tcBorders/>
            <w:vAlign w:val="bottom"/>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4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360" w:type="dxa"/>
            <w:tcBorders/>
            <w:shd w:fill="CCEEFF" w:val="clear"/>
            <w:vAlign w:val="bottom"/>
          </w:tcPr>
          <w:p>
            <w:pPr>
              <w:pStyle w:val="TableContents"/>
              <w:bidi w:val="0"/>
              <w:spacing w:before="0" w:after="283"/>
              <w:jc w:val="right"/>
              <w:rPr/>
            </w:pPr>
            <w:r>
              <w:rPr/>
              <w:t>5,806,213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balance was calculated by multiplying (i) the aggregate number of RSUs that vested and was deferred during Fiscal 2023, Fiscal 2022 and Fiscal 2021, by (ii) $65.67, which is the fair market value of a share of our common stock as of December 31, 2024 and the price used for the tender offer in December 2024. None of these RSUs will be settled until the earlier to occur of a “change of control” and September 4, 2027. Upon such settlement, amounts in this column will reflect any dividend equivalents that were previously accrued during the prior periods and be net of any vested RSUs that are used to satisfy any tax withholding obligations.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In this section, we describe payments and benefits that may be made to our NEOs upon the occurrence of certain terminations of employment and/or a change of control, assuming that such event occurred on the last day of Fiscal 2024. We note that this offering would not result in any payments or benefits to our NEOs or acceleration of equity awards to our NEOs, but upon this offering, the performance vesting of the outstanding performance-based stock options and PSUs held by our NEOs will be measured based on our achievement of certain TEV levels.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upon Termination of Employment due to Death or Disability </w:t>
      </w:r>
    </w:p>
    <w:p>
      <w:pPr>
        <w:pStyle w:val="TextBody"/>
        <w:bidi w:val="0"/>
        <w:spacing w:before="120" w:after="0"/>
        <w:jc w:val="left"/>
        <w:rPr>
          <w:rFonts w:ascii="Times New Roman" w:hAnsi="Times New Roman"/>
          <w:sz w:val="20"/>
        </w:rPr>
      </w:pPr>
      <w:r>
        <w:rPr>
          <w:rFonts w:ascii="Times New Roman" w:hAnsi="Times New Roman"/>
          <w:sz w:val="20"/>
        </w:rPr>
        <w:t xml:space="preserve">The EAs provide that upon a termination of the NEO’s employment due to the NEO’s death or “disability” (as defined therein), the NEO will receive the following severance benefits: (i) a pro-rata annual bonus, based on actual performance for the year in which the termination occurs, and (ii) reimbursement for the employer portion of the NEO’s COBRA premiums for 12 months. </w:t>
      </w:r>
    </w:p>
    <w:p>
      <w:pPr>
        <w:pStyle w:val="TextBody"/>
        <w:bidi w:val="0"/>
        <w:spacing w:before="240" w:after="0"/>
        <w:jc w:val="left"/>
        <w:rPr>
          <w:rFonts w:ascii="Times New Roman" w:hAnsi="Times New Roman"/>
          <w:sz w:val="20"/>
        </w:rPr>
      </w:pPr>
      <w:r>
        <w:rPr>
          <w:rFonts w:ascii="Times New Roman" w:hAnsi="Times New Roman"/>
          <w:sz w:val="20"/>
        </w:rPr>
        <w:t xml:space="preserve">Each NEO’s outstanding stock options that have time-vested as of such NEO’s termination due to death or “disability” will remain outstanding and eligible to performance-vest to the extent the applicable performance conditions are actually achieved.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upon a Termination of Employment without Cause or for Good Reason </w:t>
      </w:r>
    </w:p>
    <w:p>
      <w:pPr>
        <w:pStyle w:val="TextBody"/>
        <w:bidi w:val="0"/>
        <w:spacing w:before="120" w:after="0"/>
        <w:jc w:val="left"/>
        <w:rPr>
          <w:rFonts w:ascii="Times New Roman" w:hAnsi="Times New Roman"/>
          <w:sz w:val="20"/>
        </w:rPr>
      </w:pPr>
      <w:r>
        <w:rPr>
          <w:rFonts w:ascii="Times New Roman" w:hAnsi="Times New Roman"/>
          <w:sz w:val="20"/>
        </w:rPr>
        <w:t xml:space="preserve">The EAs provide that upon a termination of the NEO’s employment by the Company without “cause” (including due to the Company’s non-renewal of the employment term) or by the NEO for “good reason” (each as defined therein and summarized below, and each such termination, a “Qualifying Termination”), subject to the NEO’s execution and non-revocation of a release of claims in favor of the Company, the NEO will receive the following severance benefits (the “Severance Benefits”): (i) 2 times (or, for Mr. Hornbeck only, 2.5 times) the sum of the NEO’s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30 months, provided that such amount shall still be payable over the 24-month period following termination); provided, that, if the Qualifying Termination occurs within the 2-year period following (or within the 6-month period preceding) a “change of control,” then the (x) Severance Benefits will be payable in a lump sum to the NEO on or about the 60th day following such “change of control” and (y) Pro-Rata Annual Bonus will be determined based on deemed achievement of target performance for the fiscal year in which the termination occurs regardless of when the termination occurs during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Additionally, upon a Qualifying Termination, each NEO will (i) vest in the tranche of RSUs next scheduled to vest following such Qualifying Termination, if any; (ii) time-vest in the tranche of stock options next scheduled to time-vest following such Qualifying Termination, if any; and (iii) be entitled to, with respect to any stock options that have time-vested as of the Qualifying Termination date (after accounting for the acceleration set forth in clause (ii)), have such time-vested stock options remain outstanding and eligible to performance-vest to the extent the applicable performance conditions are actually achieved. </w:t>
      </w:r>
    </w:p>
    <w:p>
      <w:pPr>
        <w:pStyle w:val="TextBody"/>
        <w:bidi w:val="0"/>
        <w:spacing w:before="240" w:after="0"/>
        <w:jc w:val="left"/>
        <w:rPr>
          <w:rFonts w:ascii="Times New Roman" w:hAnsi="Times New Roman"/>
          <w:sz w:val="20"/>
        </w:rPr>
      </w:pPr>
      <w:r>
        <w:rPr>
          <w:rFonts w:ascii="Times New Roman" w:hAnsi="Times New Roman"/>
          <w:sz w:val="20"/>
        </w:rPr>
        <w:t xml:space="preserve">The EAs define “cause” as any of the NEO’s: (i) conviction of either (A) a felony involving moral turpitude or (B) any crime in connection with the NEO’s employment that causes the Company and each of its subsidiaries and affiliates (collectively, the “Company Group”) a substantial detriment (in each case, excluding traffic offenses); (ii) actions or inactions that clearly are contrary to the best interests of the Company Group and the express directives of our Board of Directors; provided, that, such actions or inactions by the NEO cause the Company Group a substantial detriment or could reasonably be expected to cause a substantial detriment to the Company Group as determined by the Board of Directors in good faith; (iii) willful failure to take actions permitted by law and necessary to implement policies of our Board of Directors that our Board of Directors has communicated to the NEO in writing; provided, that, such policies that are reflected in minutes of our Board of Directors meeting attended in its entirety by the NEO shall be deemed communicated to the NEO to the extent the NEO received a copy of such minutes from the secretary or the general counsel of the Company promptly following approval by our Board of Directors; (iv) continued failure to attend to the NEO’s material duties as an executive officer of the Company Group following the NEO’s receipt of written notice from our Board of Directors of such failure; provided, that, such failure by the NEO causes the Company Group a substantial detriment or could reasonably be expected to cause a substantial detriment to the Company Group as determined by our Board of Directors in good faith; (v) commission of an act of fraud or material act of dishonesty or misappropriation involving the Company Group; (vi) willful violation of law or gross negligence that is substantially detrimental to the Company; (vii) material breach or material violation of the EA or any other written agreement with a member of the Company Group, or any material violation of any written policy of the Company Group; provided, that, such material breach or material violation by the NEO causes the Company Group a substantial detriment or could reasonably be expected to cause a substantial detriment to the Company Group as determined by the Board of Directors in good faith; or (viii) habitual use of illicit drugs or habitual abuse of alcohol that, in the reasonable good faith opinion of our Board of Directors, renders the NEO unfit to serve as an officer of the Company Group. If any determination of habitual use or substantial dependence under clause (viii) is disputed by the NEO, the Company and the NEO agree to abide by the decision of a panel of 3 physicians appointed in the manner specified in the applicable EA. For purposes of this “cause” definition, no action or inaction will be considered “willful” or constitute “gross negligence,” if the NEO had a reasonable, good faith belief that such action or inaction was in the best interests of the Company Group. Anything in the EA to the contrary notwithstanding, the NEO shall not be terminated for “cause” under the EA, unless (A) written notice stating the basis for the termination is provided to the NEO, and (B) with the exception of the NEO’s conviction of either a felony involving moral turpitude or any crime in connection with the NEO’s employment that causes the Company Group a substantial detriment (in each case, excluding traffic offenses), the NEO is given 10 business days to cure the neglect or conduct that is the basis of such claim, to the extent curable. </w:t>
      </w:r>
    </w:p>
    <w:p>
      <w:pPr>
        <w:pStyle w:val="TextBody"/>
        <w:bidi w:val="0"/>
        <w:spacing w:before="240" w:after="0"/>
        <w:jc w:val="left"/>
        <w:rPr>
          <w:rFonts w:ascii="Times New Roman" w:hAnsi="Times New Roman"/>
          <w:sz w:val="20"/>
        </w:rPr>
      </w:pPr>
      <w:r>
        <w:rPr>
          <w:rFonts w:ascii="Times New Roman" w:hAnsi="Times New Roman"/>
          <w:sz w:val="20"/>
        </w:rPr>
        <w:t xml:space="preserve">The EAs define “good reason” as, unless otherwise agreed to in writing by the NEO, (i) any material diminution in the NEO’s titles, duties, responsibilities, status or authorities with the Company or any of its material operating subsidiaries; (ii) a material reduction in the NEO’s base salary or target bonus; (iii) a relocation of the NEO’s primary place of employment to a location more than 35 miles farther from the NEO’s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primary residence than the current location of the Company’s offices in Louisiana as of June 19, 2020; or (iv) a material breach by the Company of the EA or any other agreement between the Company and the NEO. In order to invoke a termination for “good reason,” (A) the NEO must provide written notice within 45 days of the NEO becoming aware of the occurrence of any event of “good reason”; (B) the Company must fail to cure such event within 30 days of the giving of such notice; and (C) the NEO must terminate employment within 45 days following the expiration of the Company’s cure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upon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Upon a “change of control,” (i) 100% of the NEO’s then-unvested RSUs will accelerate and vest; (ii) the time-vesting condition of the NEO’s then-unvested stock options will be deemed fully satisfied; and (iii) the NEO’s then-unvested PSUs will vest only if the applicable performance hurdles are achieved in connection with such change of control. Upon a “Qualifying Termination” (as described above) in connection with a change of control, each NEO shall be entitled to the Severance Benefits described above in the section titled “—Payments upon a Termination of Employment without Cause or for Good Reason,” except that the NEO shall be entitled to the Pro-Rata Annual Bonus regardless if such termination occurs prior to the midpoint of the fiscal year and shall be based on target performance and all amounts shall be paid in a lump sum.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table sets forth the estimated payments and benefits payable upon the occurrence of the events described in this section. In estimating the value of such payments, the table assumes that (i) the NEO’s employment was terminated and/or a “change of control” occurred, in each case on December 31, 2024; (ii) each NEO’s compensation rates were the same as in effect on December 31, 2024; and (iii) the market value of the stock awards is based on $65.67, which is the fair market value of a share of our common stock as of December 31, 2024 and the price used for the tender offer in December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65"/>
        <w:gridCol w:w="142"/>
        <w:gridCol w:w="2608"/>
        <w:gridCol w:w="60"/>
        <w:gridCol w:w="74"/>
        <w:gridCol w:w="1223"/>
        <w:gridCol w:w="142"/>
        <w:gridCol w:w="60"/>
        <w:gridCol w:w="74"/>
        <w:gridCol w:w="1223"/>
        <w:gridCol w:w="193"/>
        <w:gridCol w:w="60"/>
        <w:gridCol w:w="89"/>
        <w:gridCol w:w="1211"/>
        <w:gridCol w:w="193"/>
        <w:gridCol w:w="60"/>
        <w:gridCol w:w="62"/>
        <w:gridCol w:w="1167"/>
        <w:gridCol w:w="199"/>
      </w:tblGrid>
      <w:tr>
        <w:trPr/>
        <w:tc>
          <w:tcPr>
            <w:tcW w:w="136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r>
      <w:tr>
        <w:trPr/>
        <w:tc>
          <w:tcPr>
            <w:tcW w:w="13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Officer</w:t>
            </w:r>
          </w:p>
        </w:tc>
        <w:tc>
          <w:tcPr>
            <w:tcW w:w="142" w:type="dxa"/>
            <w:tcBorders/>
            <w:vAlign w:val="bottom"/>
          </w:tcPr>
          <w:p>
            <w:pPr>
              <w:pStyle w:val="TableContents"/>
              <w:bidi w:val="0"/>
              <w:spacing w:before="0" w:after="283"/>
              <w:jc w:val="left"/>
              <w:rPr/>
            </w:pPr>
            <w:r>
              <w:rPr/>
              <w:t> </w:t>
            </w:r>
          </w:p>
        </w:tc>
        <w:tc>
          <w:tcPr>
            <w:tcW w:w="26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 of Payment</w:t>
            </w:r>
          </w:p>
        </w:tc>
        <w:tc>
          <w:tcPr>
            <w:tcW w:w="60"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w:t>
              <w:br/>
              <w:t>Without</w:t>
              <w:br/>
              <w:t>Cause or</w:t>
              <w:br/>
              <w:t>for</w:t>
              <w:br/>
              <w:t>Good</w:t>
              <w:br/>
              <w:t>Reason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w:t>
              <w:br/>
              <w:t>Due to</w:t>
              <w:br/>
              <w:t>Death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w:t>
              <w:br/>
              <w:t>Due to</w:t>
              <w:br/>
              <w:t>Disability</w:t>
              <w:br/>
              <w:t>($)</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Occurrence</w:t>
              <w:br/>
              <w:t>of a Change</w:t>
              <w:br/>
              <w:t>of Control</w:t>
            </w:r>
          </w:p>
        </w:tc>
        <w:tc>
          <w:tcPr>
            <w:tcW w:w="199" w:type="dxa"/>
            <w:tcBorders/>
            <w:vAlign w:val="bottom"/>
          </w:tcPr>
          <w:p>
            <w:pPr>
              <w:pStyle w:val="TableContents"/>
              <w:bidi w:val="0"/>
              <w:spacing w:before="0" w:after="283"/>
              <w:jc w:val="left"/>
              <w:rPr/>
            </w:pPr>
            <w:r>
              <w:rPr/>
              <w:t> </w:t>
            </w:r>
          </w:p>
        </w:tc>
      </w:tr>
      <w:tr>
        <w:trPr/>
        <w:tc>
          <w:tcPr>
            <w:tcW w:w="1365" w:type="dxa"/>
            <w:vMerge w:val="restart"/>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Todd M. Hornbeck</w:t>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Cash Severance</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3,750,000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sz w:val="4"/>
                <w:szCs w:val="4"/>
              </w:rPr>
            </w:pPr>
            <w:r>
              <w:rPr>
                <w:sz w:val="4"/>
                <w:szCs w:val="4"/>
              </w:rPr>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 xml:space="preserve">Stock Award Vesting(2)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1,134,252</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10,952,083</w:t>
            </w:r>
          </w:p>
        </w:tc>
        <w:tc>
          <w:tcPr>
            <w:tcW w:w="199" w:type="dxa"/>
            <w:tcBorders/>
            <w:shd w:fill="CCEEFF" w:val="clear"/>
            <w:vAlign w:val="bottom"/>
          </w:tcPr>
          <w:p>
            <w:pPr>
              <w:pStyle w:val="TableContents"/>
              <w:bidi w:val="0"/>
              <w:spacing w:before="0" w:after="283"/>
              <w:jc w:val="left"/>
              <w:rPr/>
            </w:pPr>
            <w:r>
              <w:rPr/>
              <w:t> </w:t>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 xml:space="preserve">Pro-Rata Annual Bonus(1)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750,000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750,000</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750,000</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sz w:val="4"/>
                <w:szCs w:val="4"/>
              </w:rPr>
            </w:pPr>
            <w:r>
              <w:rPr>
                <w:sz w:val="4"/>
                <w:szCs w:val="4"/>
              </w:rPr>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Health and Welfare Benefits</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191,893</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344,453</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191,893</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sz w:val="4"/>
                <w:szCs w:val="4"/>
              </w:rPr>
            </w:pPr>
            <w:r>
              <w:rPr>
                <w:sz w:val="4"/>
                <w:szCs w:val="4"/>
              </w:rPr>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Total</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5,826,145</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1,094,453</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941,893</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10,952,083</w:t>
            </w:r>
          </w:p>
        </w:tc>
        <w:tc>
          <w:tcPr>
            <w:tcW w:w="199" w:type="dxa"/>
            <w:tcBorders/>
            <w:shd w:fill="CCEEFF" w:val="clear"/>
            <w:vAlign w:val="bottom"/>
          </w:tcPr>
          <w:p>
            <w:pPr>
              <w:pStyle w:val="TableContents"/>
              <w:bidi w:val="0"/>
              <w:spacing w:before="0" w:after="283"/>
              <w:jc w:val="left"/>
              <w:rPr/>
            </w:pPr>
            <w:r>
              <w:rPr/>
              <w:t> </w:t>
            </w:r>
          </w:p>
        </w:tc>
      </w:tr>
      <w:tr>
        <w:trPr>
          <w:trHeight w:val="120" w:hRule="atLeast"/>
        </w:trPr>
        <w:tc>
          <w:tcPr>
            <w:tcW w:w="1365"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1499"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r>
      <w:tr>
        <w:trPr/>
        <w:tc>
          <w:tcPr>
            <w:tcW w:w="1365" w:type="dxa"/>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James O. Harp, Jr.</w:t>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Cash Severance</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1,600,000</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r>
      <w:tr>
        <w:trPr/>
        <w:tc>
          <w:tcPr>
            <w:tcW w:w="1365"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 xml:space="preserve">Stock Award Vesting(2)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472,693</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4,563,453</w:t>
            </w:r>
          </w:p>
        </w:tc>
        <w:tc>
          <w:tcPr>
            <w:tcW w:w="199" w:type="dxa"/>
            <w:tcBorders/>
            <w:vAlign w:val="bottom"/>
          </w:tcPr>
          <w:p>
            <w:pPr>
              <w:pStyle w:val="TableContents"/>
              <w:bidi w:val="0"/>
              <w:spacing w:before="0" w:after="283"/>
              <w:jc w:val="left"/>
              <w:rPr/>
            </w:pPr>
            <w:r>
              <w:rPr/>
              <w:t> </w:t>
            </w:r>
          </w:p>
        </w:tc>
      </w:tr>
      <w:tr>
        <w:trPr/>
        <w:tc>
          <w:tcPr>
            <w:tcW w:w="1365"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 xml:space="preserve">Pro-Rata Annual Bonus(1)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400,000</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400,000</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400,000</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r>
      <w:tr>
        <w:trPr/>
        <w:tc>
          <w:tcPr>
            <w:tcW w:w="1365"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Health and Welfare Benefits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164,816</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344,466</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82,735</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r>
      <w:tr>
        <w:trPr/>
        <w:tc>
          <w:tcPr>
            <w:tcW w:w="1365"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Total</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2,637,509</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744,466</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482,735</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4,563,453</w:t>
            </w:r>
          </w:p>
        </w:tc>
        <w:tc>
          <w:tcPr>
            <w:tcW w:w="199" w:type="dxa"/>
            <w:tcBorders/>
            <w:vAlign w:val="bottom"/>
          </w:tcPr>
          <w:p>
            <w:pPr>
              <w:pStyle w:val="TableContents"/>
              <w:bidi w:val="0"/>
              <w:spacing w:before="0" w:after="283"/>
              <w:jc w:val="left"/>
              <w:rPr/>
            </w:pPr>
            <w:r>
              <w:rPr/>
              <w:t> </w:t>
            </w:r>
          </w:p>
        </w:tc>
      </w:tr>
      <w:tr>
        <w:trPr>
          <w:trHeight w:val="120" w:hRule="atLeast"/>
        </w:trPr>
        <w:tc>
          <w:tcPr>
            <w:tcW w:w="1365"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1499"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r>
      <w:tr>
        <w:trPr/>
        <w:tc>
          <w:tcPr>
            <w:tcW w:w="1365" w:type="dxa"/>
            <w:vMerge w:val="restart"/>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Samuel A. Giberga</w:t>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Cash Severance</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1,600,000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 xml:space="preserve">Stock Award Vesting(2)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472,693</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4,563,453</w:t>
            </w:r>
          </w:p>
        </w:tc>
        <w:tc>
          <w:tcPr>
            <w:tcW w:w="199" w:type="dxa"/>
            <w:tcBorders/>
            <w:shd w:fill="CCEEFF" w:val="clear"/>
            <w:vAlign w:val="bottom"/>
          </w:tcPr>
          <w:p>
            <w:pPr>
              <w:pStyle w:val="TableContents"/>
              <w:bidi w:val="0"/>
              <w:spacing w:before="0" w:after="283"/>
              <w:jc w:val="left"/>
              <w:rPr/>
            </w:pPr>
            <w:r>
              <w:rPr/>
              <w:t> </w:t>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 xml:space="preserve">Pro-Rata Annual Bonus(1)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400,000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400,000</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400,000</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Health and Welfare Benefits</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161,005</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344,466</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80,944</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Total</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2,633,698</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744,466</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480,944</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4,563,453</w:t>
            </w:r>
          </w:p>
        </w:tc>
        <w:tc>
          <w:tcPr>
            <w:tcW w:w="199" w:type="dxa"/>
            <w:tcBorders/>
            <w:shd w:fill="CCEEFF" w:val="clear"/>
            <w:vAlign w:val="bottom"/>
          </w:tcPr>
          <w:p>
            <w:pPr>
              <w:pStyle w:val="TableContents"/>
              <w:bidi w:val="0"/>
              <w:spacing w:before="0" w:after="283"/>
              <w:jc w:val="left"/>
              <w:rPr/>
            </w:pPr>
            <w:r>
              <w:rPr/>
              <w:t> </w:t>
            </w:r>
          </w:p>
        </w:tc>
      </w:tr>
      <w:tr>
        <w:trPr>
          <w:trHeight w:val="120" w:hRule="atLeast"/>
        </w:trPr>
        <w:tc>
          <w:tcPr>
            <w:tcW w:w="1365"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1499"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r>
      <w:tr>
        <w:trPr/>
        <w:tc>
          <w:tcPr>
            <w:tcW w:w="1365" w:type="dxa"/>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John S. Cook</w:t>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Cash Severance</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1,600,000</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r>
      <w:tr>
        <w:trPr/>
        <w:tc>
          <w:tcPr>
            <w:tcW w:w="1365"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 xml:space="preserve">Stock Award Vesting(2)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472,693</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4,563,387</w:t>
            </w:r>
          </w:p>
        </w:tc>
        <w:tc>
          <w:tcPr>
            <w:tcW w:w="199" w:type="dxa"/>
            <w:tcBorders/>
            <w:vAlign w:val="bottom"/>
          </w:tcPr>
          <w:p>
            <w:pPr>
              <w:pStyle w:val="TableContents"/>
              <w:bidi w:val="0"/>
              <w:spacing w:before="0" w:after="283"/>
              <w:jc w:val="left"/>
              <w:rPr/>
            </w:pPr>
            <w:r>
              <w:rPr/>
              <w:t> </w:t>
            </w:r>
          </w:p>
        </w:tc>
      </w:tr>
      <w:tr>
        <w:trPr/>
        <w:tc>
          <w:tcPr>
            <w:tcW w:w="1365"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 xml:space="preserve">Pro-Rata Annual Bonus(1)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400,000</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400,000</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400,000</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w:t>
            </w:r>
          </w:p>
        </w:tc>
        <w:tc>
          <w:tcPr>
            <w:tcW w:w="199" w:type="dxa"/>
            <w:tcBorders/>
            <w:vAlign w:val="bottom"/>
          </w:tcPr>
          <w:p>
            <w:pPr>
              <w:pStyle w:val="TableContents"/>
              <w:bidi w:val="0"/>
              <w:spacing w:before="0" w:after="283"/>
              <w:jc w:val="left"/>
              <w:rPr/>
            </w:pPr>
            <w:r>
              <w:rPr/>
              <w:t> </w:t>
            </w:r>
          </w:p>
        </w:tc>
      </w:tr>
      <w:tr>
        <w:trPr/>
        <w:tc>
          <w:tcPr>
            <w:tcW w:w="1365"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Health and Welfare Benefits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152,446</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344,396</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76,886</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w:t>
            </w:r>
          </w:p>
        </w:tc>
        <w:tc>
          <w:tcPr>
            <w:tcW w:w="199" w:type="dxa"/>
            <w:tcBorders/>
            <w:vAlign w:val="bottom"/>
          </w:tcPr>
          <w:p>
            <w:pPr>
              <w:pStyle w:val="TableContents"/>
              <w:bidi w:val="0"/>
              <w:spacing w:before="0" w:after="283"/>
              <w:jc w:val="left"/>
              <w:rPr/>
            </w:pPr>
            <w:r>
              <w:rPr/>
              <w:t> </w:t>
            </w:r>
          </w:p>
        </w:tc>
      </w:tr>
      <w:tr>
        <w:trPr/>
        <w:tc>
          <w:tcPr>
            <w:tcW w:w="1365"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b/>
              </w:rPr>
            </w:pPr>
            <w:r>
              <w:rPr>
                <w:b/>
              </w:rPr>
              <w:t>Total</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2,625,139</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744,396</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476,886</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4,563,387</w:t>
            </w:r>
          </w:p>
        </w:tc>
        <w:tc>
          <w:tcPr>
            <w:tcW w:w="199" w:type="dxa"/>
            <w:tcBorders/>
            <w:vAlign w:val="bottom"/>
          </w:tcPr>
          <w:p>
            <w:pPr>
              <w:pStyle w:val="TableContents"/>
              <w:bidi w:val="0"/>
              <w:spacing w:before="0" w:after="283"/>
              <w:jc w:val="left"/>
              <w:rPr/>
            </w:pPr>
            <w:r>
              <w:rPr/>
              <w:t> </w:t>
            </w:r>
          </w:p>
        </w:tc>
      </w:tr>
      <w:tr>
        <w:trPr>
          <w:trHeight w:val="120" w:hRule="atLeast"/>
        </w:trPr>
        <w:tc>
          <w:tcPr>
            <w:tcW w:w="1365"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1499"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r>
      <w:tr>
        <w:trPr/>
        <w:tc>
          <w:tcPr>
            <w:tcW w:w="1365" w:type="dxa"/>
            <w:vMerge w:val="restart"/>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Carl G. Annessa</w:t>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Cash Severance</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1,600,000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 xml:space="preserve">Stock Award Vesting(2)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472,693</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4,563,453</w:t>
            </w:r>
          </w:p>
        </w:tc>
        <w:tc>
          <w:tcPr>
            <w:tcW w:w="199" w:type="dxa"/>
            <w:tcBorders/>
            <w:shd w:fill="CCEEFF" w:val="clear"/>
            <w:vAlign w:val="bottom"/>
          </w:tcPr>
          <w:p>
            <w:pPr>
              <w:pStyle w:val="TableContents"/>
              <w:bidi w:val="0"/>
              <w:spacing w:before="0" w:after="283"/>
              <w:jc w:val="left"/>
              <w:rPr/>
            </w:pPr>
            <w:r>
              <w:rPr/>
              <w:t> </w:t>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 xml:space="preserve">Pro-Rata Annual Bonus(1)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400,000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400,000</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400,000</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Health and Welfare Benefits</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151,331</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174,443</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76,994</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r>
      <w:tr>
        <w:trPr/>
        <w:tc>
          <w:tcPr>
            <w:tcW w:w="1365"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8" w:type="dxa"/>
            <w:tcBorders/>
            <w:shd w:fill="CCEEFF" w:val="clear"/>
            <w:vAlign w:val="bottom"/>
          </w:tcPr>
          <w:p>
            <w:pPr>
              <w:pStyle w:val="TableContents"/>
              <w:bidi w:val="0"/>
              <w:spacing w:before="0" w:after="283"/>
              <w:jc w:val="left"/>
              <w:rPr>
                <w:b/>
              </w:rPr>
            </w:pPr>
            <w:r>
              <w:rPr>
                <w:b/>
              </w:rPr>
              <w:t>Total</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2,624,024</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574,443</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476,994</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4,563,453</w:t>
            </w:r>
          </w:p>
        </w:tc>
        <w:tc>
          <w:tcPr>
            <w:tcW w:w="19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Pro-Rata Annual Bonus amounts set forth above are based on deemed achievement of all performance criteria at target levels. Given that we assume payout of the Pro-Rata Annual Bonus at target levels, the total severance amount reported in this table under the “Termination Without Cause or for Good Reason” column would be the same if such termination occurred in connection with a change of control.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Award Vesting amounts set forth do not include the value of the RSUs granted in 2020 that previously vested, as such inclusion would result in a duplication of income reporting, but such vested RSUs would be settled upon a change of control. The value of RSUs previously vested are as follows: $13,934,846 for Mr. Hornbeck and $5,806,213 for each of the other NEOs. All equity awards, including RSUs, were granted from the reserve under the 2020 Management Incentive Plan, which initially allocated 2,198,044 shares of common stock of the Company for issuance thereunder, of which 2,063,111 of such total shares were reserved for executives, senior management, and certain consultants and advisors (excluding non-employee directors) (the “MIP Reserve”) and would have been paid to the MIP participants upon a change of control. The MIP Reserve has been fully allocated, so the Stock Award Vesting amounts assume none of the remaining MIP Reserve would be granted to any of our NEOs at the time of a change of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annual compensation awarded to or earned by certain of our non-employee directors for Fiscal 2024. Todd M. Hornbeck (our Chairman, President and Chief Executive Officer), Jacob Mercer, Aaron Rosen, James McConeghy and Larry Hornbeck (our Chairman Emeritus) did not receive any compensation for serving on our Board of Directors.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3972"/>
        <w:gridCol w:w="135"/>
        <w:gridCol w:w="60"/>
        <w:gridCol w:w="873"/>
        <w:gridCol w:w="60"/>
        <w:gridCol w:w="135"/>
        <w:gridCol w:w="60"/>
        <w:gridCol w:w="873"/>
        <w:gridCol w:w="60"/>
        <w:gridCol w:w="135"/>
        <w:gridCol w:w="60"/>
        <w:gridCol w:w="873"/>
        <w:gridCol w:w="357"/>
      </w:tblGrid>
      <w:tr>
        <w:trPr/>
        <w:tc>
          <w:tcPr>
            <w:tcW w:w="3972"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9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5"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w:t>
              <w:br/>
              <w:t>Earned</w:t>
              <w:br/>
              <w:t>or Paid</w:t>
              <w:br/>
              <w:t>in Cash</w:t>
              <w:b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($)(1)</w:t>
            </w:r>
          </w:p>
        </w:tc>
        <w:tc>
          <w:tcPr>
            <w:tcW w:w="357" w:type="dxa"/>
            <w:tcBorders/>
            <w:vAlign w:val="bottom"/>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Kurt M. Cellar</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102,625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135,640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238,265</w:t>
            </w:r>
          </w:p>
        </w:tc>
        <w:tc>
          <w:tcPr>
            <w:tcW w:w="357" w:type="dxa"/>
            <w:tcBorders/>
            <w:shd w:fill="CCEEFF" w:val="clear"/>
            <w:vAlign w:val="bottom"/>
          </w:tcPr>
          <w:p>
            <w:pPr>
              <w:pStyle w:val="TableContents"/>
              <w:bidi w:val="0"/>
              <w:spacing w:before="0" w:after="283"/>
              <w:jc w:val="left"/>
              <w:rPr/>
            </w:pPr>
            <w:r>
              <w:rPr>
                <w:b/>
              </w:rPr>
              <w:t>(2)</w:t>
            </w:r>
            <w:r>
              <w:rPr/>
              <w:t> </w:t>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Evan B. Behrens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67,625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111,934</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179,559</w:t>
            </w:r>
          </w:p>
        </w:tc>
        <w:tc>
          <w:tcPr>
            <w:tcW w:w="357" w:type="dxa"/>
            <w:tcBorders/>
            <w:vAlign w:val="bottom"/>
          </w:tcPr>
          <w:p>
            <w:pPr>
              <w:pStyle w:val="TableContents"/>
              <w:bidi w:val="0"/>
              <w:spacing w:before="0" w:after="283"/>
              <w:jc w:val="left"/>
              <w:rPr/>
            </w:pPr>
            <w:r>
              <w:rPr>
                <w:b/>
              </w:rPr>
              <w:t>(3)</w:t>
            </w:r>
            <w:r>
              <w:rPr/>
              <w:t> </w:t>
            </w:r>
          </w:p>
        </w:tc>
      </w:tr>
      <w:tr>
        <w:trPr/>
        <w:tc>
          <w:tcPr>
            <w:tcW w:w="3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Piyush “Bobby” Jindal</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90,125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111,934</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202,059</w:t>
            </w:r>
          </w:p>
        </w:tc>
        <w:tc>
          <w:tcPr>
            <w:tcW w:w="357" w:type="dxa"/>
            <w:tcBorders/>
            <w:shd w:fill="CCEEFF" w:val="clear"/>
            <w:vAlign w:val="bottom"/>
          </w:tcPr>
          <w:p>
            <w:pPr>
              <w:pStyle w:val="TableContents"/>
              <w:bidi w:val="0"/>
              <w:spacing w:before="0" w:after="283"/>
              <w:jc w:val="left"/>
              <w:rPr/>
            </w:pPr>
            <w:r>
              <w:rPr/>
              <w:t>(4) </w:t>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John Richardson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72,625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111,934</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184,559</w:t>
            </w:r>
          </w:p>
        </w:tc>
        <w:tc>
          <w:tcPr>
            <w:tcW w:w="357" w:type="dxa"/>
            <w:tcBorders/>
            <w:vAlign w:val="bottom"/>
          </w:tcPr>
          <w:p>
            <w:pPr>
              <w:pStyle w:val="TableContents"/>
              <w:bidi w:val="0"/>
              <w:spacing w:before="0" w:after="283"/>
              <w:jc w:val="left"/>
              <w:rPr/>
            </w:pPr>
            <w:r>
              <w:rPr>
                <w:b/>
              </w:rPr>
              <w:t>(5)</w:t>
            </w:r>
            <w:r>
              <w:rPr/>
              <w:t> </w:t>
            </w:r>
          </w:p>
        </w:tc>
      </w:tr>
      <w:tr>
        <w:trPr/>
        <w:tc>
          <w:tcPr>
            <w:tcW w:w="3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Lloyd Donelson Miller</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65,125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111,934</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177,059</w:t>
            </w:r>
          </w:p>
        </w:tc>
        <w:tc>
          <w:tcPr>
            <w:tcW w:w="357" w:type="dxa"/>
            <w:tcBorders/>
            <w:shd w:fill="CCEEFF" w:val="clear"/>
            <w:vAlign w:val="bottom"/>
          </w:tcPr>
          <w:p>
            <w:pPr>
              <w:pStyle w:val="TableContents"/>
              <w:bidi w:val="0"/>
              <w:spacing w:before="0" w:after="283"/>
              <w:jc w:val="left"/>
              <w:rPr/>
            </w:pPr>
            <w:r>
              <w:rPr>
                <w:b/>
              </w:rPr>
              <w:t>(6)</w:t>
            </w:r>
            <w:r>
              <w:rPr/>
              <w:t> </w:t>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Sylvia Jo Sydow Kerrigan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72,625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111,934</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184,559</w:t>
            </w:r>
          </w:p>
        </w:tc>
        <w:tc>
          <w:tcPr>
            <w:tcW w:w="357" w:type="dxa"/>
            <w:tcBorders/>
            <w:vAlign w:val="bottom"/>
          </w:tcPr>
          <w:p>
            <w:pPr>
              <w:pStyle w:val="TableContents"/>
              <w:bidi w:val="0"/>
              <w:spacing w:before="0" w:after="283"/>
              <w:jc w:val="left"/>
              <w:rPr/>
            </w:pPr>
            <w:r>
              <w:rPr>
                <w:b/>
              </w:rPr>
              <w:t>(7)</w:t>
            </w: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2024, all equity awards issued to our directors in our fiscal year ending December 31, 2020 and in Fiscal 2021 had vested in full, and such equity awards will settle upon the earlier of September 4, 2027 and a “change of control.” No equity awards were issued to our directors in Fiscal 2022. As of December 31, 2024, all equity awards issued to our directors in Fiscal 2023 had vested in full and been settled. On April 1, 2024, equity awards were issued to our directors. One-half of these awards vested and settled on the grant date. The remaining one-half vested and became settleable on February 15, 2025. For the RSUs granted in Fiscal 2024, the total dollar amounts in this column equal the product of (i) the number of RSUs granted multiplied by (ii) the fair value of our common stock as of the grant date ($62.22 per share), determined in accordance with FASB ASC Topic 718.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Cellar, this amount represents the sum of the annual cash retainers due for his service as: (i) a non-employee director ($57,625), (ii) the chairperson of the audit committee ($20,000), (iii) the lead independent director ($25,000) and (v) the value of 2,180 RSUs granted in Fiscal 2024 ($135,640), 35% of which Mr. Cellar elected to have settled in cash.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Behrens, this amount represents the sum of the annual cash retainers due for his service as: (i) a non-employee director ($57,625), (ii) a member of the audit committee ($10,000) and (iii) the value of 1,799 RSUs granted in Fiscal 2024 ($111,934), 35% of which Mr. Behrens elected to have settled in cash.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Jindal, this amount represents the sum of the annual cash retainers due for his service as: (i) a non-employee director ($57,625), (ii) the chairperson of the compensation committee ($15,000), (iii) a member of the audit committee ($10,000), (iv) a member of the business diversification/government contracting committee ($7,500) and (v) the value of 1,799 RSUs granted in Fiscal 2024 ($111,934).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Richardson, this amount represents the sum of the annual cash retainers due for his service as: (i) a non-employee director ($57,625), (ii) the chairperson of the business diversification/government contracting committee ($15,000) and (iii) the value of 1,799 RSUs granted in Fiscal 2024 ($111,934), 35% of which Mr. Richardson elected to have settled in cash.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Miller, this amount represents the sum of the annual cash retainers due for his service as: (i) a non-employee director ($57,625), (ii) a member of the compensation committee ($7,500) and (iii) the value of 1,799 RSUs granted in Fiscal 2024 ($111,934).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Ms. Kerrigan, this amount represents the sum of the annual cash retainers due for her service as: (i) a non-employee director ($57,625), (ii) a member of the compensation committee ($7,500), (iii) a member of the business diversification/government contracting committee ($7,500) and (iv) the value of 1,799 RSUs granted in Fiscal 2024 ($111,934), 35% of which Ms. Kerrigan elected to have settled in cash.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Go-Forward Compensation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expect to (1) adopt the 2026 Omnibus Incentive Plan, (2) grant equity awards under the 2026 Omnibus Incentive Plan to certain of our employees, including our NEOs, (3) amend and restate the EAs with our NEOs, and (4) adopt a new non-employee director compensation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Omnibus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order to incentivize our employees, consultants and non-employee directors following the completion of this offering, we anticipate that our Board of Directors will adopt the 2026 Omnibus Incentive Plan for employees, consultants and non-employee directors prior to the completion of this offering. Our NEOs will be eligible to participate in the 2026 Omnibus Incentive Plan, which we expect will become effective upon the consummation of this offering. We anticipate that the 2026 Omnibus Incentive Plan will provide for the grant of stock options (in the form of either non-qualified stock options (“NQSOs”) or incentive stock options (“ISOs”), stock appreciation rights (“SARs”), restricted stock, RSUs, performance awards, other stock-based awards, cash awards and substitute awards intended to align the interests of participants with those of our stockholders. </w:t>
      </w:r>
    </w:p>
    <w:p>
      <w:pPr>
        <w:pStyle w:val="TextBody"/>
        <w:bidi w:val="0"/>
        <w:spacing w:before="240" w:after="0"/>
        <w:jc w:val="left"/>
        <w:rPr>
          <w:rFonts w:ascii="Times New Roman" w:hAnsi="Times New Roman"/>
          <w:sz w:val="20"/>
        </w:rPr>
      </w:pPr>
      <w:r>
        <w:rPr>
          <w:rFonts w:ascii="Times New Roman" w:hAnsi="Times New Roman"/>
          <w:i/>
          <w:sz w:val="20"/>
        </w:rPr>
        <w:t>Securities Offered</w:t>
      </w:r>
      <w:r>
        <w:rPr>
          <w:rFonts w:ascii="Times New Roman" w:hAnsi="Times New Roman"/>
          <w:sz w:val="20"/>
        </w:rPr>
        <w:t xml:space="preserve">. Subject to adjustment in the event of certain transactions or changes of capitalization in accordance with the 2026 Omnibus Incentive Plan, a total of     shares of common stock have been initially reserved for issuance pursuant to awards under the 2026 Omnibus Incentive Plan. The total number of shares of common stock reserved for issuance under the 2026 Omnibus Incentive Plan will be increased on January 1 of each calendar year beginning in 2027, and ending and including January 1, 2036, by the lesser of (i)     % of the total number of shares of common stock outstanding on each December 31 of the immediately preceding calendar year or (ii) such smaller number of shares of common stock determined by our Board of Directors. No more than     shares of common stock under the 2026 Omnibus Incentive Plan may be issued pursuant to ISOs. Shares of common stock subject to an award under the 2026 Omnibus Incentive Plan will again be made available for issuance or delivery if such shares of common stock are (i) delivered, withheld or surrendered in payment of the exercise or purchase price of an award, (ii) delivered, withheld, or surrendered to satisfy any tax withholding obligation or (iii) subject to an award that expires or is canceled, forfeited, or terminated without issuance of the full number of shares of common stock to which the award related.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2026 Omnibus Incentive Plan will be administered by a committee of our Board of Directors that has been authorized to administer the 2026 Omnibus Incentive Plan, except if no such committee is authorized by our Board of Directors, our Board of Directors will administer the 2026 Omnibus Incentive Plan (as applicable, the “Committee”). The Committee has broad discretion to administer the 2026 Omnibus Incentive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take all other actions necessary or advisable for the administration of the 2026 Omnibus Incentive Plan.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Employees and consultants of the Company and its affiliates, and non-employee directors of the Company are eligible to receive awards under the 2026 Omnibus Incentive Plan.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Limits</w:t>
      </w:r>
      <w:r>
        <w:rPr>
          <w:rFonts w:ascii="Times New Roman" w:hAnsi="Times New Roman"/>
          <w:sz w:val="20"/>
        </w:rPr>
        <w:t xml:space="preserve">. Under the 2026 Omnibus Incentive Plan, in a calendar year, a non-employee director may not be granted awards for such individual’s service on our Board of Directors that, taken together with any cash fees paid to such non-employee director during such calendar year for such individual’s service on our Board of Directors, have a value in excess of $750,000 (calculating the value of any such awards based on the grant date fair value of such awards for financial reporting purposes); provided, that (i) the Committee may make exceptions to this limit, except that the non-employee director receiving such additional compensation may not participate in the decision to award such compensation or in other contemporaneous decisions involving compensation for non-employee directors and (ii) for any calendar year in which a non-employee director (a) first commences service on our Board of Directors, (b) serves on a special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committee of our Board of Directors, or (c) serves as lead director or non-executive chair of our Board of Directors, such limit shall be increased to $1,000,000. This limit does not apply to awards or other compensation, if any, provided to a non-employee director during any period in which the individual was an employee or otherwise providing services to the Company or its affiliates in another capacity. </w:t>
      </w:r>
    </w:p>
    <w:p>
      <w:pPr>
        <w:pStyle w:val="TextBody"/>
        <w:bidi w:val="0"/>
        <w:spacing w:before="240" w:after="0"/>
        <w:jc w:val="left"/>
        <w:rPr>
          <w:rFonts w:ascii="Times New Roman" w:hAnsi="Times New Roman"/>
          <w:i/>
          <w:sz w:val="20"/>
        </w:rPr>
      </w:pPr>
      <w:r>
        <w:rPr>
          <w:rFonts w:ascii="Times New Roman" w:hAnsi="Times New Roman"/>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sz w:val="20"/>
          <w:u w:val="single"/>
        </w:rPr>
        <w:t>Options</w:t>
      </w:r>
      <w:r>
        <w:rPr>
          <w:rFonts w:ascii="Times New Roman" w:hAnsi="Times New Roman"/>
          <w:sz w:val="20"/>
        </w:rPr>
        <w:t xml:space="preserve">. We may grant options to eligible persons, except that ISOs may only be granted to persons who are our employees or employees of one of our subsidiaries, in accordance with Section 422 of the Code. The exercise price of an option cannot be less than 100% of the fair market value of a share of common stock on the date on which the option is granted and the option must not be exercisable for longer than 10 years following the date of grant. However, in the case of an ISO granted to an individual who owns (or is deemed to own) at least 10% of the total combined voting power of all classes of our equity securities, the exercise price of the option must be at least 110% of the fair market value of a share of common stock on the date of grant and the option must not be exercisable more than five years from the date of grant. </w:t>
      </w:r>
    </w:p>
    <w:p>
      <w:pPr>
        <w:pStyle w:val="TextBody"/>
        <w:bidi w:val="0"/>
        <w:spacing w:before="240" w:after="0"/>
        <w:jc w:val="left"/>
        <w:rPr>
          <w:rFonts w:ascii="Times New Roman" w:hAnsi="Times New Roman"/>
          <w:sz w:val="20"/>
        </w:rPr>
      </w:pPr>
      <w:r>
        <w:rPr>
          <w:rFonts w:ascii="Times New Roman" w:hAnsi="Times New Roman"/>
          <w:sz w:val="20"/>
          <w:u w:val="single"/>
        </w:rPr>
        <w:t>SARs</w:t>
      </w:r>
      <w:r>
        <w:rPr>
          <w:rFonts w:ascii="Times New Roman" w:hAnsi="Times New Roman"/>
          <w:sz w:val="20"/>
        </w:rPr>
        <w:t xml:space="preserve">. An SAR is the right to receive an amount equal to the excess of the fair market value of one share of common stock on the date of exercise over the grant price of the SAR. The grant price of a SAR cannot be less than 100% of the fair market value of a share of common stock on the date on which the SAR is granted. The term of a SAR may not exceed 10 years. SARs may be granted in connection with, or independent of, other awards. The Committee has the discretion to determine other terms and conditions of a SAR award. </w:t>
      </w:r>
    </w:p>
    <w:p>
      <w:pPr>
        <w:pStyle w:val="TextBody"/>
        <w:bidi w:val="0"/>
        <w:spacing w:before="240" w:after="0"/>
        <w:jc w:val="left"/>
        <w:rPr>
          <w:rFonts w:ascii="Times New Roman" w:hAnsi="Times New Roman"/>
          <w:sz w:val="20"/>
        </w:rPr>
      </w:pPr>
      <w:r>
        <w:rPr>
          <w:rFonts w:ascii="Times New Roman" w:hAnsi="Times New Roman"/>
          <w:sz w:val="20"/>
          <w:u w:val="single"/>
        </w:rPr>
        <w:t>Restricted Stock Awards</w:t>
      </w:r>
      <w:r>
        <w:rPr>
          <w:rFonts w:ascii="Times New Roman" w:hAnsi="Times New Roman"/>
          <w:sz w:val="20"/>
        </w:rPr>
        <w:t xml:space="preserve">. A restricted stock award is a grant of shares of common stock subject to restrictions on transferability and risk of forfeiture imposed by the Committee. Unless otherwise determined by the Committee and specified in the applicable award agreement, the holder of a restricted stock award has rights as a stockholder, including the right to vote the shares of common stock subject to the restricted stock award or to receive dividends on the shares of common stock subject to the restricted stock award during the restriction period. The Committee may determine on what terms and conditions the participant will be entitled to dividends payable on the shares of restricted stock. </w:t>
      </w:r>
    </w:p>
    <w:p>
      <w:pPr>
        <w:pStyle w:val="TextBody"/>
        <w:bidi w:val="0"/>
        <w:spacing w:before="240" w:after="0"/>
        <w:jc w:val="left"/>
        <w:rPr>
          <w:rFonts w:ascii="Times New Roman" w:hAnsi="Times New Roman"/>
          <w:sz w:val="20"/>
        </w:rPr>
      </w:pPr>
      <w:r>
        <w:rPr>
          <w:rFonts w:ascii="Times New Roman" w:hAnsi="Times New Roman"/>
          <w:sz w:val="20"/>
          <w:u w:val="single"/>
        </w:rPr>
        <w:t>Restricted Stock Units</w:t>
      </w:r>
      <w:r>
        <w:rPr>
          <w:rFonts w:ascii="Times New Roman" w:hAnsi="Times New Roman"/>
          <w:sz w:val="20"/>
        </w:rPr>
        <w:t xml:space="preserve">. An RSU is a right to receive cash, shares of common stock or a combination of cash and shares of common stock at the end of a specified period equal to the fair market value of one share of common stock on the date of vesting. RSUs may be subject to restrictions, including a risk of forfeiture, imposed by the Committee. The Committee may determine that a grant of RSUs will provide a participant a right to receive dividend equivalents, which entitles the participant to receive the equivalent value (in cash or shares of common stock) of dividends paid on the underlying shares of common stock. Dividend equivalents may be paid currently or credited to an account, settled in cash or shares, and may be subject to the same restrictions as the RSUs with respect to which the dividend equivalents are granted. </w:t>
      </w:r>
    </w:p>
    <w:p>
      <w:pPr>
        <w:pStyle w:val="TextBody"/>
        <w:bidi w:val="0"/>
        <w:spacing w:before="240" w:after="0"/>
        <w:jc w:val="left"/>
        <w:rPr>
          <w:rFonts w:ascii="Times New Roman" w:hAnsi="Times New Roman"/>
          <w:sz w:val="20"/>
        </w:rPr>
      </w:pPr>
      <w:r>
        <w:rPr>
          <w:rFonts w:ascii="Times New Roman" w:hAnsi="Times New Roman"/>
          <w:sz w:val="20"/>
          <w:u w:val="single"/>
        </w:rPr>
        <w:t>Performance Awards</w:t>
      </w:r>
      <w:r>
        <w:rPr>
          <w:rFonts w:ascii="Times New Roman" w:hAnsi="Times New Roman"/>
          <w:sz w:val="20"/>
        </w:rPr>
        <w:t xml:space="preserve">. A performance award is an award that vests and/or becomes exercisable or distributable subject to the achievement of certain performance goals during a specified performance period, as established by the Committee. Performance awards may be granted alone or in addition to other awards under the 2026 Omnibus Incentive Plan, and may be paid in cash, shares of common stock, other property or any combination thereof, in the sole discretion of the Committee. </w:t>
      </w:r>
    </w:p>
    <w:p>
      <w:pPr>
        <w:pStyle w:val="TextBody"/>
        <w:bidi w:val="0"/>
        <w:spacing w:before="240" w:after="0"/>
        <w:jc w:val="left"/>
        <w:rPr>
          <w:rFonts w:ascii="Times New Roman" w:hAnsi="Times New Roman"/>
          <w:sz w:val="20"/>
        </w:rPr>
      </w:pPr>
      <w:r>
        <w:rPr>
          <w:rFonts w:ascii="Times New Roman" w:hAnsi="Times New Roman"/>
          <w:sz w:val="20"/>
          <w:u w:val="single"/>
        </w:rPr>
        <w:t>Other Share-Based Awards</w:t>
      </w:r>
      <w:r>
        <w:rPr>
          <w:rFonts w:ascii="Times New Roman" w:hAnsi="Times New Roman"/>
          <w:sz w:val="20"/>
        </w:rPr>
        <w:t xml:space="preserve">. Other share-based awards are awards denominated or payable in, valued in whole or in part by reference to, or otherwise based on or related to, the value of shares of common stock. </w:t>
      </w:r>
    </w:p>
    <w:p>
      <w:pPr>
        <w:pStyle w:val="TextBody"/>
        <w:bidi w:val="0"/>
        <w:spacing w:before="240" w:after="0"/>
        <w:jc w:val="left"/>
        <w:rPr>
          <w:rFonts w:ascii="Times New Roman" w:hAnsi="Times New Roman"/>
          <w:sz w:val="20"/>
        </w:rPr>
      </w:pPr>
      <w:r>
        <w:rPr>
          <w:rFonts w:ascii="Times New Roman" w:hAnsi="Times New Roman"/>
          <w:sz w:val="20"/>
          <w:u w:val="single"/>
        </w:rPr>
        <w:t>Cash Awards</w:t>
      </w:r>
      <w:r>
        <w:rPr>
          <w:rFonts w:ascii="Times New Roman" w:hAnsi="Times New Roman"/>
          <w:sz w:val="20"/>
        </w:rPr>
        <w:t xml:space="preserve">. Cash awards may be granted on a free-standing basis or as an element of, a supplement to, or in lieu of any other award and will be subject to such terms and conditions, including vesting conditions as determined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Substitute Awards</w:t>
      </w:r>
      <w:r>
        <w:rPr>
          <w:rFonts w:ascii="Times New Roman" w:hAnsi="Times New Roman"/>
          <w:sz w:val="20"/>
        </w:rPr>
        <w:t xml:space="preserve">. Awards may be granted under the 2026 Omnibus Incentive Plan in substitution for similar awards held for individuals who become participants as a result of a merger, consolidation or acquisition of another entity by or with the Company or one of our affiliates. </w:t>
      </w:r>
    </w:p>
    <w:p>
      <w:pPr>
        <w:pStyle w:val="TextBody"/>
        <w:bidi w:val="0"/>
        <w:spacing w:before="240" w:after="0"/>
        <w:jc w:val="left"/>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If any change is made to our capitalization, such as a stock split, stock combination, stock dividend, exchange of stock or other recapitalization, merger or otherwise, which results in an increase or decrease in the number of our outstanding shares of common stock, appropriate adjustments will be made by the Committee to (i) the shares of common stock subject to an outstanding award under the 2026 Omnibus Incentive Plan and (ii) the respective exercise price of such award. The Committee will also have the discretion to make certain adjustments to awards in the event of a change in control of the Company,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 </w:t>
      </w:r>
    </w:p>
    <w:p>
      <w:pPr>
        <w:pStyle w:val="TextBody"/>
        <w:bidi w:val="0"/>
        <w:spacing w:before="240" w:after="0"/>
        <w:jc w:val="left"/>
        <w:rPr>
          <w:rFonts w:ascii="Times New Roman" w:hAnsi="Times New Roman"/>
          <w:sz w:val="20"/>
        </w:rPr>
      </w:pPr>
      <w:r>
        <w:rPr>
          <w:rFonts w:ascii="Times New Roman" w:hAnsi="Times New Roman"/>
          <w:i/>
          <w:sz w:val="20"/>
        </w:rPr>
        <w:t>Clawback</w:t>
      </w:r>
      <w:r>
        <w:rPr>
          <w:rFonts w:ascii="Times New Roman" w:hAnsi="Times New Roman"/>
          <w:sz w:val="20"/>
        </w:rPr>
        <w:t xml:space="preserve">. All awards, amounts, or benefits received or outstanding under the 2026 Omnibus Incentive Plan will be subject to clawback, cancellation, recoupment, rescission, payback, reduction, or other similar action in accordance with any Company clawback or similar policy or any applicable law related to such actions. </w:t>
      </w:r>
    </w:p>
    <w:p>
      <w:pPr>
        <w:pStyle w:val="TextBody"/>
        <w:bidi w:val="0"/>
        <w:spacing w:before="240" w:after="0"/>
        <w:jc w:val="left"/>
        <w:rPr>
          <w:rFonts w:ascii="Times New Roman" w:hAnsi="Times New Roman"/>
          <w:sz w:val="20"/>
        </w:rPr>
      </w:pPr>
      <w:r>
        <w:rPr>
          <w:rFonts w:ascii="Times New Roman" w:hAnsi="Times New Roman"/>
          <w:i/>
          <w:sz w:val="20"/>
        </w:rPr>
        <w:t>Plan Amendment and Termination</w:t>
      </w:r>
      <w:r>
        <w:rPr>
          <w:rFonts w:ascii="Times New Roman" w:hAnsi="Times New Roman"/>
          <w:sz w:val="20"/>
        </w:rPr>
        <w:t xml:space="preserve">. Our Board of Directors or the Committee may amend, in whole or in part, any or all of the provisions of the 2026 Omnibus Incentive Plan, or suspend or terminate it entirely, retroactively or otherwise, provided that the rights of a participant with respect to awards granted prior to such amendment, suspension, or termination may not be materially impaired without the consent of such participant. Without stockholder approval, no amendment may be made that would (i) increase the aggregate number of shares of common stock that may be issued under the 2026 Omnibus Incentive Plan or (ii) change the classification of individuals eligible to receive awards under the 2026 Omnibus Incentive Plan. The 2026 Omnibus Incentive Plan will remain in effect for a period of ten years (unless earlier terminated by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IPO Equity Grants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expect to grant RSUs and NQSOs under the 2026 Omnibus Incentive Plan to certain of our employees, including our NEOs, representing an aggregate of approximately     shares of common stock underlying the awards (calculated using the midpoint of the estimated offering price range shown on the cover page of this prospectus). The terms of such awards have not yet been determined.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&amp; Restated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expect to enter into amended and restated employment agreements (each, an “A&amp;R EA”) with each of our NEOs that will become effective upon the consummation of this offering. We expect that the terms of each A&amp;R EA will be materially the same as the NEOs’ current EAs, except for the amended terms described below. </w:t>
      </w:r>
    </w:p>
    <w:p>
      <w:pPr>
        <w:pStyle w:val="TextBody"/>
        <w:bidi w:val="0"/>
        <w:spacing w:before="240" w:after="0"/>
        <w:jc w:val="left"/>
        <w:rPr>
          <w:rFonts w:ascii="Times New Roman" w:hAnsi="Times New Roman"/>
          <w:sz w:val="20"/>
        </w:rPr>
      </w:pPr>
      <w:r>
        <w:rPr>
          <w:rFonts w:ascii="Times New Roman" w:hAnsi="Times New Roman"/>
          <w:i/>
          <w:sz w:val="20"/>
        </w:rPr>
        <w:t>Initial Term</w:t>
      </w:r>
      <w:r>
        <w:rPr>
          <w:rFonts w:ascii="Times New Roman" w:hAnsi="Times New Roman"/>
          <w:sz w:val="20"/>
        </w:rPr>
        <w:t xml:space="preserve">. The initial term will end on December 31, 2029. </w:t>
      </w:r>
    </w:p>
    <w:p>
      <w:pPr>
        <w:pStyle w:val="TextBody"/>
        <w:bidi w:val="0"/>
        <w:spacing w:before="240" w:after="0"/>
        <w:jc w:val="left"/>
        <w:rPr>
          <w:rFonts w:ascii="Times New Roman" w:hAnsi="Times New Roman"/>
          <w:sz w:val="20"/>
        </w:rPr>
      </w:pPr>
      <w:r>
        <w:rPr>
          <w:rFonts w:ascii="Times New Roman" w:hAnsi="Times New Roman"/>
          <w:i/>
          <w:sz w:val="20"/>
        </w:rPr>
        <w:t>CEO Board of Directors Service</w:t>
      </w:r>
      <w:r>
        <w:rPr>
          <w:rFonts w:ascii="Times New Roman" w:hAnsi="Times New Roman"/>
          <w:sz w:val="20"/>
        </w:rPr>
        <w:t xml:space="preserve">. For Mr. Hornbeck only, so long as he serves as our Chief Executive Officer, he will continue to serve as a member of our Board of Directors until his seat is first scheduled for election, following which we will nominate him for election as a member of our Board of Directors at each shareholders’ meeting occurring during the term of his employment and use best efforts to have him elected. Mr. Hornbeck will also serve as Chairman of our Board of Directors through the second anniversary of the consummation of this offering (or, if earlier, his resignation or removal as our Chief Executive Officer). </w:t>
      </w:r>
    </w:p>
    <w:p>
      <w:pPr>
        <w:pStyle w:val="TextBody"/>
        <w:bidi w:val="0"/>
        <w:spacing w:before="240" w:after="0"/>
        <w:jc w:val="left"/>
        <w:rPr>
          <w:rFonts w:ascii="Times New Roman" w:hAnsi="Times New Roman"/>
          <w:sz w:val="20"/>
        </w:rPr>
      </w:pPr>
      <w:r>
        <w:rPr>
          <w:rFonts w:ascii="Times New Roman" w:hAnsi="Times New Roman"/>
          <w:i/>
          <w:sz w:val="20"/>
        </w:rPr>
        <w:t>CEO Equity Award Vesting</w:t>
      </w:r>
      <w:r>
        <w:rPr>
          <w:rFonts w:ascii="Times New Roman" w:hAnsi="Times New Roman"/>
          <w:sz w:val="20"/>
        </w:rPr>
        <w:t xml:space="preserve">. For Mr. Hornbeck only, to the extent not already provided in the applicable award agreement, upon a termination by him for “good reason” or by the Company without “cause”, all time- or service-based vesting conditions applicable to any equity awards outstanding as of the date of the termination of his employment will be deemed to be fully satisfied (and the treatment of any performance-based vesting conditions will receive the treatment set forth in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Pro-Rata Bonus Upon Qualifying Termination</w:t>
      </w:r>
      <w:r>
        <w:rPr>
          <w:rFonts w:ascii="Times New Roman" w:hAnsi="Times New Roman"/>
          <w:sz w:val="20"/>
        </w:rPr>
        <w:t xml:space="preserve">. Each NEO will receive a pro-rata bonus upon a Qualifying Termination regardless of when in the applicable fiscal year the Qualifying Termination occurs. </w:t>
      </w:r>
    </w:p>
    <w:p>
      <w:pPr>
        <w:pStyle w:val="TextBody"/>
        <w:bidi w:val="0"/>
        <w:spacing w:before="240" w:after="0"/>
        <w:jc w:val="left"/>
        <w:rPr>
          <w:rFonts w:ascii="Times New Roman" w:hAnsi="Times New Roman"/>
          <w:sz w:val="20"/>
        </w:rPr>
      </w:pPr>
      <w:r>
        <w:rPr>
          <w:rFonts w:ascii="Times New Roman" w:hAnsi="Times New Roman"/>
          <w:i/>
          <w:sz w:val="20"/>
        </w:rPr>
        <w:t>Severance Multiplier for CIC Qualifying Termination</w:t>
      </w:r>
      <w:r>
        <w:rPr>
          <w:rFonts w:ascii="Times New Roman" w:hAnsi="Times New Roman"/>
          <w:sz w:val="20"/>
        </w:rPr>
        <w:t xml:space="preserve">. The severance multiplier for a Qualifying Termination in connection with a change of control will be fixed at 2.5x for Mr. Hornbeck and 2.0x for each of our other NEOs. </w:t>
      </w:r>
    </w:p>
    <w:p>
      <w:pPr>
        <w:pStyle w:val="TextBody"/>
        <w:bidi w:val="0"/>
        <w:spacing w:before="240" w:after="0"/>
        <w:jc w:val="left"/>
        <w:rPr>
          <w:rFonts w:ascii="Times New Roman" w:hAnsi="Times New Roman"/>
          <w:sz w:val="20"/>
        </w:rPr>
      </w:pPr>
      <w:r>
        <w:rPr>
          <w:rFonts w:ascii="Times New Roman" w:hAnsi="Times New Roman"/>
          <w:i/>
          <w:sz w:val="20"/>
        </w:rPr>
        <w:t>Automobile Benefits for CIC Qualifying Termination</w:t>
      </w:r>
      <w:r>
        <w:rPr>
          <w:rFonts w:ascii="Times New Roman" w:hAnsi="Times New Roman"/>
          <w:sz w:val="20"/>
        </w:rPr>
        <w:t xml:space="preserve">. For Mr. Hornbeck only, upon a Qualifying Termination in connection with a change of control, he will be eligible to continue to receive automobile benefits until the earlier of (i) his death and (ii) the 30-month anniversary of such termination. </w:t>
      </w:r>
    </w:p>
    <w:p>
      <w:pPr>
        <w:pStyle w:val="TextBody"/>
        <w:bidi w:val="0"/>
        <w:spacing w:before="240" w:after="0"/>
        <w:jc w:val="left"/>
        <w:rPr>
          <w:rFonts w:ascii="Times New Roman" w:hAnsi="Times New Roman"/>
          <w:sz w:val="20"/>
        </w:rPr>
      </w:pPr>
      <w:r>
        <w:rPr>
          <w:rFonts w:ascii="Times New Roman" w:hAnsi="Times New Roman"/>
          <w:i/>
          <w:sz w:val="20"/>
        </w:rPr>
        <w:t>Lapse of Transfer Restrictions on MIP Options and PSUs</w:t>
      </w:r>
      <w:r>
        <w:rPr>
          <w:rFonts w:ascii="Times New Roman" w:hAnsi="Times New Roman"/>
          <w:sz w:val="20"/>
        </w:rPr>
        <w:t xml:space="preserve">. Notwithstanding the terms of the 2020 Management Incentive Plan or the award agreements or transfer restriction agreements thereunder (the “MIP Documents”), any transfer restrictions in the MIP Documents with respect to shares of our common stock issued in respect of options or PSUs granted under the 2020 Management Incentive Plan will terminate in accordance with the following schedule (to the extent not earlier terminated in accordance with their terms): (i) upon the consummation of this offering, the transfer restrictions will terminate with respect to 50% of each NEOs’ outstanding stock options and PSUs that, in each case, are or become vested as of such time, (ii) upon the one-year anniversary of the consummation of this offering, the transfer restrictions will terminate with respect to 100% of each NEOs’ outstanding stock options and PSUs that, in each case, are or become vested as of such time, and (iii) upon the applicable vesting date for each NEO’s outstanding stock options and PSUs that vest following the one-year anniversary of the consummation of this offering, the transfer restrictions will terminate immediately upon such applicable vesting date. For clarity, the lapse of the transfer restrictions in the MIP Documents will not affect the transfer restrictions that the NEOs will become subject to pursuant to any lock-up agreements that they enter into with the underwriters.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expect to adopt a non-employee director compensation policy to govern compensation paid to our non-employee directors. The non-employee director compensation policy will be designed to provide competitive compensation necessary to attract and retain high quality non-employee directors. We expect to continue to pay a combination of cash retainers and equity awards to each of our non-employee directors (other than those designated, nominated or appointed by or on behalf of our principal stockholders or those serving in an emeritus position, in each case, unless otherwise determined by our Board of Directors) for his or her services on our Board of Directors. We also expect to provide each non-employee director with reimbursement for reasonable travel and miscellaneous expenses incurred in attending meetings and activities of our Board of Directors and its committees.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PRINCIPAL AND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stock as of October 31, 2025, after giving effect to the stock split, that, upon the consummation of this offering, and assuming the underwriters do not exercise their option to purchase additional common stock, will be owned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beneficially own more than 5% of any class of our outstanding voting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director and NEO;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selling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To our knowledge, unless otherwise noted in the footnotes to the following table, and subject to applicable community property laws, the persons named in the table have sole voting and investment power with respect to their beneficially owned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Securities subject to option grants and restricted stock unit awards that have vested or will vest, and settled, or will settle, within 60 days are deemed outstanding for calculating the percentage ownership of the person holding the options, but are not deemed outstanding for calculating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excludes any purchases that may be made in this offering through our directed share program or otherwise in this offering. See “Underwriting (Conflicts of Interest) — Directed Share Program.”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in the footnotes below, the address of each beneficial owner is c/o Hornbeck Offshore Services, Inc., 103 Northpark Boulevard, Suite 300, Covington, Louisiana 70433.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9"/>
        <w:gridCol w:w="304"/>
        <w:gridCol w:w="156"/>
        <w:gridCol w:w="1038"/>
        <w:gridCol w:w="60"/>
        <w:gridCol w:w="304"/>
        <w:gridCol w:w="87"/>
        <w:gridCol w:w="1103"/>
        <w:gridCol w:w="60"/>
        <w:gridCol w:w="304"/>
        <w:gridCol w:w="572"/>
        <w:gridCol w:w="573"/>
        <w:gridCol w:w="202"/>
        <w:gridCol w:w="571"/>
        <w:gridCol w:w="213"/>
        <w:gridCol w:w="947"/>
        <w:gridCol w:w="282"/>
      </w:tblGrid>
      <w:tr>
        <w:trPr/>
        <w:tc>
          <w:tcPr>
            <w:tcW w:w="3429"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42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1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282" w:type="dxa"/>
            <w:tcBorders/>
            <w:vAlign w:val="bottom"/>
          </w:tcPr>
          <w:p>
            <w:pPr>
              <w:pStyle w:val="TableContents"/>
              <w:bidi w:val="0"/>
              <w:spacing w:before="0" w:after="283"/>
              <w:jc w:val="left"/>
              <w:rPr/>
            </w:pPr>
            <w:r>
              <w:rPr/>
              <w:t> </w:t>
            </w:r>
          </w:p>
        </w:tc>
      </w:tr>
      <w:tr>
        <w:trPr/>
        <w:tc>
          <w:tcPr>
            <w:tcW w:w="342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7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Prior to the Offering</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0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the Offering</w:t>
            </w:r>
          </w:p>
        </w:tc>
        <w:tc>
          <w:tcPr>
            <w:tcW w:w="282" w:type="dxa"/>
            <w:tcBorders/>
            <w:vAlign w:val="bottom"/>
          </w:tcPr>
          <w:p>
            <w:pPr>
              <w:pStyle w:val="TableContents"/>
              <w:bidi w:val="0"/>
              <w:spacing w:before="0" w:after="283"/>
              <w:jc w:val="left"/>
              <w:rPr/>
            </w:pPr>
            <w:r>
              <w:rPr/>
              <w:t> </w:t>
            </w:r>
          </w:p>
        </w:tc>
      </w:tr>
      <w:tr>
        <w:trPr/>
        <w:tc>
          <w:tcPr>
            <w:tcW w:w="3429" w:type="dxa"/>
            <w:tcBorders/>
            <w:vAlign w:val="bottom"/>
          </w:tcPr>
          <w:p>
            <w:pPr>
              <w:pStyle w:val="TableContents"/>
              <w:bidi w:val="0"/>
              <w:spacing w:before="0" w:after="283"/>
              <w:jc w:val="left"/>
              <w:rPr>
                <w:b/>
              </w:rPr>
            </w:pPr>
            <w:r>
              <w:rPr>
                <w:b/>
              </w:rPr>
              <w:t>Name of Beneficial Owner</w:t>
            </w:r>
          </w:p>
        </w:tc>
        <w:tc>
          <w:tcPr>
            <w:tcW w:w="304"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Beneficial</w:t>
              <w:br/>
              <w:t>Ownership</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Total(1)</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Beneficial</w:t>
              <w:br/>
              <w:t>Ownership</w:t>
            </w:r>
          </w:p>
        </w:tc>
        <w:tc>
          <w:tcPr>
            <w:tcW w:w="202"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Total(1)</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Greater than 5% Stockholders:</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Funds, investment vehicles or accounts managed or advised by Ares or its affiliates(2)</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41.47%</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Whitebox(3)</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22.18%</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Highbridge(4)</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10.51%</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Merced(5)</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6.96%</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b/>
                <w:sz w:val="20"/>
              </w:rPr>
            </w:pPr>
            <w:r>
              <w:rPr>
                <w:rFonts w:ascii="Times New Roman" w:hAnsi="Times New Roman"/>
                <w:b/>
                <w:sz w:val="20"/>
              </w:rPr>
              <w:t>Named Executive Officers, Directors and Director Nominees(6):</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Hornbeck(7)</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3.17%</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Carl G. Annessa(8)</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O. Harp, Jr.(9)</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Samuel A. Giberga(10)</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S. Cook(11)</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Kurt M. Cellar(12)</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Evan Behrens(13)</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Bobby Jindal(14)</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Sylvia Jo Sydow Kerrigan(15)</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Jacob Mercer</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 Don Miller(16)</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Aaron Rosen</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McConeghy</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(13 persons)(17)</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8.24%</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of common stock underlying all Jones Act Warrants and Creditor Warrants owned by such person. The warrants are immediately exercisable but are subject to certain citizenship rules and limitations on exercise, sale, transfer or other disposition.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 (i)      shares of common stock held of record by ASSF IV HOS AIV 1, L.P., (ii)      shares of common stock and      shares of common stock issuable upon the exercise of Jones Act Warrants held of record by ASSF IV HOS AIV 2, L.P., (iii)      shares of common stock and      shares of common stock issuable upon the exercise of Jones Act Warrants held of record by ASSF IV AIV B, L.P. and (iv)      shares of common stock,      shares of common stock issuable upon the exercise of Jones Act Warrants and      shares of common stock issuable upon the exercise of Creditor Warrants held of record by ASSF IV AIV B Holdings III, L.P. (the entities referred to in clause (a) collectively, the “Ares SSF Holders”); (b) (i)      shares of common stock held of record by ASOF HOS AIV 1, L.P., (ii)      shares of common stock and      shares of common stock issuable upon the exercise of Jones Act Warrants held of record by ASOF HOS AIV 2, L.P., (iii)      shares of common stock,      shares of common stock issuable upon the exercise of Jones Act Warrants and      shares of common stock issuable upon the exercise of Creditor Warrants held of record by ASOF Holdings I, L.P., (iv)      shares of common stock and      shares of common stock issuable upon the exercise of Jones Act Warrants held of record by and ASOF II Holdings I, L.P. and (v)      shares of common stock and      shares of common stock issuable upon the exercise of Jones Act Warrants held of record by ASOF II A (DE) Holdings I, L.P. (the entities referred to in clause (b) collectively, the “Ares SOF Holders”); and (c)      shares of common stock,      shares of common stock issuable upon the exercise of Jones Act Warrants and      shares of common stock issuable upon the exercise of Creditor Warrants held of record by two accounts managed or subadvised by Ares Management LLC with respect to which the Ares Entities (as defined below) may be deemed to have shared voting or dispositive power with the owner of such account (the “Ares Managed Accounts” and, such shares, the “Ares Managed Shares”). The Ares SSF Holders, the Ares SOF Holders and the Ares Managed Accounts are collectively referred to as the “Ares Holders”. The Ares Entities disclaim beneficial ownership of the Ares Managed Shares for purposes of Section 16 and this registration statement shall not be deemed an admission that any of the Ares Entities are the beneficial owner of the Ares Managed Shares for purposes of Section 16 or for any other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(we refer to all of the foregoing entities collectively as the Ares Entities) and (z) the investment manager or investment subadvisor of each of the Ares Managed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 </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Accordingly, each of the Ares Entities may be deemed to share beneficial ownership of the securities held of record by the Ares Holders, but each disclaims any such beneficial ownership of securities not held of record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Ares Partners is managed by a board of managers, which is composed of Michael J Arougheti, R. Kipp deVeer, David B. Kaplan, Antony P. Ressler and Bennett Rosenthal (collectively, the “Ares Board Members”). Mr. Ressler generally has veto authority over Ares Board Members’ decisions. Each of these individuals disclaims beneficial ownership of the securities that may be deemed to be beneficially owned by Ares Partners. The address for each of the Ares Entities is 1800 Avenue of the Stars, Suite 1400, Los Angeles, CA 90067.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issuable upon the exercise of Jones Act Warrants and     shares issuable upon exercise of Creditor Warrants. Whitebox is the investment manager of its affiliated entities (each, a “Whitebox Entity” and collectively, the “Whitebox Entities”) that own shares of our common stock and has voting and disposition control over the shares of common stock owned by the Whitebox Entities. Whitebox Advisors LLC is owned by the following members: Robert Vogel, Jacob Mercer, Nick Stukas, Brian Lutz, Paul Roos, Simon Waxley and Blue Owl GP Stakes II (A), LP, a non-voting member, and such individuals and entity disclaim beneficial ownership of the securities described in the table above held by the Whitebox Entities, except to the extent of his or its direct or indirect economic interest in Whitebox Advisors LLC or the selling shareholders. The address of the business office of each Whitebox Entity and Whitebox Advisors LLC is 3033 Excelsior Blvd., Suite 500, Minneapolis, MN 55416.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and     shares issuable upon the exercise of Jones Act Warrants. Highbridge Capital Management, LLC is the trading manager of certain entities (collectively, the “Highbridge Entities”) that own shares. The Highbridge Entities disclaim beneficial ownership over these shares. The address of Highbridge Capital Management, LLC is 277 Park Avenue, 23rd Floor, New York, NY 10172, and the address of the Highbridge Entities is c/o Maples Corporate Services Limited, #309 Ugland House, South Church Street, George Town, Grand Cayman KY1-1104, Cayman Islands.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and     shares issuable upon exercise of Creditor Warrants. Merced Capital, L.P. (“Merced”) is the general partner of and/or investment adviser to certain entities (collectively, the “Merced Entities”) that directly hold shares of our common stock and Creditor Warrants. Merced is managed by Series E of Merced Capital Partners, LLC (“Merced Capital Partners”), a series of a Delaware limited liability company. David A. Ericson, Vincent C. Vertin, and Stuart B. Brown collectively have voting control over the interests in Merced Capital Partners. In such capacities, each of Merced, Merced Capital Partners, Mr. Ericson, Mr. Vertin, and Mr. Brown may be deemed to share voting and investment control over the shares of common stock reported in the table; however, each of Mr. Ericson, Mr. Vertin, and Mr. Brown disclaim beneficial ownership of the shares of common stock reported in the table. The business address for Merced, Merced Capital Partners, Mr. Ericson, Mr. Vertin, Mr. Brown, and each of the Merced Entities is 701 Carlson Parkway, Suite 1110, Minnetonka, MN, 55305.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includes shares covered by options and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(as defined in the 2020 Management Incentive Plan) or an initial public offering if certain performance criteria are met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or an initial public offering if certain performance criteria are met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or an initial public offering if certain performance criteria are met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control or an initial public offering if certain performance criteria are met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or an initial public offering if certain performance criteria are met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or an initial public offering if certain performance criteria are met and     shares of common stock under options or restricted stock units that are exercisable or may be settled within 60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transactions between the Company and its executive officers, directors and stockholders beneficially owning more than 5% of our common stock. We believe that the terms of each of these transactions are at least as favorable as could have been obtained in similar transactions with unaffiliated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a separate indemnity agreement with each of its officers and directors that provides, among other things, that the Company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the Company, and otherwise to the fullest extent permitted under Delaware law and the Company’s amended and restated bylaws. These agreements are in addition to the indemnification provided to the Company’s officers and directors under its amended and restated bylaws and in accordance with Delaware law. </w:t>
      </w:r>
    </w:p>
    <w:p>
      <w:pPr>
        <w:pStyle w:val="TextBody"/>
        <w:bidi w:val="0"/>
        <w:spacing w:before="240" w:after="0"/>
        <w:jc w:val="left"/>
        <w:rPr>
          <w:rFonts w:ascii="Times New Roman" w:hAnsi="Times New Roman"/>
          <w:sz w:val="20"/>
        </w:rPr>
      </w:pPr>
      <w:r>
        <w:rPr>
          <w:rFonts w:ascii="Times New Roman" w:hAnsi="Times New Roman"/>
          <w:sz w:val="20"/>
        </w:rPr>
        <w:t xml:space="preserve">For the past 29 years, Larry D. Hornbeck’s family has personally supported the development of the Company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Board meetings and special Company promotional events. The Ranch also plays a vital role in the Company’s business continuity plan in the event our corporate headquarters is impacted by a natural disaster. Until December 31, 2005, these facilities were used by the Company without charge. The Company has determined that the use of the Ranch in the past and going forward has been and is beneficial to the Company’s business. On September 4, 2020, the Company entered into an Amended and Restated Facilities Use Agreement and implemented the Second Amended and Restated Indemnification Agreement (the “Indemnification Agreement”) with Larry D. Hornbeck, as well as certain other indemnitees, regarding the Ranch.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Agreement provides for indemnification by the Company of Larry D. Hornbeck, as well as certain other indemnitees, including the Company’s Chairman, President and Chief Executive Officer, Todd M. Hornbeck, for any claims, demands, causes of action and damages that may arise out of the Company’s use of the Ranch and related facilities and premises. The Indemnification Agreement also provides that the Company shall secure and maintain insurance coverage of the types and amounts sufficient to provide adequate protection against the liabilities that may arise under the Indemnification Agreement. The Indemnification Agreement was acknowledged by the independent members of the Board of Directors on September 9, 2020. </w:t>
      </w:r>
    </w:p>
    <w:p>
      <w:pPr>
        <w:pStyle w:val="TextBody"/>
        <w:bidi w:val="0"/>
        <w:spacing w:before="240" w:after="0"/>
        <w:jc w:val="left"/>
        <w:rPr>
          <w:rFonts w:ascii="Times New Roman" w:hAnsi="Times New Roman"/>
          <w:sz w:val="20"/>
        </w:rPr>
      </w:pPr>
      <w:r>
        <w:rPr>
          <w:rFonts w:ascii="Times New Roman" w:hAnsi="Times New Roman"/>
          <w:sz w:val="20"/>
        </w:rPr>
        <w:t xml:space="preserve">The agreements govern the Company’s use of the Ranch and related facilities. The Facilities Use Agreement will remain in effect until December 31, 2025 unless it is terminated or extended by its terms. The Facilities Use Agreement automatically renews on an annual basis unless either party provides the other party 30 days written notice of termination. The Facilities Use Agreement also provides that the Company will pay Mr. Larry Hornbeck an annual use fee for the Company’s use of the facilities and provides for an operating budget to reimburse Mr. Larry Hornbeck for certain variable costs related to the Company’s use of the Ranch facilities and to replenish expendable goods used by Company invitees to the facilities. For 2022, the operating budget set by the Board was $325,000, inclusive of an annual use fee of $75,000. In the fall of 2022, in light of relaxed COVID-19 restrictions and market recovery, the Company fully reopened the lodge facilities, and the audit committee and the Board adjusted the operating budget to $415,000, inclusive of an annual use fee of $112,500. For 2023, the operating budget was set at $452,500, inclusive of an annual use fee of $150,000. For 2024, the operating budget was set at $450,000, inclusive of an annual use fee of $150,000. For 2025, the operating budget was set at $480,000, inclusive of an annual use fee of $150,000. </w:t>
      </w:r>
    </w:p>
    <w:p>
      <w:pPr>
        <w:pStyle w:val="TextBody"/>
        <w:bidi w:val="0"/>
        <w:spacing w:before="240" w:after="0"/>
        <w:jc w:val="left"/>
        <w:rPr>
          <w:rFonts w:ascii="Times New Roman" w:hAnsi="Times New Roman"/>
          <w:sz w:val="20"/>
        </w:rPr>
      </w:pPr>
      <w:r>
        <w:rPr>
          <w:rFonts w:ascii="Times New Roman" w:hAnsi="Times New Roman"/>
          <w:sz w:val="20"/>
        </w:rPr>
        <w:t xml:space="preserve">In 2006, Larry D. Hornbeck transferred ownership of the land on which the Ranch is located to a family limited partnership in which trusts on behalf of the children of Todd M. Hornbeck and Troy A. Hornbeck are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limited partners. The general partner of the family limited partnership is controlled by Todd M. Hornbeck and Troy A. Hornbeck. The family limited partnership has entered into a long-term lease of the property to Larry Hornbeck and acknowledged and agreed to the Company’s use of the Ranch and related facilities under the Facilities Use Agreement and the Indemnification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provided, and may, from time to time in the future at its own expense and with Mr. Larry Hornbeck’s prior approval, provide additional amenities for its representatives and invitees. Certain of these amenities may, by their nature, remain with the property should the Company ever cease to use the Ranch. In approving the Facilities Use Agreement and establishing the use fee amount, the audit committee and independent members of the Board considered the costs of comparable third-party facilities and determined that the combined facilities use fee and anticipated reimbursement of variable costs were substantially lower than costs for the use of such comparable facilities. </w:t>
      </w:r>
    </w:p>
    <w:p>
      <w:pPr>
        <w:pStyle w:val="TextBody"/>
        <w:bidi w:val="0"/>
        <w:spacing w:before="240" w:after="0"/>
        <w:jc w:val="left"/>
        <w:rPr>
          <w:rFonts w:ascii="Times New Roman" w:hAnsi="Times New Roman"/>
          <w:sz w:val="20"/>
        </w:rPr>
      </w:pPr>
      <w:r>
        <w:rPr>
          <w:rFonts w:ascii="Times New Roman" w:hAnsi="Times New Roman"/>
          <w:sz w:val="20"/>
        </w:rPr>
        <w:t xml:space="preserve">Mr. Larry Hornbeck has also agreed, among other things, to make himself available to the Company, the Chief Executive Officer of the Company, the Board of Directors or any committee of the Board of Directors to assist in the assessment of potential targets for acquisitions, to travel for Company projects, to attend industry meetings and to aid in other ways, in exchange for consideration of $20,333 per month paid as consulting fees pursuant to a consulting agreement dated as of September 4, 2020. This consulting agreement automatically renews on an annual basis unless either party provides the other party 30 days written notice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2022, Ms. Kerrigan assumed an officer role with an existing Hornbeck customer. For the nine months ended September 30, 2025 and the year ended December 31, 2024, the Company generated $52.1 million and $66.6 million of revenues from contracts with such customer, respectively, which accounted for approximately 9.6% and 13.9% of the Company’s total revenues, respectively. The Company had outstanding accounts receivable from this customer totaling $11.0 million and $9.4 million as of September 30, 2025 and December 31,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Third and Fourth Amended and Restated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Third A&amp;R License Agreement, the Company is required to make an annual payment to HFR of $1.0 million for use of the Hornbeck Brands. An additional fee is due upon the Company achieving certain EBITDA thresholds. The Company made payments of $2.0 million to HFR during each of the years ended December 31, 2024 and 2023, respectively, for licensing fees associated with the use of the Hornbeck Brands. Upon closing of this offering, the Company will have entered into a Fourth Amended and Restated Trade Name and Trademark License Agreement (the “Fourth A&amp;R License Agreement”) that eliminates the ongoing annual $1 million fee and EBITDA bonus in exchange for a single one-time payment of $10 million paid to HFR. The license will be for ten years and renewable for an additional ten years for a payment of $10 million (adjusted for inflation over the first ten-year term). For additional details and risks associated with the Fourth A&amp;R License Agreement, see “Risk Factors—We do not own the Hornbeck Brands, but may use the Hornbeck Brands pursuant to the terms of a license granted by HFR, and our business may be materially harmed if we breach our license agreement or it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Amended and Restated Securityholders’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A&amp;R Securityholders Agreement, we will agree to take all necessary action (subject to applicable law) to cause the election of each director designated by the principal stockholders managed or advised by Ares, Highbridge or Whitebox or their respective affiliates in their capacities as Appointing Persons in accordance with the terms of our amended and restated certificate of incorporation. The A&amp;R Securityholders’ Agreement also provides that we will agree to take all necessary action (subject to applicable law) to cause any vacancies created by death, resignation, removal, retirement or disqualification of a director designated by an Appointing Person to be filled by such Appointing Person in accordance with the terms of our amended and restated certificate of incorporation. The A&amp;R Securityholders Agreement will also provide our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with certain information rights, including certain limited access to our books, records and accounts and the ability to share such information with our principal stockholders, for so long as such holder owns at least the Minimum Threshold of our Fully Diluted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this offering, we will enter into a registration rights agreement (the “Registration Rights Agreement”) with our principal stockholders granting them certain registration rights. Specifically, we will agree to register the sale of shares of our common stock owned by, or issuable upon exercise of the Jones Act Warrants and Creditor Warrants owned by, such principal stockholders under certain circumstances, and to provide such principal stockholders with certain customary demand and “piggyback” rights. These registration rights will be subject to certain conditions and limitations. We will generally be obligated to pay all registration expenses in connection with these registration obligations, regardless of whether a registration statement is filed or becomes effective. </w:t>
      </w:r>
    </w:p>
    <w:p>
      <w:pPr>
        <w:pStyle w:val="TextBody"/>
        <w:bidi w:val="0"/>
        <w:spacing w:before="360" w:after="0"/>
        <w:jc w:val="left"/>
        <w:rPr>
          <w:rFonts w:ascii="Times New Roman" w:hAnsi="Times New Roman"/>
          <w:b/>
          <w:sz w:val="20"/>
        </w:rPr>
      </w:pPr>
      <w:r>
        <w:rPr>
          <w:rFonts w:ascii="Times New Roman" w:hAnsi="Times New Roman"/>
          <w:b/>
          <w:sz w:val="20"/>
        </w:rPr>
        <w:t xml:space="preserve">Directed Share Program </w:t>
      </w:r>
    </w:p>
    <w:p>
      <w:pPr>
        <w:pStyle w:val="TextBody"/>
        <w:bidi w:val="0"/>
        <w:spacing w:before="120" w:after="0"/>
        <w:jc w:val="left"/>
        <w:rPr>
          <w:rFonts w:ascii="Times New Roman" w:hAnsi="Times New Roman"/>
          <w:sz w:val="20"/>
        </w:rPr>
      </w:pPr>
      <w:r>
        <w:rPr>
          <w:rFonts w:ascii="Times New Roman" w:hAnsi="Times New Roman"/>
          <w:sz w:val="20"/>
        </w:rPr>
        <w:t xml:space="preserve">At our request, the underwriters have reserved up to 5% of the shares of common stock offered by this prospectus for sale, at the initial public offering price to certain individuals through a directed share program, including our directors, officers, employees and other persons identified by the Company. The number of shares of our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Participants in the directed share program will not be subject to the terms of any lock-up agreement with respect to any shares purchased through the directed share program, except in the case of shares purchased by any of our directors or officers, and our existing significant stockholders. J.P. Morgan Securities LLC will administer our directed share program. We have agreed to indemnify J.P. Morgan Securities LLC in connection with the directed share program, including for the failure of any participant to pay for its shares. Other than the underwriting discount set forth on the cover page of this prospectus, the underwriters will not be entitled to any commission with respect to shares of our common stock sold pursuant to the directed share program. See “Underwriting (Conflicts of Interest)—Directed Share Program.” </w:t>
      </w:r>
    </w:p>
    <w:p>
      <w:pPr>
        <w:pStyle w:val="TextBody"/>
        <w:bidi w:val="0"/>
        <w:spacing w:before="360" w:after="0"/>
        <w:jc w:val="left"/>
        <w:rPr>
          <w:rFonts w:ascii="Times New Roman" w:hAnsi="Times New Roman"/>
          <w:b/>
          <w:sz w:val="20"/>
        </w:rPr>
      </w:pPr>
      <w:r>
        <w:rPr>
          <w:rFonts w:ascii="Times New Roman" w:hAnsi="Times New Roman"/>
          <w:b/>
          <w:sz w:val="20"/>
        </w:rPr>
        <w:t xml:space="preserve">Review, Approval or Ratification of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We review any transaction in which the Company, a subsidiary of the Company, or our directors, executive officers or their immediate family members or any nominee for director or a holder of more than 5% of any class of our voting security are a participant and the amount of the transaction exceeds $120,000. Our General Counsel and Secretary is primarily responsible for the development and implementation of processes and controls to obtain information from directors and officers with respect to a related party transaction, including information provided to management in the annual director and officer questionnaires. The Company’s practice when such matters have been disclosed has been to refer the matter for consideration and final determination by the audit committee or the independent directors of the Board of Directors, or both, which have considered the fairness of the transaction to the Company, as well as other factors bearing upon its appropriateness. In all such matters, any director having a conflicting interest abstains from voting on the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rom65571_12"/>
      <w:bookmarkEnd w:id="13"/>
      <w:r>
        <w:rPr>
          <w:rFonts w:ascii="Times New Roman" w:hAnsi="Times New Roman"/>
          <w:b/>
          <w:sz w:val="20"/>
        </w:rPr>
        <w:t xml:space="preserve">DESCRIPTION OF CAPITAL STOCK AND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material terms of, and is qualified in its entirety by, our amended and restated certificate of incorporation, our amended and restated bylaws, the A&amp;R Securityholders Agreement, each of which will be in effect upon the consummation of this offering, the Jones Act Warrant Agreement (as defined below) and the Creditor Warrant Agreement (as defined below), all of which are filed as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and after giving effect to the stock split, our authorized capital stock of will consist of      shares of common stock, par value $0.00001 per share, of which      shares will be issued and outstanding, and      shares of preferred stock, par value $0.00001 per share, of which no shares will be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Following this offering, we will have one outstanding class of stock, our common stock, and all voting rights will be vested in the holders of our common stock. On all matters subject to a vote of stockholders, stockholders will be entitled to one vote for each share of common stock owned. Stockholders will not have cumulative voting rights with respect to the election of directors. </w:t>
      </w:r>
    </w:p>
    <w:p>
      <w:pPr>
        <w:pStyle w:val="TextBody"/>
        <w:bidi w:val="0"/>
        <w:spacing w:before="24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Holders of common stock will be entitled to receive dividends, if any, in the amounts and at the times declared by the Board of Directors. </w:t>
      </w:r>
    </w:p>
    <w:p>
      <w:pPr>
        <w:pStyle w:val="TextBody"/>
        <w:bidi w:val="0"/>
        <w:spacing w:before="240" w:after="0"/>
        <w:jc w:val="left"/>
        <w:rPr>
          <w:rFonts w:ascii="Times New Roman" w:hAnsi="Times New Roman"/>
          <w:sz w:val="20"/>
        </w:rPr>
      </w:pPr>
      <w:r>
        <w:rPr>
          <w:rFonts w:ascii="Times New Roman" w:hAnsi="Times New Roman"/>
          <w:i/>
          <w:sz w:val="20"/>
        </w:rPr>
        <w:t>Liquidation Rights</w:t>
      </w:r>
      <w:r>
        <w:rPr>
          <w:rFonts w:ascii="Times New Roman" w:hAnsi="Times New Roman"/>
          <w:sz w:val="20"/>
        </w:rPr>
        <w:t xml:space="preserve">. Upon our liquidation, dissolution or winding-up, the assets legally available for distribution to our stockholders would be distributable ratably among the holders of our common stock and any participating preferred stock outstanding at that time after payment of liquidation preferences, if any, on any outstanding shares of preferred stock and payment of claims of creditors. </w:t>
      </w:r>
    </w:p>
    <w:p>
      <w:pPr>
        <w:pStyle w:val="TextBody"/>
        <w:bidi w:val="0"/>
        <w:spacing w:before="240" w:after="0"/>
        <w:jc w:val="left"/>
        <w:rPr>
          <w:rFonts w:ascii="Times New Roman" w:hAnsi="Times New Roman"/>
          <w:sz w:val="20"/>
        </w:rPr>
      </w:pPr>
      <w:r>
        <w:rPr>
          <w:rFonts w:ascii="Times New Roman" w:hAnsi="Times New Roman"/>
          <w:i/>
          <w:sz w:val="20"/>
        </w:rPr>
        <w:t>Assessment and Redemption</w:t>
      </w:r>
      <w:r>
        <w:rPr>
          <w:rFonts w:ascii="Times New Roman" w:hAnsi="Times New Roman"/>
          <w:sz w:val="20"/>
        </w:rPr>
        <w:t xml:space="preserve">. All shares of common stock that will be outstanding at the time of the completion of the offering will be validly issued, fully paid and nonassessable. There will be no provision for any voluntary redemption of common stock. </w:t>
      </w:r>
    </w:p>
    <w:p>
      <w:pPr>
        <w:pStyle w:val="TextBody"/>
        <w:bidi w:val="0"/>
        <w:spacing w:before="240" w:after="0"/>
        <w:jc w:val="left"/>
        <w:rPr>
          <w:rFonts w:ascii="Times New Roman" w:hAnsi="Times New Roman"/>
          <w:sz w:val="20"/>
        </w:rPr>
      </w:pPr>
      <w:r>
        <w:rPr>
          <w:rFonts w:ascii="Times New Roman" w:hAnsi="Times New Roman"/>
          <w:i/>
          <w:sz w:val="20"/>
        </w:rPr>
        <w:t>Preemptive Rights</w:t>
      </w:r>
      <w:r>
        <w:rPr>
          <w:rFonts w:ascii="Times New Roman" w:hAnsi="Times New Roman"/>
          <w:sz w:val="20"/>
        </w:rPr>
        <w:t xml:space="preserve">. Upon the completion of this offering, holders of our common stock will not have any preemptive right to subscribe to an additional issue of its common stock or to any security convertible into such stock. </w:t>
      </w:r>
    </w:p>
    <w:p>
      <w:pPr>
        <w:pStyle w:val="TextBody"/>
        <w:bidi w:val="0"/>
        <w:spacing w:before="240" w:after="0"/>
        <w:jc w:val="left"/>
        <w:rPr>
          <w:rFonts w:ascii="Times New Roman" w:hAnsi="Times New Roman"/>
          <w:sz w:val="20"/>
        </w:rPr>
      </w:pPr>
      <w:r>
        <w:rPr>
          <w:rFonts w:ascii="Times New Roman" w:hAnsi="Times New Roman"/>
          <w:i/>
          <w:sz w:val="20"/>
        </w:rPr>
        <w:t>Limitations on Ownership by Non-U.S. Citizens</w:t>
      </w:r>
      <w:r>
        <w:rPr>
          <w:rFonts w:ascii="Times New Roman" w:hAnsi="Times New Roman"/>
          <w:sz w:val="20"/>
        </w:rPr>
        <w:t xml:space="preserve">. We own and operate U.S.-flag vessels in the U.S. coastwise trade. Accordingly,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restricts ownership of the shares of our outstanding common stock by non-U.S. citizens in the aggregate to not more than 21%, with certain limited grandfathered circumstances allowing up to 24% of the outstanding shares of our common stock to be owned by non-U.S. citizens on and after the effective date of the initial public offering. As of October 31, 2025, approximately 23.8% of the Company’s issued and outstanding common stock is owned by non-U.S. citizens and, after giving effect to this offering,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expects the percentage of its common stock owned by non-U.S. citizens to decrease to approximately    %. Our amended and restated certificate of incorporation further prohibits the acquisition of shares by a non-U.S. citizen where (i) such acquisition would cause the aggregate number of shares held by all non-U.S. citizens to exceed 21% of our issued and outstanding common stock and (ii) such acquisition would cause the aggregate number of shares held by any individual non-U.S. citizen to exceed 4.9% of our issued and outstanding common stock. Our amended and restated certificate of incorporation further provides the Board of Directors with authority to redeem any share of common stock that is owned by non-U.S. citizens that would result in ownership by non-U.S. citizens in the aggregate in excess of 21% of our issued and outstanding common stock,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Our amended and restated certificate of incorporation further provides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following this offering, we will have two series of outstanding warrants: (i) warrants issued to certain creditors of the Company in settlement of the Creditor Warrants and (ii) warrants issued to certain non-U.S. citizens in settlement of certain prepetition liabilities in connection with the consummation of the Chapter 11 Cases (the “Jones Act Warrants” and together with the Creditor Warrants,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Creditor Warrants have seven-year terms and are exercisable through September 4, 2027. Each Creditor Warrant represents the right to purchase one share of common stock, par value $0.00001 per share, at an exercise price of $27.83 per share ($    per share after giving effect to the stock split), subject to certain adjustments as provided in the Creditor Warrant Agreement, dated as of September 4, 2020 (as amended,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offering and after giving effect to the stock split, there will be outstanding Creditor Warrants to purchase up to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Jones Act Warrants have a perpetual term and are exercisable until the date on which no Jones Act Warrants remain outstanding. Each Jones Act Warrant represents the right to purchase one share of common stock, par value $0.00001 per share, for an exercise price of $0.00001 per share, subject to certain adjustments as provided in, and all other terms and conditions of, the Jones Act Warrant Agreement, dated as of September 4, 2020 (as amended, the “Jones Act Warrant Agreement”), pursuant to which such warrants were issued, including the limitations on foreign ownership as set forth in our amended and restated certificate of incorporation that are intended to assist us in complying with the Jones Act.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offering and after giving effect to the stock split, assuming no issuance or exercise of additional Jones Act Warrants, there will be outstanding Jones Act Warrants to purchase up to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issue up to     shares of our preferred stock in one or more series, to establish from time to time the number of shares to be included in each series, to fix the designation, powers, preferences and rights of the shares of each series and any qualifications, limitations or restrictions thereof, in each case without further action by our stockholders. Subject to the terms of any series of preferred stock so designated, our Board of Directors will also be authorized to increase or decrease the number of shares of any series of preferred stock, but not below the number of shares of that series then outstanding. Our Board of Directors will be able to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could adversely affect the market price of our common stock and the voting and other rights of the holders of our common stock. We have no current plan to issue any shares of preferred stock in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Limitations on Liability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As permitted by the DGCL, our amended and restated certificate of incorporation contains provisions that eliminate the personal liability of our directors and officers to us and our stockholders to the fullest extent permitted by the DGCL. However, these provisions do not limit or eliminate the rights of us or any stockholder to seek an injunction or any other non-monetary relief in the event of a breach of a director or officer’s fiduciary duty and do not limit or eliminate the liability of directors under the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to the fullest extent authorized or permitted by the DGCL, as now in effect or as amended, we will indemnify any person who was or is a party or is threatened to be made a party to or is otherwise involved (including involvement, without limitation, as a witness) in any actual or threatened action, suit or proceeding by reason of the fact that such person is or was our director, advisory director, board observer or officer, or by reason of the fact that our director, advisory director, board observer or officer is or was serving, at our request, as a director, advisory director, board observer, officer, employee or agent of another corporation or of a partnership, joint venture, trust or other enterprise, including service with respect to employee benefit plans. We will indemnify such persons against expenses, liabilities, and loss (including attorneys’ fees and related disbursements, judgments, fines, excise taxes or penalties under the Employee Retirement Income Security Act of 1974, penalties and amounts paid in settlement) reasonably incurred or suffered in connection with such action. Our amended and restated certificate of incorporation further provides that we shall only be required to indemnify a person potentially eligible for indemnification (as specified above) in connection with a proceeding commenced by such person if the commencement of such proceeding (or part thereof) by the person was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DGCL permits us to purchase and maintain insurance on behalf of any person who is such a director or officer for acts committed or omissions in their capacities as such directors or officers. We currently hold and intend to maintain such liability insurance.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our amended and restated certificate of incorporation and bylaws may have an anti-takeover effect and may delay, defer or prevent a merger, acquisition, tender offer, takeover attempt or other change of control transaction or other attempts to influence or replace our incumbent directors and officers. These provisions are summarized below.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203 of the DGCL</w:t>
      </w:r>
      <w:r>
        <w:rPr>
          <w:rFonts w:ascii="Times New Roman" w:hAnsi="Times New Roman"/>
          <w:sz w:val="20"/>
        </w:rPr>
        <w:t xml:space="preserve">. We have opted out of Section 203 of the DGCL. This statute prevents certain Delaware corporations, under certain circumstances, from engaging in a “business combination” with any interested shareholder for a period of three years following the date that the shareholder became an interested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shareholder, with certain exceptions. We have opted out of the provisions of Section 203 of the DGCL because we believe this statute could prohibit or delay mergers or other change in control attempts, and thus may discourage attempts to acquire us.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the Board of Directors to issue authorized but unissued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the Board of Directors with the authority to determine and fix the powers, preferences, rights, qualifications, limitations and restrictions of shares of preferred stock issued by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Nomination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following the completion of this offering, the Ares principal stockholders will have the right to nominate to our Board of Directors (i) two nominees for so long as the Ares principal stockholders beneficially own 20% or greater of our Fully Diluted Securities and (ii) one nominee for so long as the Ares principal stockholders beneficially own at least the Minimum Threshold of our Fully Diluted Securities, but less than 20% of our Fully Diluted Securities. Aaron Rosen and James McConeghy will be the initial director nominees of the Ares principal stockholders. The Highbridge principal stockholders will have the right to nominate to our Board of Directors one nominee for so long as the Highbridge principal stockholders beneficially own at least the Minimum Threshold of our Fully Diluted Securities. Sylvia Jo Sydow Kerrigan will be the initial director nominee of the Highbridge principal stockholders. The Whitebox principal stockholders will have the right to nominate to our Board of Directors one nominee for so long as the Whitebox principal stockholders beneficially own at least the Minimum Threshold of our Fully Diluted Securities. Jacob Mercer will be the initial director nominee of the Whitebox principal stockholders. Further, for so long as any Appointing Person beneficially owns at least the Minimum Threshold of our Fully Diluted Securities, subject to applicable law and NYSE rules, such Appointing Person shall have the right to designate one director to serve on each of the compensation and the nominating, corporate governance and sustainability committees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Consent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for so long as the principal stockholders who retain director nomination rights collectively own at least 30% of the Fully Diluted Securities, the following actions will require the prior written consent of the Ares principal stockholders and at least one of Highbridge or Whitebox: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Merging or consolidating with or into any other entity, or transferring all or substantially all of our assets, taken as a whole, to another entity, or undertaking any transaction that would constitute a “Change of Control” as defined in the Company’s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Acquiring or disposing of assets, in a single transaction or a series of related transactions, or entering into joint ventures, investments into an unrelated party or contracts (other than charter agreements consistent with past practice), in each case with a value in excess of the greater of (i) thirty percent of the total assets of the Company and its subsidiaries consolidated as of the end of the most recently completed fiscal year and (ii) $30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Incurring indebtedness in a single transaction or a series of related transactions in an aggregate principal amount that both (i) causes the Company’s ratio of debt to EBITDA to exceed 3:1 and (ii) exceeds $50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removing, terminating, hiring or designating the Chief Executive Officer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Issuing the equity of the Company or any of its subsidiaries other than pursuant to an equity compensation plan approved by the stockholders or a majority of the directors nominated by the Appointing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any transactions, agreements, arrangements or payments with any Appointing Person or any other person who, together with its affiliates, owns greater than or equal to 10% of the common stock then outstanding that are material or involve aggregate payments or receipts in excess of $250,000;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Commencing any liquidation, dissolution or voluntary bankruptcy, administration, recapitalization or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or decreasing the size of the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any agreement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so long as any of the principal stockholders own any Fully Diluted Securities, each of the following actions shall require the prior written consent of such principal stockholder: (i) any amendment, waiver or other modification of the A&amp;R Securityholders Agreement or any other stockholders’ agreement with respect to the shares of common stock to which such principal stockholder is a party; and (ii) any amendment of our amended and restated certificate of incorporation or amended and restated certificate bylaws that adversely affects any personal right of such principal stockholder thereunder in any material respect or disproportionately and adversely affects such principal stockholder thereunder in any material respect.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advance notice procedures for stockholders to nominate candidates for election as directors at our annual and special meetings of stockholders and for stockholders seeking to bring business before its annual meeting of stockholders. Our amended and restated bylaws also specify certain requirements regarding the form and content of a stockholder’s notice.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of the Amended and Restated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At any time after the date that the Appointing Persons cease to collectively own at least 35% of our outstanding common stock (the “Trigger Date”), the amendment of certain customary provisions of our amended and restated certificate of incorporation will require the approval of at least two-thirds of the voting power of our outstanding common stock. Subject to the consent rights described above, the Board of Directors may amend our amended and restated bylaws without stockholder approval, and the stockholders may amend our amended and restated bylaws by the affirmative vote of a majority of the voting power of our outstanding common stock; provided, however, that after the Trigger Date, the stockholders may amend our amended and restated bylaws only upon the affirmative vote of two-thirds of the voting power of our outstanding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Size of the Board of Directors and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Board of Directors consist of not less than seven members and not more than eleven members, and shall initially consist of ten members upon completion of this offering. Subject to the foregoing, the number of members may be fixed by a resolution adopted by a majority of the Board of Directors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granted to the holders of any one or more series of preferred stock then outstanding, and unless otherwise required by law, any vacancies on the Board of Directors, and any newly created directorships resulting from any increase in the authorized number of directors, will be filled only by the affirmative vote of a majority of the directors then in office, even if less than a quorum, or by a sole remaining director, in each case, in the manner permitted by the A&amp;R Securityholders Agreement and our amended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restated certificate of incorporation and subject to the rights of the Appointing Persons set forth in the A&amp;R Securityholders Agreement and our amended and restated certificate of incorporation. Notwithstanding the foregoing, our amended and restated certificate of incorporation provides that if at any time the Chief Executive Officer of the Company is removed, resigns or is otherwise replaced, then such person shall automatically, and without any action by the Board of Directors or the stockholders of the Company, cease to be a director, and such vacancy shall be reserved for and filled by the successor Chief Executive Officer. </w:t>
      </w:r>
    </w:p>
    <w:p>
      <w:pPr>
        <w:pStyle w:val="TextBody"/>
        <w:bidi w:val="0"/>
        <w:spacing w:before="360" w:after="0"/>
        <w:jc w:val="left"/>
        <w:rPr>
          <w:rFonts w:ascii="Times New Roman" w:hAnsi="Times New Roman"/>
          <w:b/>
          <w:sz w:val="20"/>
        </w:rPr>
      </w:pPr>
      <w:r>
        <w:rPr>
          <w:rFonts w:ascii="Times New Roman" w:hAnsi="Times New Roman"/>
          <w:b/>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Directors may be removed with or without cause by the affirmative vote of at least a majority of the voting power of our outstanding common stock. Each Appointing Person will have the right to remove without cause any director that is an employee of such Appointing Person and that was designated by such Appointing Person.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Ownership by Non-U.S. Citizens </w:t>
      </w:r>
    </w:p>
    <w:p>
      <w:pPr>
        <w:pStyle w:val="TextBody"/>
        <w:bidi w:val="0"/>
        <w:spacing w:before="120" w:after="0"/>
        <w:jc w:val="left"/>
        <w:rPr>
          <w:rFonts w:ascii="Times New Roman" w:hAnsi="Times New Roman"/>
          <w:sz w:val="20"/>
        </w:rPr>
      </w:pPr>
      <w:r>
        <w:rPr>
          <w:rFonts w:ascii="Times New Roman" w:hAnsi="Times New Roman"/>
          <w:sz w:val="20"/>
        </w:rPr>
        <w:t xml:space="preserve">Because we own and operate U.S.-flag vessels in the U.S. coastwise trade,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restricts ownership of the shares of its outstanding common stock by non-U.S. citizens in the aggregate to not more than 21%, with certain limited grandfathered circumstances allowing up to 24% of the outstanding shares of our common stock to be owned by non-U.S. citizens on and after the effective date of the initial public offering. As of October 31, 2025, approximately 23.8% of the Company’s issued and outstanding common stock is owned by non-U.S. citizens and, after giving effect to this offering, the Company expects the percentage of its common stock owned by non-U.S. citizens to decrease to approximately    %. Our amended and restated certificate of incorporation further prohibits the acquisition of shares by a non-U.S. citizen where (i) such acquisition would cause the aggregate number of shares held by all non-U.S. citizens to exceed 21% of our issued and outstanding common stock and (ii) such acquisition would cause the aggregate number of shares held by any individual non-U.S. citizen to exceed 4.9% of our issued and outstanding common stock. Our amended and restated certificate of incorporation further provides the Board of Directors with authority to redeem any share of common stock that is owned by non-U.S. citizens that would result in ownership by non-U.S. citizens in the aggregate in excess of 21% of our issued and outstanding common stock,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Our amended and restated certificate of incorporation also provides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to the selection of an alternative forum, the Court of Chancery of the State of Delaware will, to the fullest extent permitted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If the Court of Chancery lacks subject matter jurisdiction, a federal district court of the United States of America located in the State of Delaware will be the exclusive forum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the forum selection provision with respect to such claims, and in any event, our stockholders would not be deemed to have waived our compliance with federal securities laws and the rules and regulations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For a description of registration rights relating to our common stock (or shares of our common stock issuable upon the exercise of our Jones Act Warrants or Creditor Warrants), see “Certain Relationships and Related Party Transactions—Registration Rights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have applied to have our common stock approved for listing on the NYSE under the symbol “HOS.”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rom65571_13"/>
      <w:bookmarkEnd w:id="14"/>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this offering and after giving effect to the stock split, we will have a total of     shares of our common stock outstanding. Additionally,      shares of our common stock will be issuable upon the exercise of Jones Act Warrants and      shares of our common stock will be issuable upon the exercise of Creditor Warrants, with an exercise price of $0.00001 per share and $    per share, respectively,      shares of our common stock will be issuable upon exercise of outstanding options, at an average weighted exercise price of $   , or upon settlement of restricted stock units under the 2020 Management Incentive Plan and      shares of common stock underlying the IPO Grants (calculated using the midpoint of the estimated offering price range shown on the cover page of this prospectus). In addition, shares of our common stock will be authorized and reserved for issuance in relation to potential future awards under our 2020 Management Incentive Plan and our 2026 Omnibus Incentive Plan to be adopted in connection with this offering. Of the outstanding shares of common stock, the      shares sold in this offering (or      shares if the underwriters exercise in full their option to purchase additional shares) will be freely tradable, other than certain shares sold pursuant to our directed share program that are subject to “lock up” restrictions as described under “Underwriting (Conflicts of Interest),”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below.      of the remaining shares of common stock that we will have outstanding upon completion of this offering that were not sold in this offering, as well as the Jones Act Warrants and the Creditor Warrants, were issued under Section 1145 of the U.S. Bankruptcy Code in connection with our emergence from Chapter 11 bankruptcy protection. Such shares of common stock (along with the shares of common stock issuable upon exercise of the Jones Act Warrants and the Creditor Warrants) were deemed (or will be deemed, in the case of shares underlying warrants) to have been issued in a public offering and may be resold as freely tradeable securities under the Securities Act, except for such shares held by our affiliates, or holders deemed to be “underwriters” as that term is defined in Section 1145(b) of the U.S. Bankruptcy Code, and except as subject to the limitations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(after giving effect to the stock split) held by our principal stockholders and certain of our directors and executive officers after this offering, representing  % of the total outstanding shares of our common stock following this offering, will be “restricted securities” and/or “control securities” within the meanings of Rule 144 and 701 under the Securities Act, which are subject to certain restrictions on resale. Restricted securities may be sold in the public market only if they are registered under the Securities Act or are sold pursuant to an exemption from registration such as Rule 144 and Rule 701,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and warrants or settlement of restricted stock units,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shares of our common stock then outstanding, which will equal approximately      shares immediately after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reported weekly trading volume of our common stock on the NYSE during the four calendar weeks preceding the filing of a notice on Form 144 with respect to such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Rule 701 as currently in effect, any of our employees, directors, officers, consultants or advisors who received shares from us in connection with a compensatory stock or option plan or other written agreement, including our 2020 Management Incentive Plan and our 2026 Omnibus Incentive Plan to be adopted in connection with this offering,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our directors and executive officers and certain holders of our outstanding common stock, Jones Act Warrants or Creditor Warrants, including our principal stockholders, prior to this offering, including the selling stockholders, will sign lock-up agreements with the underwriters that will, subject to certain exceptions, restrict the disposition of, or hedging with respect to, the shares of our common stock or securities convertible into or exercisable or exchangeable for shares of our common stock, each held by them (including any shares purchased by them pursuant to the directed share program), during the period ending 180 days after the date of this prospectus, except with the prior written consent of J.P. Morgan Securities LLC and Barclays Capital Inc. See “Underwriting (Conflicts of Interest)” for a description of these lock-up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For a description of registration rights relating to our common stock (or shares of our common stock issuable upon the exercise of our Jones Act Warrants or Creditor Warrants), see “Certain Relationships and Related Party Transactions—Registration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Registration Statement on Form S-8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one or more registration statements on Form S-8 under the Securities Act to register all of the shares of common stock subject to outstanding stock options and the shares of common stock subject to issuance under our 2020 Management Incentive Plan and our 2026 Omnibus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options, restricted stock, restricted stock units and performance stock units issued under our 2020 Management Incentive Plan and our 2026 Omnibus Incentive Plan will cover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rom65571_14"/>
      <w:bookmarkEnd w:id="15"/>
      <w:r>
        <w:rPr>
          <w:rFonts w:ascii="Times New Roman" w:hAnsi="Times New Roman"/>
          <w:b/>
          <w:sz w:val="20"/>
        </w:rPr>
        <w:t xml:space="preserve">MATERIAL U.S. FEDERAL INCOME TAX </w:t>
      </w:r>
    </w:p>
    <w:p>
      <w:pPr>
        <w:pStyle w:val="TextBody"/>
        <w:bidi w:val="0"/>
        <w:spacing w:before="0" w:after="0"/>
        <w:jc w:val="center"/>
        <w:rPr>
          <w:rFonts w:ascii="Times New Roman" w:hAnsi="Times New Roman"/>
          <w:b/>
          <w:sz w:val="20"/>
        </w:rPr>
      </w:pPr>
      <w:r>
        <w:rPr>
          <w:rFonts w:ascii="Times New Roman" w:hAnsi="Times New Roman"/>
          <w:b/>
          <w:sz w:val="20"/>
        </w:rPr>
        <w:t xml:space="preserve">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U.S. federal income tax considerations related to the purchase, ownership and disposition of our common stock by a non-U.S. holder (as defined below) that acquired such common stock pursuant to this offering and holds our common stock as a “capital asset” within the meaning of Section 1221 of the Code (generally property held for investment). This summary is based on the provisions of the Code, U.S. Department of Treasury regulations promulgated thereunder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(or any entities all of the interests of which are held by a qualified foreign pension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use the mark-to-market method of accounting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other arrangements treated as a partnership or pass-through entity for U.S. federal income tax purposes or holders of interests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our common stock through the exercise of employee stock options or otherwise as compensation or through a tax-qualified retirement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as part of a straddle, appreciated financial position, synthetic security, hedge, conversion transaction or other integrated investment or risk reduction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COMMON STOCK ARISING UNDER ANY OTHER TAX LAWS, INCLUDING THE U.S. FEDERAL ESTATE OR GIFT TAX LAWS OR UNDER THE LAWS OF ANY U.S. STATE OR LOCAL, NON-U.S. OR OTHER TAXING JURISDICTION OR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Non-U.S. Holder Defined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 beneficial owner of our common stock that is not for U.S. federal income tax purposes a partnership (or a partner therein) or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entitled “Dividend Policy,” while we do not currently anticipate paying dividends, depending on factors deemed relevant by our Board of Directors, following completion of this offering, our Board of Directors may elect to declare dividends on our common stock. If we do make distributions of cash or other property (other than certain stock distributions) on our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common stock (and will reduce such tax basis, until such basis equals zero) and thereafter as capital gain from the sale or exchange of such common stock. See “—Gain on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withholding requirements under FATCA (as defined below) and with respect to effectively connected dividends, each of which is discussed below, any distribution made to a non-U.S. holder on our common stock generally will be subject to U.S. federal withholding tax at a rate of 30% of the gross amount of the distribution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federal withholding tax (including backup withholding discussed below) if the non-U.S. holder satisfies certain certification requirements by providing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“—Additional Withholding Requirements under FATCA,” a non-U.S. holder generally will not be subject to U.S. federal income or withholding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a period or periods aggregating 183 days or more during the calendar year in which the sale or disposition occurs and certain other conditions are met;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conducted by the non-U.S. holder in the United States (and, if required by an applicable income tax treaty, is attributable to a permanent establishment maintained by the non-U.S. holder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and do not expect to become, a USRPHC for U.S. federal income tax purposes. However, if we are classified as a USRPHC or become a USRPHC in the future, as long as our common stock is and continues to be “regularly traded on an established securities market” (within the meaning of the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we are classified as a USRPHC or become a USRPHC in the future, and our common stock were not considered to be regularly traded on an established securities market, such non-U.S. holder (regardless of the percentage of stock owned) would be treated as disposing of a U.S. real property interest and would be subject to U.S. federal income tax on a taxable disposition of our common stock (as described in the preceding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 15% withholding tax would apply to the gross proceeds from such disposition (and to any distributions treated as a non-taxable return of capital or capital gain from the sale or exchange of such common stock as described above under “—Distributions”). </w:t>
      </w:r>
    </w:p>
    <w:p>
      <w:pPr>
        <w:pStyle w:val="TextBody"/>
        <w:bidi w:val="0"/>
        <w:spacing w:before="240" w:after="0"/>
        <w:jc w:val="left"/>
        <w:rPr>
          <w:rFonts w:ascii="Times New Roman" w:hAnsi="Times New Roman"/>
          <w:b/>
          <w:sz w:val="20"/>
        </w:rPr>
      </w:pPr>
      <w:r>
        <w:rPr>
          <w:rFonts w:ascii="Times New Roman" w:hAnsi="Times New Roman"/>
          <w:b/>
          <w:sz w:val="20"/>
        </w:rPr>
        <w:t xml:space="preserve">NON-U.S. HOLDERS SHOULD CONSULT THEIR TAX ADVISORS WITH RESPECT TO THE APPLICATION OF THE FOREGOING RULES TO THEIR PURCHASE, OWNERSHIP AND DISPOSITION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Payments of the proceeds from a sale or other disposition by a non-U.S. holder of our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under 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non-U.S. holder might be eligible for refunds or credits of such taxes. Non-U.S. holders are encouraged to consult their own tax advisors regarding the effects of FATCA on an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Although FATCA withholding could apply to gross proceeds on the disposition of our common stock, the U.S. Treasury released proposed Treasury Regulations (the “Proposed Regulations”) the preamble to which specifies that taxpayers may rely on them pending finalization. The Proposed Regulations eliminate FATCA withholding on the gross proceeds from a sale or other disposition of our common stock. There can be no assurance that the Proposed Regulations will be finalized in their present form.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OUR COMMON STOCK ARE URGED TO CONSULT THEIR OWN TAX ADVISORS REGARDING THE APPLICATION OF THE U.S. FEDERAL INCOME TAX LAWS (INCLUDING ANY POTENTIAL CHANGES THERETO) TO THEIR PARTICULAR SITUATIONS AND THE APPLICABILITY AND EFFECT OF ANY OTHER TAX LAWS, INCLUDING U.S. FEDERAL ESTATE AND GIFT TAX LAWS AND ANY U.S. STATE OR LOCAL OR NON-U.S. TAX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rom65571_15"/>
      <w:bookmarkEnd w:id="16"/>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are offering the shares of common stock described in this prospectus through a number of underwriters. J.P. Morgan Securities LLC and Barclays Capital Inc. are acting as joint book-running managers of the offering and as representatives of the underwriters. We and the selling stockholders have entered into an underwriting agreement with the underwriters.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63"/>
        <w:gridCol w:w="279"/>
        <w:gridCol w:w="65"/>
        <w:gridCol w:w="1069"/>
        <w:gridCol w:w="63"/>
      </w:tblGrid>
      <w:tr>
        <w:trPr/>
        <w:tc>
          <w:tcPr>
            <w:tcW w:w="5463"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79"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DNB Carnegie, Inc.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BTIG,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Johnson Rice &amp; Company L.L.C.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PEP Advisory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Seaport Global Securities LLC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Drexel Hamilton, LLC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shares of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shares of common stock are not sold at the initial public offering price,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options to buy up to      additional shares of common stock from the selling stockholders to cover sales of shares by the underwriters which exceed the number of shares specified in the table above. The underwriters have 30 days from the date of this prospectus to exercise these options to purchase additional shares. If any shares are purchased with these options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less the amount paid by the underwriters to us and the selling stockholders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0"/>
        <w:gridCol w:w="532"/>
        <w:gridCol w:w="208"/>
        <w:gridCol w:w="1620"/>
        <w:gridCol w:w="60"/>
        <w:gridCol w:w="532"/>
        <w:gridCol w:w="208"/>
        <w:gridCol w:w="1620"/>
        <w:gridCol w:w="65"/>
      </w:tblGrid>
      <w:tr>
        <w:trPr/>
        <w:tc>
          <w:tcPr>
            <w:tcW w:w="2910"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1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pPr>
            <w:r>
              <w:rPr>
                <w:b/>
              </w:rPr>
              <w:t>Without</w:t>
            </w:r>
            <w:r>
              <w:rPr/>
              <w:br/>
            </w:r>
            <w:r>
              <w:rPr>
                <w:b/>
              </w:rPr>
              <w:t>option to</w:t>
              <w:br/>
              <w:t>purchase</w:t>
              <w:br/>
              <w:t>additional shares</w:t>
              <w:br/>
              <w:t>exercise</w:t>
            </w:r>
          </w:p>
        </w:tc>
        <w:tc>
          <w:tcPr>
            <w:tcW w:w="6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pPr>
            <w:r>
              <w:rPr>
                <w:b/>
              </w:rPr>
              <w:t>With full</w:t>
            </w:r>
            <w:r>
              <w:rPr/>
              <w:br/>
            </w:r>
            <w:r>
              <w:rPr>
                <w:b/>
              </w:rPr>
              <w:t>option to</w:t>
              <w:br/>
              <w:t>purchase</w:t>
              <w:br/>
              <w:t>additional shares</w:t>
              <w:br/>
              <w:t>exercise</w:t>
            </w:r>
          </w:p>
        </w:tc>
        <w:tc>
          <w:tcPr>
            <w:tcW w:w="65" w:type="dxa"/>
            <w:tcBorders/>
            <w:vAlign w:val="bottom"/>
          </w:tcPr>
          <w:p>
            <w:pPr>
              <w:pStyle w:val="TableContents"/>
              <w:bidi w:val="0"/>
              <w:spacing w:before="0" w:after="283"/>
              <w:jc w:val="left"/>
              <w:rPr/>
            </w:pPr>
            <w:r>
              <w:rPr/>
              <w:t> </w:t>
            </w:r>
          </w:p>
        </w:tc>
      </w:tr>
      <w:tr>
        <w:trPr/>
        <w:tc>
          <w:tcPr>
            <w:tcW w:w="2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53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91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6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62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estimate that the total expenses of this offering, including registration, filing and listing fees, printing fees and legal and accounting expenses, but excluding the underwriting discounts and commissions, will be approximately $    . We have also agreed to reimburse the underwriters for certain of their expenses in connection with this offering in an amount up to $    .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 the foregoing, or (ii) enter into any swap or other arrangement that transfers, in whole or in part, any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Barclays Capital Inc. for a period of one hundred eighty (180) days after the date of this prospectus, other than the shares of our common stock to be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on our actions, as described above, do not apply to certain transactions, including (i) the offer, issuance, sale and disposition of the shares of our common stock under the underwriting agreement, (ii) the issuance of shares of common stock or securities convertible into or exercisable for shares of our common stock pursuant to the conversion or exchange of convertible or exchangeable securities, warrants or options (including net exercise) or the settlement of restricted stock units or performance stock units (including net settlement), in each case outstanding on the date of the underwriting agreement and described in this prospectus; (iii) grants of stock options, stock awards, restricted stock, restricted stock units, performance stock units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as of the closing of this offering and described in this prospectus, provided that any such recipient who is an executive officer or director of ours enters into a lock-up agreement with the underwriters; (iv) the issuance of up to 10% of the outstanding shares of our common stock, or securities convertible into, exercisable for, or which are otherwise exchangeable for, our common stock, immediately following the closing of this offering, in acquisitions or other similar strategic transactions, provided that such recipients enter into a lock-up agreement with the underwriters; (v) the facilitation of the establishment of a trading plan pursuant to Rule 10b5-1 under the Exchange Act, provided that such plan does not provide for the transfer of Common Stock during the one hundred eighty (180)-day restricted period; (vi)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or (vii) submission to the SEC of a draft registration statement under the Securities Act on a confidential basis pursuant to the rules of the SEC, provided that with respect to this clause (viii), (a) no public filing with the SEC or any other public announcement may be made during the one hundred eighty (180)-day restricted period in relation to such registration, (b) J.P. Morgan Securities LLC and Barclays Capital Inc. must have received prior written consent from the Company of such submission with the SEC during the one hundred eighty (180)-day restricted period at least seven (7) business days prior to such submission, and (c) no securities of the Company may be sold, distributed or exchanged prior to the expiration of the one hundred eighty (180)-day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the selling stockholders and substantially all of our stockholders holding in the aggregate approximately 95% of the outstanding shares of our common stock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Barclays Capital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charitable contributions or for bona fide estate planning purposes, (ii) by will or intestacy, (iii) to any trust for the direct or indirect benefit of the lock-up party or any immediate family member or, if the lock-up party is a trust, to a trustor or beneficiary of the trust or to the estate of a beneficiary of such trust,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vehicle, account, portion of a fund, vehicle or account or other entity controlling, controlled by, managing or managed by or under common control with the lock-up party or its affiliates (including, for the avoidance of doubt, where the lock-up party is a partnership, to its general partner or a successor partnership or fund, vehicle, accounts or portions of funds, vehicles or accounts or any other funds, managed by such partnership) or (B) as part of a distribution to partners, members. stockholders or other equityholders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performance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outstanding options, settlement of restricted stock units or other equity awards granted pursuant to plans described in this prospectus or the exercise of warrants,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establishment by lock-up parties of trading plans under Rule 10b5-1 under the Exchange Act, provided that such plan does not provide for the transfer of lock-up securities during the restricted period (other than for the payment of exercise price and tax remittance payments due as a result of the vesting, settlement, or exercise of restricted stock units, performance stock units, options, warrants or rights); and (e) the sale of our common stock pursuant to the terms 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and Barclays Capital Inc., in their sole discretion, may release the securities subject to any of the lock-up agreements with the underwriters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applied to have our common stock approved for listing on the NYSE under the symbol “HOS”.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prior class of common stock was delisted in July 2020, and 4,366,348 shares of our new common stock were issued on September 4, 2020. As a result, since July 2020,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this prospectus and otherwise available to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assessment of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for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condition of the securities markets at the time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recent market prices of, and demand for, publicly traded common stock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deemed relevant by the underwriters and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can assure investors that an active trading market will develop for our shares of common stock, or that the shares will trade in the public market at or above the initial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consulting, investment banking and other services for us and such affiliates in the ordinary course of their business, for which they have received and may continue to receive customary fees and commissions. In addition, certain of the underwriters and their affiliates are, or may become, lenders under the First Lien Revolving Credit Facility, for which such underwriters and their affiliates have received customary fees.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Conflict of Interest </w:t>
      </w:r>
    </w:p>
    <w:p>
      <w:pPr>
        <w:pStyle w:val="TextBody"/>
        <w:bidi w:val="0"/>
        <w:spacing w:before="120" w:after="0"/>
        <w:jc w:val="left"/>
        <w:rPr>
          <w:rFonts w:ascii="Times New Roman" w:hAnsi="Times New Roman"/>
          <w:sz w:val="20"/>
        </w:rPr>
      </w:pPr>
      <w:r>
        <w:rPr>
          <w:rFonts w:ascii="Times New Roman" w:hAnsi="Times New Roman"/>
          <w:sz w:val="20"/>
        </w:rPr>
        <w:t xml:space="preserve">Highbridge is an indirect subsidiary of J.P. Morgan Chase &amp; Co. and, prior to this offering, beneficially owns more than 10% of our common stock on a fully diluted basis (including both shares of common stock and shares issuable upon the exercise of Jones Act Warrants and Creditor Warrants). Highbridge is a selling stockholder in this offering and, as such, may receive more than 5%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Because of this relationship, J.P. Morgan Securities LLC is deemed to have a “conflict of interest” under FINRA Rule 5121. Accordingly, this offering is being conducted in accordance with the applicable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FINRA Rule 5121, including the requirement that a “qualified independent underwriter” participate in the preparation of the prospectus and exercise the usual standards of due diligence in connection with such participation. Barclays Capital Inc. has agreed to serve as the qualified independent underwriter for this offering and will not receive any additional fees for serving in that capacity. We have agreed to indemnify Barclays Capital Inc. against any liabilities arising in connection with its role as a qualified independent underwriter, including liabilities under the Securities Act. Additionally, in accordance with FINRA Rule 5121(c), no sales of the shares in this offering will be made to any discretionary account over which J.P. Morgan Securities LLC exercises discretion without the prior specific written approval of the account holder. </w:t>
      </w:r>
    </w:p>
    <w:p>
      <w:pPr>
        <w:pStyle w:val="TextBody"/>
        <w:bidi w:val="0"/>
        <w:spacing w:before="360" w:after="0"/>
        <w:jc w:val="left"/>
        <w:rPr>
          <w:rFonts w:ascii="Times New Roman" w:hAnsi="Times New Roman"/>
          <w:b/>
          <w:sz w:val="20"/>
        </w:rPr>
      </w:pPr>
      <w:r>
        <w:rPr>
          <w:rFonts w:ascii="Times New Roman" w:hAnsi="Times New Roman"/>
          <w:b/>
          <w:sz w:val="20"/>
        </w:rPr>
        <w:t xml:space="preserve">Directed Share Program </w:t>
      </w:r>
    </w:p>
    <w:p>
      <w:pPr>
        <w:pStyle w:val="TextBody"/>
        <w:bidi w:val="0"/>
        <w:spacing w:before="120" w:after="0"/>
        <w:jc w:val="left"/>
        <w:rPr>
          <w:rFonts w:ascii="Times New Roman" w:hAnsi="Times New Roman"/>
          <w:sz w:val="20"/>
        </w:rPr>
      </w:pPr>
      <w:r>
        <w:rPr>
          <w:rFonts w:ascii="Times New Roman" w:hAnsi="Times New Roman"/>
          <w:sz w:val="20"/>
        </w:rPr>
        <w:t xml:space="preserve">At our request, the underwriters have reserved up to 5% of the shares offered by this prospectus for sale, at the initial public offering price, to certain individuals through a directed share program, including our directors, officers, employees and certain other individuals identified by us. The sales will be made at our direction by J.P. Morgan Securities LLC and its affiliates. The number of shares of our common stock available for sale to the general public in this offering will be reduced to the extent that such persons purchase such reserved shares. Any reserved shares not so purchased will be offered by the underwriters to the general public on the same terms as the other shares of common stock offered by this prospectus. We have agreed to indemnify the underwriters against certain liabilities and expenses, including liabilities under the Securities Act, in connection with the sales of the shares reserved for the directed share program. </w:t>
      </w:r>
    </w:p>
    <w:p>
      <w:pPr>
        <w:pStyle w:val="TextBody"/>
        <w:bidi w:val="0"/>
        <w:spacing w:before="240" w:after="0"/>
        <w:jc w:val="left"/>
        <w:rPr>
          <w:rFonts w:ascii="Times New Roman" w:hAnsi="Times New Roman"/>
          <w:sz w:val="20"/>
        </w:rPr>
      </w:pPr>
      <w:r>
        <w:rPr>
          <w:rFonts w:ascii="Times New Roman" w:hAnsi="Times New Roman"/>
          <w:sz w:val="20"/>
        </w:rPr>
        <w:t xml:space="preserve">Shares purchased through the directed share program will not be subject to a lock-up restriction, except in the case of shares purchased by any of our directors and officers, which shares will be subject to a 180-day lock-up restriction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Jones Act </w:t>
      </w:r>
    </w:p>
    <w:p>
      <w:pPr>
        <w:pStyle w:val="TextBody"/>
        <w:bidi w:val="0"/>
        <w:spacing w:before="120" w:after="0"/>
        <w:jc w:val="left"/>
        <w:rPr>
          <w:rFonts w:ascii="Times New Roman" w:hAnsi="Times New Roman"/>
          <w:sz w:val="20"/>
        </w:rPr>
      </w:pPr>
      <w:r>
        <w:rPr>
          <w:rFonts w:ascii="Times New Roman" w:hAnsi="Times New Roman"/>
          <w:sz w:val="20"/>
        </w:rPr>
        <w:t xml:space="preserve">Because we own and operate U.S.-flagged vessels in the U.S. coastwise trade, the Jones Act requires that at least 75% of the outstanding shares of each class or series of the capital stock of the Company must be owned and controlled by U.S. citizens.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 As a result, we have restricted participation in this offering to U.S. citizens as defined under the Jones Act. As of October 31, 2025, approximately 23.8% of the Company’s issued and outstanding common stock is owned by non-U.S. citizens and, after giving effect to this offering, the Company expects the percentage of its common stock owned by non-U.S. citizens to decrease to approximately    %. </w:t>
      </w:r>
    </w:p>
    <w:p>
      <w:pPr>
        <w:pStyle w:val="TextBody"/>
        <w:bidi w:val="0"/>
        <w:spacing w:before="240" w:after="0"/>
        <w:jc w:val="left"/>
        <w:rPr>
          <w:rFonts w:ascii="Times New Roman" w:hAnsi="Times New Roman"/>
          <w:sz w:val="20"/>
        </w:rPr>
      </w:pPr>
      <w:r>
        <w:rPr>
          <w:rFonts w:ascii="Times New Roman" w:hAnsi="Times New Roman"/>
          <w:sz w:val="20"/>
        </w:rPr>
        <w:t xml:space="preserve">In order to ensure compliance with the U.S. citizenship and cabotage laws principally contained in the Jones Act, sales in the offering will be limited so that shares will only be allocated to U.S. citizens (as determined in accordance with the Jones Act). A “U.S. citizen” for purposes of the Jones Act includes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investor is an individual, the investor is deemed a citizen of the United States (for Jones Act purposes) if the investor is native-born, naturalized, or a derivative citizen of the United States, or otherwise qualifies as a United States citizen.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investor is a partnership, limited liability company or limited partnership, the entity is deemed a citizen of the United States (for Jones Act purposes) if the investor: (a) is organized under the laws of the United States or a State, (b) each general partner or manager is a citizen of the United States and (c) is not less than 75.0% of the interest and voting power of the partnership, limited liability company or limited partnership is ultimately held by citizens of the United States free of any voting trust, fiduciary arrangement or other agreement, arrangement or understanding whereby non-citizens may directly or indirectly assert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investor is a corporation, the investor is deemed a citizen of the United States (for Jones Act purposes) if: (a) the investor is organized under the laws of the United States or a State, (b) each of its president or other chief executive and the chairman of its board of directors is a citizen of the United States, (c) the investor is no more than a minority of the number of its directors necessary to constitute a quorum for the transaction of business are non-citizens of the United States and (d) not less than 75.0% of the shares (beneficially and of record) are owned by citizens of the United States, and free of any voting trust, fiduciary arrangement or other agreement, arrangement or understanding whereby non-citizens may directly or indirectly assert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investor is an entity (and not an individual), the requirement that at least 75.0% of the interests and voting power be owned and controlled by U.S. citizens extends up through the various tiers to all levels of direct and indirect ownership in the entity. Accordingly, each entity in the chain of ownership, at each tier of ownership, of the underlying entity must meet the definition of citizen of the United States (for Jones Act purposes) applicable to such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further provides the Board of Directors with authority to take certain actions to protect our Jones Act status. These actions may include: (i) refusing to recognize any transfer (including our original issuance) that would result in ownership by non-U.S. citizens in the aggregate exceeding 21% of our issued and outstanding common stock, with certain limited grandfathered circumstances allowing up to 24% of the outstanding shares of our common stock to be owned by non-U.S. citizens on and after the effective date of the initial public offering, (ii) treating any such purported transfer as void </w:t>
      </w:r>
      <w:r>
        <w:rPr>
          <w:rFonts w:ascii="Times New Roman" w:hAnsi="Times New Roman"/>
          <w:i/>
          <w:sz w:val="20"/>
        </w:rPr>
        <w:t>ab initio</w:t>
      </w:r>
      <w:r>
        <w:rPr>
          <w:rFonts w:ascii="Times New Roman" w:hAnsi="Times New Roman"/>
          <w:sz w:val="20"/>
        </w:rPr>
        <w:t xml:space="preserve"> or (iii) redeeming any share of our common stock that caused the ownership by non-U.S. citizens to exceed such 21% ownership limitation,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For a description of the Jones Act citizenship restrictions and redemption procedures, see “Description of Capital Stock and Warrants—Limitations on Ownership by Non-U.S. Citizens.”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rom65571_16"/>
      <w:bookmarkEnd w:id="1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will be passed upon for us by Kirkland &amp; Ellis LLP, Houston, Texas. Certain legal matters relating to this offering will be passed upon for the underwriters by Vinson &amp; Elkins LLP, Houston, Texas. </w:t>
      </w:r>
    </w:p>
    <w:p>
      <w:pPr>
        <w:pStyle w:val="TextBody"/>
        <w:bidi w:val="0"/>
        <w:spacing w:before="480" w:after="0"/>
        <w:jc w:val="center"/>
        <w:rPr>
          <w:rFonts w:ascii="Times New Roman" w:hAnsi="Times New Roman"/>
          <w:b/>
          <w:sz w:val="20"/>
        </w:rPr>
      </w:pPr>
      <w:bookmarkStart w:id="18" w:name="rom65571_17"/>
      <w:bookmarkEnd w:id="1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Hornbeck Offshore Services, Inc. at December 31, 2024 and 2023,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unaudited consolidated interim financial information of Hornbeck Offshore Services, Inc. as of September 30, 2025 and for the three-month and nine-month periods ended September 30, 2025 and September 30, 2024, appearing in this prospectus and registration statement, Ernst &amp; Young LLP reported that they have applied limited procedures in accordance with professional standards for a review of such information. However, their separate report dated November 7, 2025, appearing elsewhere herein states that they did not audit and they do not express an opinion on that interim financial information. Accordingly, the degree of reliance on their report on such information should be restricted in light of the limited nature of the review procedures applied. Ernst &amp; Young LLP is not subject to the liability provisions of Section 11 of the Securities Act for their report on the unaudited interim financial information because that report is not a “report” or a “part” of the registration statement prepared or certified by Ernst &amp; Young LLP within the meaning of Sections 7 and 11 of the Securities Act. </w:t>
      </w:r>
    </w:p>
    <w:p>
      <w:pPr>
        <w:pStyle w:val="TextBody"/>
        <w:bidi w:val="0"/>
        <w:spacing w:before="480" w:after="0"/>
        <w:jc w:val="center"/>
        <w:rPr>
          <w:rFonts w:ascii="Times New Roman" w:hAnsi="Times New Roman"/>
          <w:b/>
          <w:sz w:val="20"/>
        </w:rPr>
      </w:pPr>
      <w:bookmarkStart w:id="19" w:name="rom65571_18"/>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 </w:t>
      </w:r>
    </w:p>
    <w:p>
      <w:pPr>
        <w:pStyle w:val="TextBody"/>
        <w:bidi w:val="0"/>
        <w:spacing w:before="240" w:after="0"/>
        <w:jc w:val="left"/>
        <w:rPr>
          <w:rFonts w:ascii="Times New Roman" w:hAnsi="Times New Roman"/>
          <w:sz w:val="20"/>
        </w:rPr>
      </w:pPr>
      <w:r>
        <w:rPr>
          <w:rFonts w:ascii="Times New Roman" w:hAnsi="Times New Roman"/>
          <w:sz w:val="20"/>
        </w:rPr>
        <w:t xml:space="preserve">Upon the effectiveness of the registration statement, we will be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www.hornbeckoffshore.com. This reference to our website is an inactive textual reference only and is not a hyperlink. The contents of, or other information accessible through, our website are not part of this prospectus or the registration statement of which this prospectus forms a part, and you should not consider the contents of our website in making an investment decision with respect to our common stock. We will furnish our stockholders with annual reports containing audited financial statements and quarterly reports containing unaudited interim financial statements for each of the first three quarters of each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rom65571_19"/>
      <w:bookmarkEnd w:id="20"/>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Unaudited Interim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65571_1">
              <w:r>
                <w:rPr>
                  <w:rStyle w:val="InternetLink"/>
                  <w:rFonts w:ascii="Times New Roman" w:hAnsi="Times New Roman"/>
                  <w:sz w:val="20"/>
                </w:rPr>
                <w:t>Review Report of Independent Registered Public Accounting Firm, November 7,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2">
              <w:r>
                <w:rPr>
                  <w:rStyle w:val="InternetLink"/>
                  <w:rFonts w:ascii="Times New Roman" w:hAnsi="Times New Roman"/>
                  <w:sz w:val="20"/>
                </w:rPr>
                <w:t>Consolidated Balance Sheets as of September 30, 2025 and December  31,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3">
              <w:r>
                <w:rPr>
                  <w:rStyle w:val="InternetLink"/>
                  <w:rFonts w:ascii="Times New Roman" w:hAnsi="Times New Roman"/>
                  <w:sz w:val="20"/>
                </w:rPr>
                <w:t>Consolidated Statements of Operations for the Three and Nine Months Ended September 30,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4">
              <w:r>
                <w:rPr>
                  <w:rStyle w:val="InternetLink"/>
                  <w:rFonts w:ascii="Times New Roman" w:hAnsi="Times New Roman"/>
                  <w:sz w:val="20"/>
                </w:rPr>
                <w:t>Consolidated Statements of Comprehensive Income for the Three and Nine Months Ended September 30,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5">
              <w:r>
                <w:rPr>
                  <w:rStyle w:val="InternetLink"/>
                  <w:rFonts w:ascii="Times New Roman" w:hAnsi="Times New Roman"/>
                  <w:sz w:val="20"/>
                </w:rPr>
                <w:t>Consolidated Statements of Changes in Stockholders’ Equity for the Three and Nine Months Ended September 30,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6">
              <w:r>
                <w:rPr>
                  <w:rStyle w:val="InternetLink"/>
                  <w:rFonts w:ascii="Times New Roman" w:hAnsi="Times New Roman"/>
                  <w:sz w:val="20"/>
                </w:rPr>
                <w:t>Consolidated Statements of Cash Flows for the Nine Months Ended September 30,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7">
              <w:r>
                <w:rPr>
                  <w:rStyle w:val="InternetLink"/>
                  <w:rFonts w:ascii="Times New Roman" w:hAnsi="Times New Roman"/>
                  <w:sz w:val="20"/>
                </w:rPr>
                <w:t>Notes to the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r>
        <w:trPr>
          <w:trHeight w:val="24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65571_8">
              <w:r>
                <w:rPr>
                  <w:rStyle w:val="InternetLink"/>
                  <w:rFonts w:ascii="Times New Roman" w:hAnsi="Times New Roman"/>
                  <w:sz w:val="20"/>
                </w:rPr>
                <w:t>Report of Independent Registered Public Accounting Firm, dated March 21,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9">
              <w:r>
                <w:rPr>
                  <w:rStyle w:val="InternetLink"/>
                  <w:rFonts w:ascii="Times New Roman" w:hAnsi="Times New Roman"/>
                  <w:sz w:val="20"/>
                </w:rPr>
                <w:t>Consolidated Balance Sheets as of December 31,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F-24</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10">
              <w:r>
                <w:rPr>
                  <w:rStyle w:val="InternetLink"/>
                  <w:rFonts w:ascii="Times New Roman" w:hAnsi="Times New Roman"/>
                  <w:sz w:val="20"/>
                </w:rPr>
                <w:t>Consolidated Statements of Operations for the Years ended December  31, 2024,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F-25</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11">
              <w:r>
                <w:rPr>
                  <w:rStyle w:val="InternetLink"/>
                  <w:rFonts w:ascii="Times New Roman" w:hAnsi="Times New Roman"/>
                  <w:sz w:val="20"/>
                </w:rPr>
                <w:t>Consolidated Statements of Comprehensive Income for the Years ended December 31, 2024,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F-26</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12">
              <w:r>
                <w:rPr>
                  <w:rStyle w:val="InternetLink"/>
                  <w:rFonts w:ascii="Times New Roman" w:hAnsi="Times New Roman"/>
                  <w:sz w:val="20"/>
                </w:rPr>
                <w:t>Consolidated Statements of Changes in Stockholders’ Equity for the Years ended December 31, 2024,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F-27</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13">
              <w:r>
                <w:rPr>
                  <w:rStyle w:val="InternetLink"/>
                  <w:rFonts w:ascii="Times New Roman" w:hAnsi="Times New Roman"/>
                  <w:sz w:val="20"/>
                </w:rPr>
                <w:t>Consolidated Statements of Cash Flows for the Years ended December  31, 2024,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5571_14">
              <w:r>
                <w:rPr>
                  <w:rStyle w:val="InternetLink"/>
                  <w:rFonts w:ascii="Times New Roman" w:hAnsi="Times New Roman"/>
                  <w:sz w:val="20"/>
                </w:rPr>
                <w:t>Notes to the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fin65571_1"/>
      <w:bookmarkEnd w:id="21"/>
      <w:r>
        <w:rPr>
          <w:rFonts w:ascii="Times New Roman" w:hAnsi="Times New Roman"/>
          <w:b/>
          <w:sz w:val="20"/>
        </w:rPr>
        <w:t xml:space="preserve">Review 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Hornbeck Offshore Services, Inc. </w:t>
      </w:r>
    </w:p>
    <w:p>
      <w:pPr>
        <w:pStyle w:val="TextBody"/>
        <w:bidi w:val="0"/>
        <w:spacing w:before="240" w:after="0"/>
        <w:jc w:val="left"/>
        <w:rPr>
          <w:rFonts w:ascii="Times New Roman" w:hAnsi="Times New Roman"/>
          <w:sz w:val="20"/>
        </w:rPr>
      </w:pPr>
      <w:r>
        <w:rPr>
          <w:rFonts w:ascii="Times New Roman" w:hAnsi="Times New Roman"/>
          <w:b/>
          <w:sz w:val="20"/>
        </w:rPr>
        <w:t>Results of Review of Interim Financial Statement</w:t>
      </w:r>
      <w:r>
        <w:rPr>
          <w:rFonts w:ascii="Times New Roman" w:hAnsi="Times New Roman"/>
          <w:sz w:val="20"/>
        </w:rPr>
        <w:t xml:space="preserve">s </w:t>
      </w:r>
    </w:p>
    <w:p>
      <w:pPr>
        <w:pStyle w:val="TextBody"/>
        <w:bidi w:val="0"/>
        <w:spacing w:before="120" w:after="0"/>
        <w:jc w:val="left"/>
        <w:rPr>
          <w:rFonts w:ascii="Times New Roman" w:hAnsi="Times New Roman"/>
          <w:sz w:val="20"/>
        </w:rPr>
      </w:pPr>
      <w:r>
        <w:rPr>
          <w:rFonts w:ascii="Times New Roman" w:hAnsi="Times New Roman"/>
          <w:sz w:val="20"/>
        </w:rPr>
        <w:t xml:space="preserve">We have reviewed the accompanying consolidated balance sheet of Hornbeck Offshore Services, Inc. and Subsidiaries (the Company) as of September 30, 2025, the related consolidated statements of operations, comprehensive income, changes in stockholders’ equity for the three-month and nine-month periods ended September 30, 2025 and 2024 and cash flows for the nine-month periods ended September 30, 2025 and 2024,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We have previously audited, in accordance with the standards of the Public Company Accounting Oversight Board (United States) (PCAOB) and in accordance with auditing standards generally accepted in the United States of America, the consolidated balance sheet of the Company as of December 31, 2024, and the related consolidated statements of operations, comprehensive income, changes in stockholders’ equity and cash flows for the year then ended, and the related notes (not presented herein); and in our report dated March 21, 2025, we expressed an unqualified audit opinion on those consolidated financial statements. In our opinion, the information set forth in the accompanying consolidated balance sheet as of December 31, 2024, is fairly stated, in all material respects, in relation to the consolidated balance sheet from which it has been derived.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Review Results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and in accordance with auditing standards generally accepted in the United States of America applicable to reviews of interim financial information.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and auditing standards generally accepted in the United States of America, the objective of which is the expression of an opinion regarding the financial statements taken as a whole. Accordingly, we do not express such an opinion.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New Orleans, Louisiana </w:t>
      </w:r>
    </w:p>
    <w:p>
      <w:pPr>
        <w:pStyle w:val="TextBody"/>
        <w:bidi w:val="0"/>
        <w:spacing w:before="240" w:after="0"/>
        <w:jc w:val="left"/>
        <w:rPr>
          <w:rFonts w:ascii="Times New Roman" w:hAnsi="Times New Roman"/>
          <w:sz w:val="20"/>
        </w:rPr>
      </w:pPr>
      <w:r>
        <w:rPr>
          <w:rFonts w:ascii="Times New Roman" w:hAnsi="Times New Roman"/>
          <w:sz w:val="20"/>
        </w:rPr>
        <w:t xml:space="preserve">November 7,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fin65571_2"/>
      <w:bookmarkEnd w:id="22"/>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26"/>
        <w:gridCol w:w="218"/>
        <w:gridCol w:w="192"/>
        <w:gridCol w:w="1352"/>
        <w:gridCol w:w="155"/>
        <w:gridCol w:w="178"/>
        <w:gridCol w:w="176"/>
        <w:gridCol w:w="1249"/>
        <w:gridCol w:w="159"/>
      </w:tblGrid>
      <w:tr>
        <w:trPr/>
        <w:tc>
          <w:tcPr>
            <w:tcW w:w="6526"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2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5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544"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bidi w:val="0"/>
              <w:spacing w:before="0" w:after="283"/>
              <w:jc w:val="center"/>
              <w:rPr>
                <w:b/>
              </w:rPr>
            </w:pPr>
            <w:r>
              <w:rPr>
                <w:b/>
              </w:rPr>
              <w:t>(Audited)</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97,757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80,803</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credit losses of $10,434 and $7,929, respectively</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168,423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145,527</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7,589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4,490</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19,618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13,755</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14,058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12,376</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307,445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256,951</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733,799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674,729</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765</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charges, net</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90,357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72,075</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18,649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20,748</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right-of-use assets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11,559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1,142</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57</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1,161,866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1,026,467</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57,222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71,092</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3,456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578</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23,842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22,267</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3,686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5,037</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4,818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457</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taxes payable</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8,157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9,914</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5,229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6,694</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2,775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1,962</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109,185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118,001</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of original issue discount of $6,044 and $6,750, and deferred financing costs of $1,968 and $2,019, respectively</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440,314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441,231</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8,404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6,049</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17,884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18,861</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7,109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589</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8,001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7,594</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481,712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474,324</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590,897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592,325</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50,000 shares authorized; 5,419 and 5,367 shares issued and outstanding, respectively</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268,358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264,869</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303,420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176,761</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(809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(7,488</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570,969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434,142</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1,161,866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1,026,467</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fin65571_3"/>
      <w:bookmarkEnd w:id="23"/>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204"/>
        <w:gridCol w:w="147"/>
        <w:gridCol w:w="894"/>
        <w:gridCol w:w="174"/>
        <w:gridCol w:w="164"/>
        <w:gridCol w:w="147"/>
        <w:gridCol w:w="896"/>
        <w:gridCol w:w="155"/>
        <w:gridCol w:w="162"/>
        <w:gridCol w:w="140"/>
        <w:gridCol w:w="803"/>
        <w:gridCol w:w="155"/>
        <w:gridCol w:w="162"/>
        <w:gridCol w:w="140"/>
        <w:gridCol w:w="803"/>
        <w:gridCol w:w="160"/>
      </w:tblGrid>
      <w:tr>
        <w:trPr/>
        <w:tc>
          <w:tcPr>
            <w:tcW w:w="489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9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2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22"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203" w:type="dxa"/>
            <w:gridSpan w:val="6"/>
            <w:tcBorders/>
            <w:vAlign w:val="bottom"/>
          </w:tcPr>
          <w:p>
            <w:pPr>
              <w:pStyle w:val="TableContents"/>
              <w:bidi w:val="0"/>
              <w:spacing w:before="0" w:after="283"/>
              <w:jc w:val="center"/>
              <w:rPr>
                <w:b/>
              </w:rPr>
            </w:pPr>
            <w:r>
              <w:rPr>
                <w:b/>
              </w:rPr>
              <w:t>(Unaudited)</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186,445</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161,158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507,582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444,365</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12,671</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12,048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37,963</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35,617</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199,116</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173,206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545,545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479,982</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93,437</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92,499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280,669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274,317</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10,026</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9,811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30,016</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27,904</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11,244</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6,892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30,209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19,055</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22,259</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19,230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57,274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51,660</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1,737</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1,828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5,190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6,251</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138,703</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130,260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403,358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379,187</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143</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13,022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31</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60,556</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42,946</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155,209</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100,826</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7,665</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6,688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23,594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20,125</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1,357</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1,562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4,569</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6,308</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5,126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19,892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15,556</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54,248</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37,820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135,317</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85,270</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(219</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(1,013</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5,640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6,336</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11</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(219</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5,395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5,334</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54,029</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43,215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135,102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90,604</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2,103</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4,332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8,443</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7,495</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51,926</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38,883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126,659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83,109</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3.24</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7.92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4.86</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2.85</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6.97</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4.31</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fin65571_4"/>
      <w:bookmarkEnd w:id="24"/>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63"/>
        <w:gridCol w:w="213"/>
        <w:gridCol w:w="152"/>
        <w:gridCol w:w="681"/>
        <w:gridCol w:w="60"/>
        <w:gridCol w:w="213"/>
        <w:gridCol w:w="152"/>
        <w:gridCol w:w="681"/>
        <w:gridCol w:w="60"/>
        <w:gridCol w:w="213"/>
        <w:gridCol w:w="140"/>
        <w:gridCol w:w="822"/>
        <w:gridCol w:w="60"/>
        <w:gridCol w:w="213"/>
        <w:gridCol w:w="140"/>
        <w:gridCol w:w="680"/>
        <w:gridCol w:w="162"/>
      </w:tblGrid>
      <w:tr>
        <w:trPr/>
        <w:tc>
          <w:tcPr>
            <w:tcW w:w="556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2"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9" w:type="dxa"/>
            <w:gridSpan w:val="6"/>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55" w:type="dxa"/>
            <w:gridSpan w:val="6"/>
            <w:tcBorders/>
            <w:vAlign w:val="bottom"/>
          </w:tcPr>
          <w:p>
            <w:pPr>
              <w:pStyle w:val="TableContents"/>
              <w:bidi w:val="0"/>
              <w:spacing w:before="0" w:after="283"/>
              <w:jc w:val="center"/>
              <w:rPr>
                <w:b/>
              </w:rPr>
            </w:pPr>
            <w:r>
              <w:rPr>
                <w:b/>
              </w:rPr>
              <w:t>(Unaudited)</w:t>
            </w:r>
          </w:p>
        </w:tc>
        <w:tc>
          <w:tcPr>
            <w:tcW w:w="162"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51,926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38,883</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126,659</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83,109</w:t>
            </w:r>
          </w:p>
        </w:tc>
        <w:tc>
          <w:tcPr>
            <w:tcW w:w="162"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(loss), net</w:t>
            </w:r>
          </w:p>
        </w:tc>
        <w:tc>
          <w:tcPr>
            <w:tcW w:w="21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1,465</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551</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6,679</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(4,305</w:t>
            </w:r>
          </w:p>
        </w:tc>
        <w:tc>
          <w:tcPr>
            <w:tcW w:w="162" w:type="dxa"/>
            <w:tcBorders/>
            <w:shd w:fill="CCEEFF" w:val="clear"/>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53,391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39,434</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133,338</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78,804</w:t>
            </w:r>
          </w:p>
        </w:tc>
        <w:tc>
          <w:tcPr>
            <w:tcW w:w="162"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fin65571_5"/>
      <w:bookmarkEnd w:id="25"/>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0240" w:type="dxa"/>
        <w:jc w:val="center"/>
        <w:tblInd w:w="0" w:type="dxa"/>
        <w:tblLayout w:type="fixed"/>
        <w:tblCellMar>
          <w:top w:w="0" w:type="dxa"/>
          <w:left w:w="0" w:type="dxa"/>
          <w:bottom w:w="0" w:type="dxa"/>
          <w:right w:w="0" w:type="dxa"/>
        </w:tblCellMar>
      </w:tblPr>
      <w:tblGrid>
        <w:gridCol w:w="1175"/>
        <w:gridCol w:w="60"/>
        <w:gridCol w:w="93"/>
        <w:gridCol w:w="872"/>
        <w:gridCol w:w="60"/>
        <w:gridCol w:w="60"/>
        <w:gridCol w:w="81"/>
        <w:gridCol w:w="929"/>
        <w:gridCol w:w="60"/>
        <w:gridCol w:w="60"/>
        <w:gridCol w:w="259"/>
        <w:gridCol w:w="706"/>
        <w:gridCol w:w="60"/>
        <w:gridCol w:w="60"/>
        <w:gridCol w:w="163"/>
        <w:gridCol w:w="937"/>
        <w:gridCol w:w="155"/>
        <w:gridCol w:w="60"/>
        <w:gridCol w:w="141"/>
        <w:gridCol w:w="809"/>
        <w:gridCol w:w="60"/>
        <w:gridCol w:w="60"/>
        <w:gridCol w:w="290"/>
        <w:gridCol w:w="1320"/>
        <w:gridCol w:w="155"/>
        <w:gridCol w:w="60"/>
        <w:gridCol w:w="199"/>
        <w:gridCol w:w="1141"/>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2025</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July 1, 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266,621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251,494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(2,274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515,841</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warrants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1,737</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51,926</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1,465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1,465</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2025</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268,358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303,420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(809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570,969</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9065" w:type="dxa"/>
            <w:gridSpan w:val="28"/>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2025</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5,367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264,869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176,761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(7,488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434,142</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warrants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4,886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4,886</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Shares withheld for employee withholding taxes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(1,397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(1,397</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126,659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126,659</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6,679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6,679</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September 30, 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268,358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303,420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(809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570,969</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9065" w:type="dxa"/>
            <w:gridSpan w:val="28"/>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2024</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July 1, 2024</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11,377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211,389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192,654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(2,767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401,276</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warrants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1,855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1,855</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38,883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38,883</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2024</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11,377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213,244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231,537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(2,216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442,565</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0240" w:type="dxa"/>
        <w:jc w:val="center"/>
        <w:tblInd w:w="0" w:type="dxa"/>
        <w:tblLayout w:type="fixed"/>
        <w:tblCellMar>
          <w:top w:w="0" w:type="dxa"/>
          <w:left w:w="0" w:type="dxa"/>
          <w:bottom w:w="0" w:type="dxa"/>
          <w:right w:w="0" w:type="dxa"/>
        </w:tblCellMar>
      </w:tblPr>
      <w:tblGrid>
        <w:gridCol w:w="1175"/>
        <w:gridCol w:w="60"/>
        <w:gridCol w:w="93"/>
        <w:gridCol w:w="872"/>
        <w:gridCol w:w="60"/>
        <w:gridCol w:w="60"/>
        <w:gridCol w:w="81"/>
        <w:gridCol w:w="929"/>
        <w:gridCol w:w="60"/>
        <w:gridCol w:w="60"/>
        <w:gridCol w:w="259"/>
        <w:gridCol w:w="706"/>
        <w:gridCol w:w="60"/>
        <w:gridCol w:w="60"/>
        <w:gridCol w:w="163"/>
        <w:gridCol w:w="937"/>
        <w:gridCol w:w="155"/>
        <w:gridCol w:w="60"/>
        <w:gridCol w:w="141"/>
        <w:gridCol w:w="809"/>
        <w:gridCol w:w="60"/>
        <w:gridCol w:w="60"/>
        <w:gridCol w:w="290"/>
        <w:gridCol w:w="1320"/>
        <w:gridCol w:w="155"/>
        <w:gridCol w:w="60"/>
        <w:gridCol w:w="199"/>
        <w:gridCol w:w="1141"/>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2024</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11,377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210,776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148,428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2,089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361,293</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warrants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6,054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6,054</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Shares withheld for employee withholding taxes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(3,716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(3,716</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83,109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83,109</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 net</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(4,305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(4,305</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September 30, 2024</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11,377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213,244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231,537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442,565</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fin65571_6"/>
      <w:bookmarkEnd w:id="26"/>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9"/>
        <w:gridCol w:w="140"/>
        <w:gridCol w:w="140"/>
        <w:gridCol w:w="801"/>
        <w:gridCol w:w="155"/>
        <w:gridCol w:w="110"/>
        <w:gridCol w:w="110"/>
        <w:gridCol w:w="140"/>
        <w:gridCol w:w="140"/>
        <w:gridCol w:w="801"/>
        <w:gridCol w:w="159"/>
      </w:tblGrid>
      <w:tr>
        <w:trPr/>
        <w:tc>
          <w:tcPr>
            <w:tcW w:w="750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97" w:type="dxa"/>
            <w:gridSpan w:val="8"/>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97" w:type="dxa"/>
            <w:gridSpan w:val="8"/>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126,659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83,109</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30,016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27,904</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30,209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19,055</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5,190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6,251</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2,505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722</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expense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2,355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2,883</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financing costs &amp; OID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1,382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19</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1,951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610</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Mark-to-market adjustment of creditor warrants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(6,336</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(13,022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(31</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(22,492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(31,902</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Deferred drydocking charges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(47,853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(38,101</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and long-term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(10,125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(14,015</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(10,084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20,496</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2,878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(160</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 and other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(2,669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4,623</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96,967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75,127</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 capital improvements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(15,370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(15,775</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Growth capital expenditures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(34,771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(36,753</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capital expenditures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(33,789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(32,137</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Non-vessel capital expenditures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(7,461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(707</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proceeds from sale of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13,234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38</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(78,157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(85,334</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Partial repayment of second-lien term loans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(1,674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 fee on second-lien term loans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Deferred financing costs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(209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(1,771</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in lieu of shares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(70</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withholding taxes on net share settlements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(1,397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(3,716</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payments under finance lease obligations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(570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(235</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Other cash flows from financing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(4,028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(5,792</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exchange rate changes on cash</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1,407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(1,989</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16,189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(17,988</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81,568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120,820</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97,757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102,832</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29,191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22,174</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17,150</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fin65571_7"/>
      <w:bookmarkEnd w:id="27"/>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consolidated financial statements reflect the financial position, results of operations, comprehensive income, cash flows, and changes in stockholders’ equity of Hornbeck Offshore Services, Inc., a Delaware corporation, and its consolidated subsidiaries, collectively referred to as “Hornbeck”, “Company,” “we,” “us,” or “our”.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consolidated financial statements have been prepared in accordance with United States (U.S.) generally accepted accounting principles (GAAP) for interim financial information. Accordingly, certain information and footnote disclosures normally included in our annual financial statements have been condensed or omitted. These unaudited consolidated financial statements should be read in conjunction with our audited consolidated financial statements and notes thereto as of and for the year ended December 31, 2024. In the opinion of management, the accompanying financial information reflects all normal recurring adjustments necessary to fairly state our results of operations, financial position and cash flows for the periods presented and are not indicative of the results that may be expected for a full year.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statements have been prepared on a consolidated basis. Under this basis of presentation, our financial statements consolidate all subsidiaries (entities in which we have a controlling financial interest), and all intercompany accounts and transactions have been eliminated. </w:t>
      </w:r>
    </w:p>
    <w:p>
      <w:pPr>
        <w:pStyle w:val="TextBody"/>
        <w:bidi w:val="0"/>
        <w:spacing w:before="360" w:after="0"/>
        <w:jc w:val="left"/>
        <w:rPr>
          <w:rFonts w:ascii="Times New Roman" w:hAnsi="Times New Roman"/>
          <w:b/>
          <w:sz w:val="20"/>
        </w:rPr>
      </w:pPr>
      <w:r>
        <w:rPr>
          <w:rFonts w:ascii="Times New Roman" w:hAnsi="Times New Roman"/>
          <w:b/>
          <w:sz w:val="20"/>
        </w:rPr>
        <w:t xml:space="preserve">2. 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brief description of recent accounting pronouncements that could have a material effect on the Company’s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0"/>
        <w:gridCol w:w="202"/>
        <w:gridCol w:w="3644"/>
        <w:gridCol w:w="202"/>
        <w:gridCol w:w="1938"/>
        <w:gridCol w:w="202"/>
        <w:gridCol w:w="1947"/>
      </w:tblGrid>
      <w:tr>
        <w:trPr/>
        <w:tc>
          <w:tcPr>
            <w:tcW w:w="207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20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2" w:type="dxa"/>
            <w:tcBorders/>
            <w:vAlign w:val="bottom"/>
          </w:tcPr>
          <w:p>
            <w:pPr>
              <w:pStyle w:val="TableContents"/>
              <w:bidi w:val="0"/>
              <w:spacing w:before="0" w:after="283"/>
              <w:jc w:val="left"/>
              <w:rPr/>
            </w:pPr>
            <w:r>
              <w:rPr/>
              <w:t>  </w:t>
            </w:r>
          </w:p>
        </w:tc>
        <w:tc>
          <w:tcPr>
            <w:tcW w:w="36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202" w:type="dxa"/>
            <w:tcBorders/>
            <w:vAlign w:val="bottom"/>
          </w:tcPr>
          <w:p>
            <w:pPr>
              <w:pStyle w:val="TableContents"/>
              <w:bidi w:val="0"/>
              <w:spacing w:before="0" w:after="283"/>
              <w:jc w:val="left"/>
              <w:rPr/>
            </w:pPr>
            <w:r>
              <w:rPr/>
              <w:t>  </w:t>
            </w:r>
          </w:p>
        </w:tc>
        <w:tc>
          <w:tcPr>
            <w:tcW w:w="193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 of Adoption</w:t>
            </w:r>
          </w:p>
        </w:tc>
        <w:tc>
          <w:tcPr>
            <w:tcW w:w="202" w:type="dxa"/>
            <w:tcBorders/>
            <w:vAlign w:val="bottom"/>
          </w:tcPr>
          <w:p>
            <w:pPr>
              <w:pStyle w:val="TableContents"/>
              <w:bidi w:val="0"/>
              <w:spacing w:before="0" w:after="283"/>
              <w:jc w:val="left"/>
              <w:rPr/>
            </w:pPr>
            <w:r>
              <w:rPr/>
              <w:t>  </w:t>
            </w:r>
          </w:p>
        </w:tc>
        <w:tc>
          <w:tcPr>
            <w:tcW w:w="19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c>
          <w:tcPr>
            <w:tcW w:w="2070" w:type="dxa"/>
            <w:tcBorders/>
          </w:tcPr>
          <w:p>
            <w:pPr>
              <w:pStyle w:val="TableContents"/>
              <w:bidi w:val="0"/>
              <w:spacing w:before="0" w:after="283"/>
              <w:jc w:val="left"/>
              <w:rPr>
                <w:i/>
              </w:rPr>
            </w:pPr>
            <w:r>
              <w:rPr>
                <w:i/>
              </w:rPr>
              <w:t>Standards that have been adopted:</w:t>
            </w:r>
          </w:p>
        </w:tc>
        <w:tc>
          <w:tcPr>
            <w:tcW w:w="202"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938"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left"/>
              <w:rPr>
                <w:sz w:val="4"/>
                <w:szCs w:val="4"/>
              </w:rPr>
            </w:pPr>
            <w:r>
              <w:rPr>
                <w:sz w:val="4"/>
                <w:szCs w:val="4"/>
              </w:rPr>
            </w:r>
          </w:p>
        </w:tc>
      </w:tr>
      <w:tr>
        <w:trPr>
          <w:trHeight w:val="120" w:hRule="atLeast"/>
        </w:trPr>
        <w:tc>
          <w:tcPr>
            <w:tcW w:w="2070"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2140" w:type="dxa"/>
            <w:gridSpan w:val="2"/>
            <w:tcBorders/>
            <w:vAlign w:val="center"/>
          </w:tcPr>
          <w:p>
            <w:pPr>
              <w:pStyle w:val="TableContents"/>
              <w:bidi w:val="0"/>
              <w:spacing w:before="0" w:after="283"/>
              <w:jc w:val="left"/>
              <w:rPr>
                <w:sz w:val="4"/>
                <w:szCs w:val="4"/>
              </w:rPr>
            </w:pPr>
            <w:r>
              <w:rPr>
                <w:sz w:val="4"/>
                <w:szCs w:val="4"/>
              </w:rPr>
            </w:r>
          </w:p>
        </w:tc>
        <w:tc>
          <w:tcPr>
            <w:tcW w:w="2149" w:type="dxa"/>
            <w:gridSpan w:val="2"/>
            <w:tcBorders/>
            <w:vAlign w:val="center"/>
          </w:tcPr>
          <w:p>
            <w:pPr>
              <w:pStyle w:val="TableContents"/>
              <w:bidi w:val="0"/>
              <w:spacing w:before="0" w:after="283"/>
              <w:jc w:val="left"/>
              <w:rPr>
                <w:sz w:val="4"/>
                <w:szCs w:val="4"/>
              </w:rPr>
            </w:pPr>
            <w:r>
              <w:rPr>
                <w:sz w:val="4"/>
                <w:szCs w:val="4"/>
              </w:rPr>
            </w:r>
          </w:p>
        </w:tc>
      </w:tr>
      <w:tr>
        <w:trPr/>
        <w:tc>
          <w:tcPr>
            <w:tcW w:w="2070" w:type="dxa"/>
            <w:tcBorders/>
          </w:tcPr>
          <w:p>
            <w:pPr>
              <w:pStyle w:val="TableContents"/>
              <w:bidi w:val="0"/>
              <w:spacing w:before="0" w:after="283"/>
              <w:jc w:val="left"/>
              <w:rPr>
                <w:i/>
              </w:rPr>
            </w:pPr>
            <w:r>
              <w:rPr>
                <w:i/>
              </w:rPr>
              <w:t>ASU No. 2023-07, Segment Reporting (Topic 280): Improvements to Reportable Segment Disclosures</w:t>
            </w:r>
          </w:p>
        </w:tc>
        <w:tc>
          <w:tcPr>
            <w:tcW w:w="202"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The amendments in this update improve reportable segment disclosure requirements, primarily related to significant segment expenses. In addition, the amendments enhance interim disclosures, clarify circumstances in which an entity can disclose multiple segment measures of profit or loss, provide new disclosure requirements for entities with a single reportable segment, and contain other related disclosure requirements. Retrospective application is required. Early adoption is permitted.</w:t>
            </w:r>
          </w:p>
        </w:tc>
        <w:tc>
          <w:tcPr>
            <w:tcW w:w="202" w:type="dxa"/>
            <w:tcBorders/>
            <w:vAlign w:val="bottom"/>
          </w:tcPr>
          <w:p>
            <w:pPr>
              <w:pStyle w:val="TableContents"/>
              <w:bidi w:val="0"/>
              <w:spacing w:before="0" w:after="283"/>
              <w:jc w:val="left"/>
              <w:rPr/>
            </w:pPr>
            <w:r>
              <w:rPr/>
              <w:t>  </w:t>
            </w:r>
          </w:p>
        </w:tc>
        <w:tc>
          <w:tcPr>
            <w:tcW w:w="1938" w:type="dxa"/>
            <w:tcBorders/>
          </w:tcPr>
          <w:p>
            <w:pPr>
              <w:pStyle w:val="TableContents"/>
              <w:bidi w:val="0"/>
              <w:spacing w:before="0" w:after="283"/>
              <w:jc w:val="left"/>
              <w:rPr/>
            </w:pPr>
            <w:r>
              <w:rPr/>
              <w:t>Effective for fiscal years beginning after December 15, 2023, and interim periods within fiscal years beginning after December 15, 2024.</w:t>
            </w:r>
          </w:p>
        </w:tc>
        <w:tc>
          <w:tcPr>
            <w:tcW w:w="202"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left"/>
              <w:rPr/>
            </w:pPr>
            <w:r>
              <w:rPr/>
              <w:t>The Company adopted the annual reporting requirements under ASU No. 2023-07 on January 1, 2024 and the interim disclosure requirements on January 1, 2025. This adoption had no material impact on its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203"/>
        <w:gridCol w:w="3778"/>
        <w:gridCol w:w="202"/>
        <w:gridCol w:w="1838"/>
        <w:gridCol w:w="203"/>
        <w:gridCol w:w="1940"/>
      </w:tblGrid>
      <w:tr>
        <w:trPr/>
        <w:tc>
          <w:tcPr>
            <w:tcW w:w="20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3" w:type="dxa"/>
            <w:tcBorders/>
            <w:vAlign w:val="bottom"/>
          </w:tcPr>
          <w:p>
            <w:pPr>
              <w:pStyle w:val="TableContents"/>
              <w:bidi w:val="0"/>
              <w:spacing w:before="0" w:after="283"/>
              <w:jc w:val="left"/>
              <w:rPr/>
            </w:pPr>
            <w:r>
              <w:rPr/>
              <w:t>  </w:t>
            </w:r>
          </w:p>
        </w:tc>
        <w:tc>
          <w:tcPr>
            <w:tcW w:w="377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202" w:type="dxa"/>
            <w:tcBorders/>
            <w:vAlign w:val="bottom"/>
          </w:tcPr>
          <w:p>
            <w:pPr>
              <w:pStyle w:val="TableContents"/>
              <w:bidi w:val="0"/>
              <w:spacing w:before="0" w:after="283"/>
              <w:jc w:val="left"/>
              <w:rPr/>
            </w:pPr>
            <w:r>
              <w:rPr/>
              <w:t>  </w:t>
            </w:r>
          </w:p>
        </w:tc>
        <w:tc>
          <w:tcPr>
            <w:tcW w:w="183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 of Adoption</w:t>
            </w:r>
          </w:p>
        </w:tc>
        <w:tc>
          <w:tcPr>
            <w:tcW w:w="203"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2023-05, Business Combinations—Joint Venture Formations (Subtopic 805-60): Recognition and Initial Measurement</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This standard requires a joint venture to initially measure all contributions received upon its formation at fair value. ASU No. 2023-05 requires prospective application for all newly-formed joint venture entities with a formation date on or after January 1, 2025. Joint ventures formed prior to the adoption date may elect to apply the guidance retrospectively back to their original formation date. Early adoption is permitted.</w:t>
            </w:r>
          </w:p>
        </w:tc>
        <w:tc>
          <w:tcPr>
            <w:tcW w:w="202"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left"/>
              <w:rPr/>
            </w:pPr>
            <w:r>
              <w:rPr/>
              <w:t>January 1, 2025</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adopted ASU No. 2023-05 on January 1, 2025 and elected to apply the standard prospectively. The adoption had no material impact on its consolidated financial statements.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2025-05, Financial Instruments—Credit Losses (Topic 326): Measurement of Credit Losses for Accounts Receivable and Contract Assets</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 xml:space="preserve">This standard amends ASU 326, </w:t>
            </w:r>
            <w:r>
              <w:rPr>
                <w:i/>
              </w:rPr>
              <w:t>Financial Instruments—Credit Losses</w:t>
            </w:r>
            <w:r>
              <w:rPr/>
              <w:t>, to provide a practical expedient that allows entities to assume the current conditions as of the balance sheet date remain unchanged for the remaining life of the asset in the development of a reasonable and supportable forecast for current accounts receivable and current contract assets arising from transactions accounted for under ASC 606. ASU No. 2025-05 must be applied prospectively. Early adoption is permitted.</w:t>
            </w:r>
          </w:p>
        </w:tc>
        <w:tc>
          <w:tcPr>
            <w:tcW w:w="202"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left"/>
              <w:rPr/>
            </w:pPr>
            <w:r>
              <w:rPr/>
              <w:t>Effective for fiscal years beginning after December 15, 2025, and interim periods within those fiscal years.</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adopted the practical expedient of ASU No. 2025-05 on September 1, 2025. The adoption had no material impact on its consolidated financial statements.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2023-09, Income Taxes (Topic 740): Improvements to Income Tax Disclosures</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This standard requires disaggregated information about a reporting entity’s effective tax rate reconciliation, as well as information on income taxes paid. ASU No. 2023-09 requires prospective application with the option to apply the standard retrospectively. Early adoption is permitted.</w:t>
            </w:r>
          </w:p>
        </w:tc>
        <w:tc>
          <w:tcPr>
            <w:tcW w:w="202"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left"/>
              <w:rPr/>
            </w:pPr>
            <w:r>
              <w:rPr/>
              <w:t>January 1, 2025</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adopted ASU No. 2023-09 on January 1, 2025 and elected to apply the standard prospectively. The adoption had no material impact on its consolidated financial statements, and the Company’s 2025 year-end financial statements will contain additional disclosures to address the requirements of this ASU.</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2024-01, Compensation—Stock Compensation (Topic 718): Scope Application of Profits Interest and Similar Awards</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This standard clarifies how an entity determines whether a profits interest or similar award is (1) within the scope of ASC 718 or (2) not a share-based payment arrangement and therefore within the scope of other guidance. ASU No. 2024-01 may be applied prospectively or retrospectively. Early adoption is permitted.</w:t>
            </w:r>
          </w:p>
        </w:tc>
        <w:tc>
          <w:tcPr>
            <w:tcW w:w="202"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left"/>
              <w:rPr/>
            </w:pPr>
            <w:r>
              <w:rPr/>
              <w:t>January 1, 2025</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adopted ASU No. 2024-01 on January 1, 2025 and elected to apply the standard prospectively. The adoption had no material impact on its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204"/>
        <w:gridCol w:w="3777"/>
        <w:gridCol w:w="203"/>
        <w:gridCol w:w="1837"/>
        <w:gridCol w:w="203"/>
        <w:gridCol w:w="1940"/>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4"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203" w:type="dxa"/>
            <w:tcBorders/>
            <w:vAlign w:val="bottom"/>
          </w:tcPr>
          <w:p>
            <w:pPr>
              <w:pStyle w:val="TableContents"/>
              <w:bidi w:val="0"/>
              <w:spacing w:before="0" w:after="283"/>
              <w:jc w:val="left"/>
              <w:rPr/>
            </w:pPr>
            <w:r>
              <w:rPr/>
              <w:t>  </w:t>
            </w:r>
          </w:p>
        </w:tc>
        <w:tc>
          <w:tcPr>
            <w:tcW w:w="183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 of Adoption</w:t>
            </w:r>
          </w:p>
        </w:tc>
        <w:tc>
          <w:tcPr>
            <w:tcW w:w="203"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Standards that have not been adopted:</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2024-03, Income Statement—Reporting Comprehensive Income—Expense Disaggregation Disclosures (Subtopic 220-40): Disaggregation of Income Statement Expenses</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203"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left"/>
              <w:rPr/>
            </w:pPr>
            <w:r>
              <w:rPr/>
              <w:t>Effective for fiscal years beginning after December 15, 2026, and interim periods within fiscal years beginning after December 15, 2027.</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will adopt the annual reporting requirements of ASU No. 2024-03 on January 1, 2027 and the interim disclosure requirements on January 1, 2028 and elect to apply the standard prospectively. The Company does not believe that the implementation of this guidance will have a material impact on its consolidated financial statements.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3. Allowance for Credit Losses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 </w:t>
      </w:r>
    </w:p>
    <w:p>
      <w:pPr>
        <w:pStyle w:val="TextBody"/>
        <w:bidi w:val="0"/>
        <w:spacing w:before="240" w:after="0"/>
        <w:jc w:val="left"/>
        <w:rPr>
          <w:rFonts w:ascii="Times New Roman" w:hAnsi="Times New Roman"/>
          <w:sz w:val="20"/>
        </w:rPr>
      </w:pPr>
      <w:r>
        <w:rPr>
          <w:rFonts w:ascii="Times New Roman" w:hAnsi="Times New Roman"/>
          <w:sz w:val="20"/>
        </w:rPr>
        <w:t xml:space="preserve">Activity in the allowance for credit losses was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36"/>
        <w:gridCol w:w="355"/>
        <w:gridCol w:w="178"/>
        <w:gridCol w:w="916"/>
        <w:gridCol w:w="75"/>
        <w:gridCol w:w="379"/>
        <w:gridCol w:w="178"/>
        <w:gridCol w:w="758"/>
        <w:gridCol w:w="64"/>
      </w:tblGrid>
      <w:tr>
        <w:trPr/>
        <w:tc>
          <w:tcPr>
            <w:tcW w:w="4036"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4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September 30,</w:t>
            </w:r>
          </w:p>
        </w:tc>
        <w:tc>
          <w:tcPr>
            <w:tcW w:w="64" w:type="dxa"/>
            <w:tcBorders/>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4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July 1</w:t>
            </w:r>
          </w:p>
        </w:tc>
        <w:tc>
          <w:tcPr>
            <w:tcW w:w="3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6,900</w:t>
            </w:r>
          </w:p>
        </w:tc>
        <w:tc>
          <w:tcPr>
            <w:tcW w:w="7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6,273</w:t>
            </w:r>
          </w:p>
        </w:tc>
        <w:tc>
          <w:tcPr>
            <w:tcW w:w="64" w:type="dxa"/>
            <w:tcBorders/>
            <w:shd w:fill="CCEEFF" w:val="clear"/>
            <w:vAlign w:val="bottom"/>
          </w:tcPr>
          <w:p>
            <w:pPr>
              <w:pStyle w:val="TableContents"/>
              <w:bidi w:val="0"/>
              <w:spacing w:before="0" w:after="283"/>
              <w:jc w:val="left"/>
              <w:rPr/>
            </w:pPr>
            <w:r>
              <w:rPr/>
              <w:t> </w:t>
            </w:r>
          </w:p>
        </w:tc>
      </w:tr>
      <w:tr>
        <w:trPr/>
        <w:tc>
          <w:tcPr>
            <w:tcW w:w="4036" w:type="dxa"/>
            <w:tcBorders/>
          </w:tcPr>
          <w:p>
            <w:pPr>
              <w:pStyle w:val="TableContents"/>
              <w:bidi w:val="0"/>
              <w:spacing w:before="0" w:after="0"/>
              <w:jc w:val="left"/>
              <w:rPr>
                <w:rFonts w:ascii="Times New Roman" w:hAnsi="Times New Roman"/>
                <w:sz w:val="20"/>
              </w:rPr>
            </w:pPr>
            <w:r>
              <w:rPr>
                <w:rFonts w:ascii="Times New Roman" w:hAnsi="Times New Roman"/>
                <w:sz w:val="20"/>
              </w:rPr>
              <w:t>Current period provision for credit losses</w:t>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3,534</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756</w:t>
            </w:r>
          </w:p>
        </w:tc>
        <w:tc>
          <w:tcPr>
            <w:tcW w:w="64" w:type="dxa"/>
            <w:tcBorders/>
            <w:vAlign w:val="bottom"/>
          </w:tcPr>
          <w:p>
            <w:pPr>
              <w:pStyle w:val="TableContents"/>
              <w:bidi w:val="0"/>
              <w:spacing w:before="0" w:after="283"/>
              <w:jc w:val="left"/>
              <w:rPr/>
            </w:pPr>
            <w:r>
              <w:rPr/>
              <w:t> </w:t>
            </w:r>
          </w:p>
        </w:tc>
      </w:tr>
      <w:tr>
        <w:trPr/>
        <w:tc>
          <w:tcPr>
            <w:tcW w:w="4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3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3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w:t>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10,434</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7,029</w:t>
            </w:r>
          </w:p>
        </w:tc>
        <w:tc>
          <w:tcPr>
            <w:tcW w:w="64" w:type="dxa"/>
            <w:tcBorders/>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36"/>
        <w:gridCol w:w="355"/>
        <w:gridCol w:w="178"/>
        <w:gridCol w:w="916"/>
        <w:gridCol w:w="75"/>
        <w:gridCol w:w="379"/>
        <w:gridCol w:w="178"/>
        <w:gridCol w:w="758"/>
        <w:gridCol w:w="64"/>
      </w:tblGrid>
      <w:tr>
        <w:trPr/>
        <w:tc>
          <w:tcPr>
            <w:tcW w:w="4036"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4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w:t>
            </w:r>
          </w:p>
        </w:tc>
        <w:tc>
          <w:tcPr>
            <w:tcW w:w="64" w:type="dxa"/>
            <w:tcBorders/>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4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3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7,929</w:t>
            </w:r>
          </w:p>
        </w:tc>
        <w:tc>
          <w:tcPr>
            <w:tcW w:w="7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6,307</w:t>
            </w:r>
          </w:p>
        </w:tc>
        <w:tc>
          <w:tcPr>
            <w:tcW w:w="64" w:type="dxa"/>
            <w:tcBorders/>
            <w:shd w:fill="CCEEFF" w:val="clear"/>
            <w:vAlign w:val="bottom"/>
          </w:tcPr>
          <w:p>
            <w:pPr>
              <w:pStyle w:val="TableContents"/>
              <w:bidi w:val="0"/>
              <w:spacing w:before="0" w:after="283"/>
              <w:jc w:val="left"/>
              <w:rPr/>
            </w:pPr>
            <w:r>
              <w:rPr/>
              <w:t> </w:t>
            </w:r>
          </w:p>
        </w:tc>
      </w:tr>
      <w:tr>
        <w:trPr/>
        <w:tc>
          <w:tcPr>
            <w:tcW w:w="4036" w:type="dxa"/>
            <w:tcBorders/>
          </w:tcPr>
          <w:p>
            <w:pPr>
              <w:pStyle w:val="TableContents"/>
              <w:bidi w:val="0"/>
              <w:spacing w:before="0" w:after="0"/>
              <w:jc w:val="left"/>
              <w:rPr>
                <w:rFonts w:ascii="Times New Roman" w:hAnsi="Times New Roman"/>
                <w:sz w:val="20"/>
              </w:rPr>
            </w:pPr>
            <w:r>
              <w:rPr>
                <w:rFonts w:ascii="Times New Roman" w:hAnsi="Times New Roman"/>
                <w:sz w:val="20"/>
              </w:rPr>
              <w:t>Current period provision for credit losses</w:t>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2,505</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722</w:t>
            </w:r>
          </w:p>
        </w:tc>
        <w:tc>
          <w:tcPr>
            <w:tcW w:w="64" w:type="dxa"/>
            <w:tcBorders/>
            <w:vAlign w:val="bottom"/>
          </w:tcPr>
          <w:p>
            <w:pPr>
              <w:pStyle w:val="TableContents"/>
              <w:bidi w:val="0"/>
              <w:spacing w:before="0" w:after="283"/>
              <w:jc w:val="left"/>
              <w:rPr/>
            </w:pPr>
            <w:r>
              <w:rPr/>
              <w:t> </w:t>
            </w:r>
          </w:p>
        </w:tc>
      </w:tr>
      <w:tr>
        <w:trPr/>
        <w:tc>
          <w:tcPr>
            <w:tcW w:w="4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3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3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w:t>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10,434</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7,029</w:t>
            </w:r>
          </w:p>
        </w:tc>
        <w:tc>
          <w:tcPr>
            <w:tcW w:w="64" w:type="dxa"/>
            <w:tcBorders/>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 Revenues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the Company had certain remaining performance obligations representing contracted vessel revenue for which work had not been performed and such contracts had an original expected duration of more than one year. As of September 30, 2025, the aggregate amount of the transaction price allocated to remaining performance obligations for such contracts totaled $192.9 million, of which $28.1 million is expected to be fully recognized in 2025, $102.0 million in 2026 and $62.8 million in 2027. These amounts are a result of multi-year vessel charters that commenced in either 2023, 2024 or 2025.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$5.2 million of deferred revenue included in current liabilities related to unsatisfied performance obligations that will be recognized during the remainder of 2025 and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Disaggregation of 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recognized revenues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45"/>
        <w:gridCol w:w="261"/>
        <w:gridCol w:w="140"/>
        <w:gridCol w:w="823"/>
        <w:gridCol w:w="60"/>
        <w:gridCol w:w="261"/>
        <w:gridCol w:w="140"/>
        <w:gridCol w:w="823"/>
        <w:gridCol w:w="60"/>
        <w:gridCol w:w="261"/>
        <w:gridCol w:w="140"/>
        <w:gridCol w:w="823"/>
        <w:gridCol w:w="60"/>
        <w:gridCol w:w="261"/>
        <w:gridCol w:w="140"/>
        <w:gridCol w:w="823"/>
        <w:gridCol w:w="67"/>
      </w:tblGrid>
      <w:tr>
        <w:trPr/>
        <w:tc>
          <w:tcPr>
            <w:tcW w:w="424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2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2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7" w:type="dxa"/>
            <w:tcBorders/>
            <w:vAlign w:val="bottom"/>
          </w:tcPr>
          <w:p>
            <w:pPr>
              <w:pStyle w:val="TableContents"/>
              <w:bidi w:val="0"/>
              <w:spacing w:before="0" w:after="283"/>
              <w:jc w:val="left"/>
              <w:rPr/>
            </w:pPr>
            <w:r>
              <w:rPr/>
              <w:t> </w:t>
            </w:r>
          </w:p>
        </w:tc>
      </w:tr>
      <w:tr>
        <w:trPr/>
        <w:tc>
          <w:tcPr>
            <w:tcW w:w="424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186,445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161,158</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507,582</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444,365</w:t>
            </w:r>
          </w:p>
        </w:tc>
        <w:tc>
          <w:tcPr>
            <w:tcW w:w="67" w:type="dxa"/>
            <w:tcBorders/>
            <w:shd w:fill="CCEEFF" w:val="clear"/>
            <w:vAlign w:val="bottom"/>
          </w:tcPr>
          <w:p>
            <w:pPr>
              <w:pStyle w:val="TableContents"/>
              <w:bidi w:val="0"/>
              <w:spacing w:before="0" w:after="283"/>
              <w:jc w:val="left"/>
              <w:rPr/>
            </w:pPr>
            <w:r>
              <w:rPr/>
              <w:t> </w:t>
            </w:r>
          </w:p>
        </w:tc>
      </w:tr>
      <w:tr>
        <w:trPr/>
        <w:tc>
          <w:tcPr>
            <w:tcW w:w="4245" w:type="dxa"/>
            <w:tcBorders/>
          </w:tcPr>
          <w:p>
            <w:pPr>
              <w:pStyle w:val="TableContents"/>
              <w:bidi w:val="0"/>
              <w:spacing w:before="0" w:after="0"/>
              <w:jc w:val="left"/>
              <w:rPr>
                <w:rFonts w:ascii="Times New Roman" w:hAnsi="Times New Roman"/>
                <w:sz w:val="20"/>
              </w:rPr>
            </w:pPr>
            <w:r>
              <w:rPr>
                <w:rFonts w:ascii="Times New Roman" w:hAnsi="Times New Roman"/>
                <w:sz w:val="20"/>
              </w:rPr>
              <w:t>Vessel management revenues</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12,136</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11,302</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35,756</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33,755</w:t>
            </w:r>
          </w:p>
        </w:tc>
        <w:tc>
          <w:tcPr>
            <w:tcW w:w="67" w:type="dxa"/>
            <w:tcBorders/>
            <w:vAlign w:val="bottom"/>
          </w:tcPr>
          <w:p>
            <w:pPr>
              <w:pStyle w:val="TableContents"/>
              <w:bidi w:val="0"/>
              <w:spacing w:before="0" w:after="283"/>
              <w:jc w:val="left"/>
              <w:rPr/>
            </w:pPr>
            <w:r>
              <w:rPr/>
              <w:t> </w:t>
            </w:r>
          </w:p>
        </w:tc>
      </w:tr>
      <w:tr>
        <w:trPr/>
        <w:tc>
          <w:tcPr>
            <w:tcW w:w="4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Shore-based facility revenues</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535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746</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2,207</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1,862</w:t>
            </w:r>
          </w:p>
        </w:tc>
        <w:tc>
          <w:tcPr>
            <w:tcW w:w="67" w:type="dxa"/>
            <w:tcBorders/>
            <w:shd w:fill="CCEEFF" w:val="clear"/>
            <w:vAlign w:val="bottom"/>
          </w:tcPr>
          <w:p>
            <w:pPr>
              <w:pStyle w:val="TableContents"/>
              <w:bidi w:val="0"/>
              <w:spacing w:before="0" w:after="283"/>
              <w:jc w:val="left"/>
              <w:rPr/>
            </w:pPr>
            <w:r>
              <w:rPr/>
              <w:t> </w:t>
            </w:r>
          </w:p>
        </w:tc>
      </w:tr>
      <w:tr>
        <w:trPr/>
        <w:tc>
          <w:tcPr>
            <w:tcW w:w="424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45" w:type="dxa"/>
            <w:tcBorders/>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199,116</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173,206</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545,545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479,982</w:t>
            </w:r>
          </w:p>
        </w:tc>
        <w:tc>
          <w:tcPr>
            <w:tcW w:w="67" w:type="dxa"/>
            <w:tcBorders/>
            <w:vAlign w:val="bottom"/>
          </w:tcPr>
          <w:p>
            <w:pPr>
              <w:pStyle w:val="TableContents"/>
              <w:bidi w:val="0"/>
              <w:spacing w:before="0" w:after="283"/>
              <w:jc w:val="left"/>
              <w:rPr/>
            </w:pPr>
            <w:r>
              <w:rPr/>
              <w:t> </w:t>
            </w:r>
          </w:p>
        </w:tc>
      </w:tr>
      <w:tr>
        <w:trPr/>
        <w:tc>
          <w:tcPr>
            <w:tcW w:w="424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by geographic region (1) were as follows (in thousands, except for % of Total):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4"/>
        <w:gridCol w:w="141"/>
        <w:gridCol w:w="140"/>
        <w:gridCol w:w="814"/>
        <w:gridCol w:w="60"/>
        <w:gridCol w:w="141"/>
        <w:gridCol w:w="60"/>
        <w:gridCol w:w="573"/>
        <w:gridCol w:w="275"/>
        <w:gridCol w:w="83"/>
        <w:gridCol w:w="140"/>
        <w:gridCol w:w="814"/>
        <w:gridCol w:w="60"/>
        <w:gridCol w:w="141"/>
        <w:gridCol w:w="60"/>
        <w:gridCol w:w="573"/>
        <w:gridCol w:w="275"/>
        <w:gridCol w:w="83"/>
        <w:gridCol w:w="140"/>
        <w:gridCol w:w="813"/>
        <w:gridCol w:w="60"/>
        <w:gridCol w:w="141"/>
        <w:gridCol w:w="60"/>
        <w:gridCol w:w="573"/>
        <w:gridCol w:w="275"/>
        <w:gridCol w:w="83"/>
        <w:gridCol w:w="140"/>
        <w:gridCol w:w="814"/>
        <w:gridCol w:w="60"/>
        <w:gridCol w:w="141"/>
        <w:gridCol w:w="60"/>
        <w:gridCol w:w="573"/>
        <w:gridCol w:w="285"/>
      </w:tblGrid>
      <w:tr>
        <w:trPr/>
        <w:tc>
          <w:tcPr>
            <w:tcW w:w="1554"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5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93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393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85" w:type="dxa"/>
            <w:tcBorders/>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85" w:type="dxa"/>
            <w:tcBorders/>
            <w:vAlign w:val="bottom"/>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145,286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73.0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132,128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76.3</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383,568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70.3</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359,298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74.9</w:t>
            </w:r>
          </w:p>
        </w:tc>
        <w:tc>
          <w:tcPr>
            <w:tcW w:w="285" w:type="dxa"/>
            <w:tcBorders/>
            <w:shd w:fill="CCEEFF" w:val="clear"/>
            <w:vAlign w:val="bottom"/>
          </w:tcPr>
          <w:p>
            <w:pPr>
              <w:pStyle w:val="TableContents"/>
              <w:bidi w:val="0"/>
              <w:spacing w:before="0" w:after="283"/>
              <w:jc w:val="left"/>
              <w:rPr/>
            </w:pPr>
            <w:r>
              <w:rPr/>
              <w:t>% </w:t>
            </w:r>
          </w:p>
        </w:tc>
      </w:tr>
      <w:tr>
        <w:trPr/>
        <w:tc>
          <w:tcPr>
            <w:tcW w:w="1554"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 (2)(3)</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53,830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27.0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41,078</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23.7</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161,977</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29.7</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120,684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25.1</w:t>
            </w:r>
          </w:p>
        </w:tc>
        <w:tc>
          <w:tcPr>
            <w:tcW w:w="285" w:type="dxa"/>
            <w:tcBorders/>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199,116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173,206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545,545</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479,982</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100.0</w:t>
            </w:r>
          </w:p>
        </w:tc>
        <w:tc>
          <w:tcPr>
            <w:tcW w:w="285" w:type="dxa"/>
            <w:tcBorders/>
            <w:shd w:fill="CCEEFF" w:val="clear"/>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attributes revenues to individual geographic regions based on the location where services are performed.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$27.2 million, $9.3 million, and $8.8 million were attributed to services performed in Brazil, Mexico, and Colombia, respectively, for the three months ended September 30, 2025 and international revenues of $20.7 million, $9.9 million, and $9.0 million were attributed to services performed in Brazil, Mexico, and Colombia, respectively, for the three months ended September 30, 2024. Revenues attributed to other countries were not individually material for the periods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$89.6 million, $25.3 million, and $26.5 million were attributed to services performed in Brazil, Mexico, and Colombia, respectively, for the nine months ended September 30, 2025 and international revenues of $65.2 million, $22.7 million, and $18.5 million were attributed to services performed in Brazil, Mexico, and Colombia, respectively, for the nine months ended September 30, 2024. Revenues attributed to other countries were not individually material for the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Major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Revenues from the following customers represented 10% or more of consolidated revenues: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49"/>
        <w:gridCol w:w="404"/>
        <w:gridCol w:w="107"/>
        <w:gridCol w:w="546"/>
        <w:gridCol w:w="735"/>
        <w:gridCol w:w="356"/>
        <w:gridCol w:w="107"/>
        <w:gridCol w:w="549"/>
        <w:gridCol w:w="410"/>
        <w:gridCol w:w="311"/>
        <w:gridCol w:w="107"/>
        <w:gridCol w:w="546"/>
        <w:gridCol w:w="735"/>
        <w:gridCol w:w="356"/>
        <w:gridCol w:w="107"/>
        <w:gridCol w:w="549"/>
        <w:gridCol w:w="414"/>
      </w:tblGrid>
      <w:tr>
        <w:trPr/>
        <w:tc>
          <w:tcPr>
            <w:tcW w:w="3049"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049"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September 30,</w:t>
            </w:r>
          </w:p>
        </w:tc>
        <w:tc>
          <w:tcPr>
            <w:tcW w:w="4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w:t>
            </w:r>
          </w:p>
        </w:tc>
        <w:tc>
          <w:tcPr>
            <w:tcW w:w="414" w:type="dxa"/>
            <w:tcBorders/>
            <w:vAlign w:val="bottom"/>
          </w:tcPr>
          <w:p>
            <w:pPr>
              <w:pStyle w:val="TableContents"/>
              <w:bidi w:val="0"/>
              <w:spacing w:before="0" w:after="283"/>
              <w:jc w:val="left"/>
              <w:rPr/>
            </w:pPr>
            <w:r>
              <w:rPr/>
              <w:t> </w:t>
            </w:r>
          </w:p>
        </w:tc>
      </w:tr>
      <w:tr>
        <w:trPr/>
        <w:tc>
          <w:tcPr>
            <w:tcW w:w="3049"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4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414"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40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16</w:t>
            </w:r>
          </w:p>
        </w:tc>
        <w:tc>
          <w:tcPr>
            <w:tcW w:w="73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15</w:t>
            </w:r>
          </w:p>
        </w:tc>
        <w:tc>
          <w:tcPr>
            <w:tcW w:w="41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16</w:t>
            </w:r>
          </w:p>
        </w:tc>
        <w:tc>
          <w:tcPr>
            <w:tcW w:w="73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16</w:t>
            </w:r>
          </w:p>
        </w:tc>
        <w:tc>
          <w:tcPr>
            <w:tcW w:w="414"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40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13</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12</w:t>
            </w:r>
          </w:p>
        </w:tc>
        <w:tc>
          <w:tcPr>
            <w:tcW w:w="4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16</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14</w:t>
            </w:r>
          </w:p>
        </w:tc>
        <w:tc>
          <w:tcPr>
            <w:tcW w:w="414"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C</w:t>
            </w:r>
          </w:p>
        </w:tc>
        <w:tc>
          <w:tcPr>
            <w:tcW w:w="40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11</w:t>
            </w:r>
          </w:p>
        </w:tc>
        <w:tc>
          <w:tcPr>
            <w:tcW w:w="73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n/a</w:t>
            </w:r>
          </w:p>
        </w:tc>
        <w:tc>
          <w:tcPr>
            <w:tcW w:w="410" w:type="dxa"/>
            <w:tcBorders/>
            <w:shd w:fill="CCEEFF" w:val="clear"/>
            <w:vAlign w:val="bottom"/>
          </w:tcPr>
          <w:p>
            <w:pPr>
              <w:pStyle w:val="TableContents"/>
              <w:bidi w:val="0"/>
              <w:spacing w:before="0" w:after="283"/>
              <w:jc w:val="left"/>
              <w:rPr/>
            </w:pPr>
            <w:r>
              <w:rPr/>
              <w:t> </w:t>
            </w:r>
            <w:r>
              <w:rPr/>
              <w:t>(1) </w:t>
            </w:r>
          </w:p>
        </w:tc>
        <w:tc>
          <w:tcPr>
            <w:tcW w:w="31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n/a</w:t>
            </w:r>
          </w:p>
        </w:tc>
        <w:tc>
          <w:tcPr>
            <w:tcW w:w="735" w:type="dxa"/>
            <w:tcBorders/>
            <w:shd w:fill="CCEEFF" w:val="clear"/>
            <w:vAlign w:val="bottom"/>
          </w:tcPr>
          <w:p>
            <w:pPr>
              <w:pStyle w:val="TableContents"/>
              <w:bidi w:val="0"/>
              <w:spacing w:before="0" w:after="283"/>
              <w:jc w:val="left"/>
              <w:rPr/>
            </w:pPr>
            <w:r>
              <w:rPr/>
              <w:t> </w:t>
            </w:r>
            <w:r>
              <w:rPr/>
              <w:t>(1) </w:t>
            </w:r>
          </w:p>
        </w:tc>
        <w:tc>
          <w:tcPr>
            <w:tcW w:w="35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n/a</w:t>
            </w:r>
          </w:p>
        </w:tc>
        <w:tc>
          <w:tcPr>
            <w:tcW w:w="414" w:type="dxa"/>
            <w:tcBorders/>
            <w:shd w:fill="CCEEFF" w:val="clear"/>
            <w:vAlign w:val="bottom"/>
          </w:tcPr>
          <w:p>
            <w:pPr>
              <w:pStyle w:val="TableContents"/>
              <w:bidi w:val="0"/>
              <w:spacing w:before="0" w:after="283"/>
              <w:jc w:val="left"/>
              <w:rPr/>
            </w:pPr>
            <w:r>
              <w:rPr/>
              <w:t> </w:t>
            </w:r>
            <w:r>
              <w:rPr/>
              <w:t>(1)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Customer D</w:t>
            </w:r>
          </w:p>
        </w:tc>
        <w:tc>
          <w:tcPr>
            <w:tcW w:w="40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n/a</w:t>
            </w:r>
          </w:p>
        </w:tc>
        <w:tc>
          <w:tcPr>
            <w:tcW w:w="735" w:type="dxa"/>
            <w:tcBorders/>
            <w:vAlign w:val="bottom"/>
          </w:tcPr>
          <w:p>
            <w:pPr>
              <w:pStyle w:val="TableContents"/>
              <w:bidi w:val="0"/>
              <w:spacing w:before="0" w:after="283"/>
              <w:jc w:val="left"/>
              <w:rPr/>
            </w:pPr>
            <w:r>
              <w:rPr/>
              <w:t> </w:t>
            </w:r>
            <w:r>
              <w:rPr/>
              <w:t>(1) </w:t>
            </w:r>
          </w:p>
        </w:tc>
        <w:tc>
          <w:tcPr>
            <w:tcW w:w="35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12</w:t>
            </w:r>
          </w:p>
        </w:tc>
        <w:tc>
          <w:tcPr>
            <w:tcW w:w="4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10</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14</w:t>
            </w:r>
          </w:p>
        </w:tc>
        <w:tc>
          <w:tcPr>
            <w:tcW w:w="41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represented less than 10% of consolidated revenues in such period.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reconciles the Company’s earnings per share (in thousands, except for per share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49"/>
        <w:gridCol w:w="310"/>
        <w:gridCol w:w="150"/>
        <w:gridCol w:w="738"/>
        <w:gridCol w:w="60"/>
        <w:gridCol w:w="310"/>
        <w:gridCol w:w="150"/>
        <w:gridCol w:w="738"/>
        <w:gridCol w:w="60"/>
        <w:gridCol w:w="310"/>
        <w:gridCol w:w="140"/>
        <w:gridCol w:w="817"/>
        <w:gridCol w:w="60"/>
        <w:gridCol w:w="309"/>
        <w:gridCol w:w="140"/>
        <w:gridCol w:w="680"/>
        <w:gridCol w:w="67"/>
      </w:tblGrid>
      <w:tr>
        <w:trPr/>
        <w:tc>
          <w:tcPr>
            <w:tcW w:w="4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1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1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7" w:type="dxa"/>
            <w:tcBorders/>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3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51,926</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38,883</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126,659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83,109</w:t>
            </w:r>
          </w:p>
        </w:tc>
        <w:tc>
          <w:tcPr>
            <w:tcW w:w="67" w:type="dxa"/>
            <w:tcBorders/>
            <w:shd w:fill="CCEEFF" w:val="clear"/>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49"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of common stock outstanding (1)(2)</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16,019</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17,124</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16,002</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17,087</w:t>
            </w:r>
          </w:p>
        </w:tc>
        <w:tc>
          <w:tcPr>
            <w:tcW w:w="67" w:type="dxa"/>
            <w:tcBorders/>
            <w:vAlign w:val="bottom"/>
          </w:tcPr>
          <w:p>
            <w:pPr>
              <w:pStyle w:val="TableContents"/>
              <w:bidi w:val="0"/>
              <w:spacing w:before="0" w:after="283"/>
              <w:jc w:val="left"/>
              <w:rPr/>
            </w:pPr>
            <w:r>
              <w:rPr/>
              <w:t> </w:t>
            </w:r>
          </w:p>
        </w:tc>
      </w:tr>
      <w:tr>
        <w:trPr/>
        <w:tc>
          <w:tcPr>
            <w:tcW w:w="43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Net effect of dilutive stock options, restricted stock units, and Creditor Warrants (3)(4)(5)</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2,178</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2,248</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2,175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2,213</w:t>
            </w:r>
          </w:p>
        </w:tc>
        <w:tc>
          <w:tcPr>
            <w:tcW w:w="67" w:type="dxa"/>
            <w:tcBorders/>
            <w:shd w:fill="CCEEFF" w:val="clear"/>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49"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dilutive shares of common stock outstanding</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18,197</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19,372</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18,177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19,300</w:t>
            </w:r>
          </w:p>
        </w:tc>
        <w:tc>
          <w:tcPr>
            <w:tcW w:w="67" w:type="dxa"/>
            <w:tcBorders/>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common share:</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49"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3.24</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2.27</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7.92</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4.86</w:t>
            </w:r>
          </w:p>
        </w:tc>
        <w:tc>
          <w:tcPr>
            <w:tcW w:w="67" w:type="dxa"/>
            <w:tcBorders/>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2.85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2.01</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6.97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4.31</w:t>
            </w:r>
          </w:p>
        </w:tc>
        <w:tc>
          <w:tcPr>
            <w:tcW w:w="67" w:type="dxa"/>
            <w:tcBorders/>
            <w:shd w:fill="CCEEFF" w:val="clear"/>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included 10,494 and 11,377 Jones Act Warrants in the weighted-average number of shares of common stock outstanding for the three and nine months ended September 30, 2025 and 2024, respectively, which represents the weighted-average number of Jones Act Warrants existing at each period-end.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105 fully vested, equity-settled restricted stock units that will be settled on the earlier of the occurrence of a contractually-designated event and the passage of a certain period of time for the three and nine months ended September 30, 2025 and 2024,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156 and 144 unvested restricted stock units and 619 and 619 contingently-exercisable, vested restricted stock units in the weighted average calculation for the three and nine months ended September 30, 2025, respectively, and 202 and 173 unvested restricted stock units and 619 and 619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contingently-exercisable, vested restricted stock units in the weighted average calculation for the three and nine months ended September 30, 2024,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472 dilutive unvested stock options granted under the MIP in the weighted-average calculation for the three and nine months ended September 30, 2025, respectively, and 493 and 492 dilutive unvested stock options granted under the MIP in the weighted-average calculation for the three and nine months ended September 30, 2024, respectively. Dilutive unvested stock options issued by the Company are expected to fluctuate from quarter to quarter depending on the Company’s performance compared to a predetermined set of performance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931 and 940 of in-the-money Creditor Warrants in the weighted-average calculation for the three and nine months ended September 30, 2025, respectively, and 934 and 929 of in-the-money Creditor Warrants in the weighted-average calculation for the three and nine months ended September 30, 2024,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Deferred Charges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240" w:after="0"/>
        <w:jc w:val="left"/>
        <w:rPr>
          <w:rFonts w:ascii="Times New Roman" w:hAnsi="Times New Roman"/>
          <w:sz w:val="20"/>
        </w:rPr>
      </w:pPr>
      <w:r>
        <w:rPr>
          <w:rFonts w:ascii="Times New Roman" w:hAnsi="Times New Roman"/>
          <w:sz w:val="20"/>
        </w:rPr>
        <w:t xml:space="preserve">The amounts reported for deferred charges on the consolidated balance sheets as of September 30, 2025 and December 31, 2024, include costs associated with ongoing drydockings. Included in such capital costs are accruals for vendor costs incurred but not yet invoiced and paid. These accrual amounts totaling $4.8 million and $6.3 million as of September 30, 2025 and December 31, 2024, respectively, are excluded from cash flows from operating activities on the consolidated statement of cash flows as non-cash items for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7.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53"/>
        <w:gridCol w:w="426"/>
        <w:gridCol w:w="204"/>
        <w:gridCol w:w="1309"/>
        <w:gridCol w:w="155"/>
        <w:gridCol w:w="426"/>
        <w:gridCol w:w="197"/>
        <w:gridCol w:w="1226"/>
        <w:gridCol w:w="159"/>
      </w:tblGrid>
      <w:tr>
        <w:trPr/>
        <w:tc>
          <w:tcPr>
            <w:tcW w:w="3653"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3"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Offshore supply vessels and multi-purpose support vessels</w:t>
            </w:r>
          </w:p>
        </w:tc>
        <w:tc>
          <w:tcPr>
            <w:tcW w:w="4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309" w:type="dxa"/>
            <w:tcBorders/>
            <w:shd w:fill="CCEEFF" w:val="clear"/>
            <w:vAlign w:val="bottom"/>
          </w:tcPr>
          <w:p>
            <w:pPr>
              <w:pStyle w:val="TableContents"/>
              <w:bidi w:val="0"/>
              <w:spacing w:before="0" w:after="283"/>
              <w:jc w:val="right"/>
              <w:rPr/>
            </w:pPr>
            <w:r>
              <w:rPr/>
              <w:t>644,250</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627,237</w:t>
            </w:r>
          </w:p>
        </w:tc>
        <w:tc>
          <w:tcPr>
            <w:tcW w:w="159"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related property, plant and equipment</w:t>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15,315</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8,288</w:t>
            </w:r>
          </w:p>
        </w:tc>
        <w:tc>
          <w:tcPr>
            <w:tcW w:w="159"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(133,970</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(103,564</w:t>
            </w:r>
          </w:p>
        </w:tc>
        <w:tc>
          <w:tcPr>
            <w:tcW w:w="159" w:type="dxa"/>
            <w:tcBorders/>
            <w:shd w:fill="CCEEFF" w:val="clear"/>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53" w:type="dxa"/>
            <w:tcBorders/>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525,595</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531,961</w:t>
            </w:r>
          </w:p>
        </w:tc>
        <w:tc>
          <w:tcPr>
            <w:tcW w:w="159"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 (1)</w:t>
            </w:r>
          </w:p>
        </w:tc>
        <w:tc>
          <w:tcPr>
            <w:tcW w:w="4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208,204</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142,768</w:t>
            </w:r>
          </w:p>
        </w:tc>
        <w:tc>
          <w:tcPr>
            <w:tcW w:w="159" w:type="dxa"/>
            <w:tcBorders/>
            <w:shd w:fill="CCEEFF" w:val="clear"/>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53" w:type="dxa"/>
            <w:tcBorders/>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733,799</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674,729</w:t>
            </w:r>
          </w:p>
        </w:tc>
        <w:tc>
          <w:tcPr>
            <w:tcW w:w="159"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$6.9 million and $10.0 million of accrued accounts payable as of September 30, 2025 and December 31, 2024, respectively. These amounts were excluded from the consolidated statement of cash flows as non-cash items for the respective periods.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table below presents net book value of property, plant and equipment by geographic regions(1) (in thousands, except for % of Total):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73"/>
        <w:gridCol w:w="309"/>
        <w:gridCol w:w="219"/>
        <w:gridCol w:w="1280"/>
        <w:gridCol w:w="60"/>
        <w:gridCol w:w="309"/>
        <w:gridCol w:w="107"/>
        <w:gridCol w:w="1027"/>
        <w:gridCol w:w="277"/>
        <w:gridCol w:w="226"/>
        <w:gridCol w:w="210"/>
        <w:gridCol w:w="1205"/>
        <w:gridCol w:w="60"/>
        <w:gridCol w:w="309"/>
        <w:gridCol w:w="107"/>
        <w:gridCol w:w="1027"/>
        <w:gridCol w:w="283"/>
      </w:tblGrid>
      <w:tr>
        <w:trPr/>
        <w:tc>
          <w:tcPr>
            <w:tcW w:w="2373"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373"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83" w:type="dxa"/>
            <w:tcBorders/>
            <w:vAlign w:val="bottom"/>
          </w:tcPr>
          <w:p>
            <w:pPr>
              <w:pStyle w:val="TableContents"/>
              <w:bidi w:val="0"/>
              <w:spacing w:before="0" w:after="283"/>
              <w:jc w:val="left"/>
              <w:rPr/>
            </w:pPr>
            <w:r>
              <w:rPr/>
              <w:t> </w:t>
            </w:r>
          </w:p>
        </w:tc>
      </w:tr>
      <w:tr>
        <w:trPr/>
        <w:tc>
          <w:tcPr>
            <w:tcW w:w="2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658,080</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89.7</w:t>
            </w:r>
          </w:p>
        </w:tc>
        <w:tc>
          <w:tcPr>
            <w:tcW w:w="2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598,481</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88.7</w:t>
            </w:r>
          </w:p>
        </w:tc>
        <w:tc>
          <w:tcPr>
            <w:tcW w:w="283" w:type="dxa"/>
            <w:tcBorders/>
            <w:shd w:fill="CCEEFF" w:val="clear"/>
            <w:vAlign w:val="bottom"/>
          </w:tcPr>
          <w:p>
            <w:pPr>
              <w:pStyle w:val="TableContents"/>
              <w:bidi w:val="0"/>
              <w:spacing w:before="0" w:after="283"/>
              <w:jc w:val="left"/>
              <w:rPr/>
            </w:pPr>
            <w:r>
              <w:rPr/>
              <w:t>% </w:t>
            </w:r>
          </w:p>
        </w:tc>
      </w:tr>
      <w:tr>
        <w:trPr/>
        <w:tc>
          <w:tcPr>
            <w:tcW w:w="2373"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 (2)</w:t>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75,719</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10.3</w:t>
            </w:r>
          </w:p>
        </w:tc>
        <w:tc>
          <w:tcPr>
            <w:tcW w:w="2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76,248</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11.3</w:t>
            </w:r>
          </w:p>
        </w:tc>
        <w:tc>
          <w:tcPr>
            <w:tcW w:w="283" w:type="dxa"/>
            <w:tcBorders/>
            <w:vAlign w:val="bottom"/>
          </w:tcPr>
          <w:p>
            <w:pPr>
              <w:pStyle w:val="TableContents"/>
              <w:bidi w:val="0"/>
              <w:spacing w:before="0" w:after="283"/>
              <w:jc w:val="left"/>
              <w:rPr/>
            </w:pPr>
            <w:r>
              <w:rPr/>
              <w:t>% </w:t>
            </w:r>
          </w:p>
        </w:tc>
      </w:tr>
      <w:tr>
        <w:trPr/>
        <w:tc>
          <w:tcPr>
            <w:tcW w:w="237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373" w:type="dxa"/>
            <w:tcBorders/>
            <w:shd w:fill="CCEEFF" w:val="clear"/>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733,799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100.0</w:t>
            </w:r>
          </w:p>
        </w:tc>
        <w:tc>
          <w:tcPr>
            <w:tcW w:w="2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674,729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100.0</w:t>
            </w:r>
          </w:p>
        </w:tc>
        <w:tc>
          <w:tcPr>
            <w:tcW w:w="283" w:type="dxa"/>
            <w:tcBorders/>
            <w:shd w:fill="CCEEFF" w:val="clear"/>
            <w:vAlign w:val="bottom"/>
          </w:tcPr>
          <w:p>
            <w:pPr>
              <w:pStyle w:val="TableContents"/>
              <w:bidi w:val="0"/>
              <w:spacing w:before="0" w:after="283"/>
              <w:jc w:val="left"/>
              <w:rPr/>
            </w:pPr>
            <w:r>
              <w:rPr/>
              <w:t>% </w:t>
            </w:r>
          </w:p>
        </w:tc>
      </w:tr>
      <w:tr>
        <w:trPr/>
        <w:tc>
          <w:tcPr>
            <w:tcW w:w="237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property, plant and equipment of $66.2 million and $68.7 million were owned by certain Mexican subsidiaries of the Company as of September 30, 2025 and December 31, 2024, respectively. Property, plant and equipment attributed to other countries were not individually material as of any of the dates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8. Long-Term Debt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dates indicated below, the Company had the following outstanding long-term debt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8"/>
        <w:gridCol w:w="455"/>
        <w:gridCol w:w="221"/>
        <w:gridCol w:w="1325"/>
        <w:gridCol w:w="60"/>
        <w:gridCol w:w="455"/>
        <w:gridCol w:w="213"/>
        <w:gridCol w:w="1284"/>
        <w:gridCol w:w="64"/>
      </w:tblGrid>
      <w:tr>
        <w:trPr/>
        <w:tc>
          <w:tcPr>
            <w:tcW w:w="3678"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78"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4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78"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 net of original issue discount of $6,044 and $6,750 and deferred financing costs of $1,968 and $2,019, respectively</w:t>
            </w:r>
          </w:p>
        </w:tc>
        <w:tc>
          <w:tcPr>
            <w:tcW w:w="4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440,314</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441,231</w:t>
            </w:r>
          </w:p>
        </w:tc>
        <w:tc>
          <w:tcPr>
            <w:tcW w:w="64" w:type="dxa"/>
            <w:tcBorders/>
            <w:vAlign w:val="bottom"/>
          </w:tcPr>
          <w:p>
            <w:pPr>
              <w:pStyle w:val="TableContents"/>
              <w:bidi w:val="0"/>
              <w:spacing w:before="0" w:after="283"/>
              <w:jc w:val="left"/>
              <w:rPr/>
            </w:pPr>
            <w:r>
              <w:rPr/>
              <w:t> </w:t>
            </w:r>
          </w:p>
        </w:tc>
      </w:tr>
      <w:tr>
        <w:trPr/>
        <w:tc>
          <w:tcPr>
            <w:tcW w:w="367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440,314</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441,231</w:t>
            </w:r>
          </w:p>
        </w:tc>
        <w:tc>
          <w:tcPr>
            <w:tcW w:w="64" w:type="dxa"/>
            <w:tcBorders/>
            <w:shd w:fill="CCEEFF" w:val="clear"/>
            <w:vAlign w:val="bottom"/>
          </w:tcPr>
          <w:p>
            <w:pPr>
              <w:pStyle w:val="TableContents"/>
              <w:bidi w:val="0"/>
              <w:spacing w:before="0" w:after="283"/>
              <w:jc w:val="left"/>
              <w:rPr/>
            </w:pPr>
            <w:r>
              <w:rPr/>
              <w:t> </w:t>
            </w:r>
          </w:p>
        </w:tc>
      </w:tr>
      <w:tr>
        <w:trPr/>
        <w:tc>
          <w:tcPr>
            <w:tcW w:w="367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Company’s cash interest payments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50"/>
        <w:gridCol w:w="203"/>
        <w:gridCol w:w="277"/>
        <w:gridCol w:w="1114"/>
        <w:gridCol w:w="60"/>
        <w:gridCol w:w="203"/>
        <w:gridCol w:w="4781"/>
      </w:tblGrid>
      <w:tr>
        <w:trPr/>
        <w:tc>
          <w:tcPr>
            <w:tcW w:w="275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81"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Interest</w:t>
              <w:br/>
              <w:t>Payments (1)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7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Payment Dates</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20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4781" w:type="dxa"/>
            <w:tcBorders/>
            <w:shd w:fill="CCEEFF" w:val="clear"/>
            <w:vAlign w:val="bottom"/>
          </w:tcPr>
          <w:p>
            <w:pPr>
              <w:pStyle w:val="TableContents"/>
              <w:bidi w:val="0"/>
              <w:spacing w:before="0" w:after="283"/>
              <w:jc w:val="left"/>
              <w:rPr/>
            </w:pPr>
            <w:r>
              <w:rPr/>
              <w:t>Variable (determined on date of draw)</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w:t>
            </w:r>
          </w:p>
        </w:tc>
        <w:tc>
          <w:tcPr>
            <w:tcW w:w="20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3,456</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781" w:type="dxa"/>
            <w:tcBorders/>
            <w:vAlign w:val="bottom"/>
          </w:tcPr>
          <w:p>
            <w:pPr>
              <w:pStyle w:val="TableContents"/>
              <w:bidi w:val="0"/>
              <w:spacing w:before="0" w:after="283"/>
              <w:jc w:val="left"/>
              <w:rPr/>
            </w:pPr>
            <w:r>
              <w:rPr/>
              <w:t>First day of each month</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2025, there were no revolving loan amounts outstanding under the First Lien Revolving Credit Facility. The First Lien Revolving Credit Facility is subject to an unused fee of 1.0% per annum, paid quarterly, as applicable.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First Lien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undrawn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$2.9 million in deferred financing costs paid to third parties related to the First Lien Revolving Credit Facility, which were recorded in deferred charges on the consolidated balance sheet. As of September 30, 2025, there were no amounts outstanding under the First Lien Revolving Credit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 Lien Term Loans due 2033 </w:t>
      </w:r>
    </w:p>
    <w:p>
      <w:pPr>
        <w:pStyle w:val="TextBody"/>
        <w:bidi w:val="0"/>
        <w:spacing w:before="120" w:after="0"/>
        <w:jc w:val="left"/>
        <w:rPr>
          <w:rFonts w:ascii="Times New Roman" w:hAnsi="Times New Roman"/>
          <w:sz w:val="20"/>
        </w:rPr>
      </w:pPr>
      <w:r>
        <w:rPr>
          <w:rFonts w:ascii="Times New Roman" w:hAnsi="Times New Roman"/>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scheduled to be repaid in (i) 12 consecutive equal monthly installments of interest, payable on the first day of each month commencing on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guaranteed by certain of the Company’s domestic and foreign subsidiaries and are secured by a second priority security interest in, and lien on, all the Company’s U.S.-flagged vessels. The credit agreement contains customary representations and warranties, covenants and events of default, but only one financial maintenance covenant, which is a $25.0 million minimum cash liquidity requirement. </w:t>
      </w:r>
    </w:p>
    <w:p>
      <w:pPr>
        <w:pStyle w:val="TextBody"/>
        <w:bidi w:val="0"/>
        <w:spacing w:before="240" w:after="0"/>
        <w:jc w:val="left"/>
        <w:rPr>
          <w:rFonts w:ascii="Times New Roman" w:hAnsi="Times New Roman"/>
          <w:sz w:val="20"/>
        </w:rPr>
      </w:pPr>
      <w:r>
        <w:rPr>
          <w:rFonts w:ascii="Times New Roman" w:hAnsi="Times New Roman"/>
          <w:sz w:val="20"/>
        </w:rPr>
        <w:t xml:space="preserve">In May 2025, as a result of the sale of one U.S.-flagged vessel, the Company elected to make a $1.7 million principal payment, including related fees, on the Second Lien Term Loans due 2033, in lieu of adding a replacement vessel as collateral. </w:t>
      </w:r>
    </w:p>
    <w:p>
      <w:pPr>
        <w:pStyle w:val="TextBody"/>
        <w:bidi w:val="0"/>
        <w:spacing w:before="360" w:after="0"/>
        <w:jc w:val="left"/>
        <w:rPr>
          <w:rFonts w:ascii="Times New Roman" w:hAnsi="Times New Roman"/>
          <w:b/>
          <w:sz w:val="20"/>
        </w:rPr>
      </w:pPr>
      <w:r>
        <w:rPr>
          <w:rFonts w:ascii="Times New Roman" w:hAnsi="Times New Roman"/>
          <w:b/>
          <w:sz w:val="20"/>
        </w:rPr>
        <w:t xml:space="preserve">9. Liability-Classified Warrants </w:t>
      </w:r>
    </w:p>
    <w:p>
      <w:pPr>
        <w:pStyle w:val="TextBody"/>
        <w:bidi w:val="0"/>
        <w:spacing w:before="120" w:after="0"/>
        <w:jc w:val="left"/>
        <w:rPr>
          <w:rFonts w:ascii="Times New Roman" w:hAnsi="Times New Roman"/>
          <w:sz w:val="20"/>
        </w:rPr>
      </w:pPr>
      <w:r>
        <w:rPr>
          <w:rFonts w:ascii="Times New Roman" w:hAnsi="Times New Roman"/>
          <w:sz w:val="20"/>
        </w:rPr>
        <w:t xml:space="preserve">Upon issuance on September 4, 2020, the Company’s outstanding Creditor Warrants were accounted for as liabilities due to certain anti-dilution provisions in the Creditor Warrant Agreement, which indexed the warrants to other equity-linked instruments requiring their classification as a liability pursuant to ASC 815, Derivatives and Hedging. On December 10, 2024, the Creditor Warrant Agreement was amended to remove such anti-dilution provisions. As a result, the Creditor Warrants are effectively indexed to the Company’s common stock and are thus accounted for as stockholders’ equity since the effective date of the amendment. Accordingly, the Company reclassified the then-current fair value of the Creditor Warrants, or $70.1 million, from long-term liabilities to additional paid-in-capital on December 10, 2024. </w:t>
      </w:r>
    </w:p>
    <w:p>
      <w:pPr>
        <w:pStyle w:val="TextBody"/>
        <w:bidi w:val="0"/>
        <w:spacing w:before="240" w:after="0"/>
        <w:jc w:val="left"/>
        <w:rPr>
          <w:rFonts w:ascii="Times New Roman" w:hAnsi="Times New Roman"/>
          <w:sz w:val="20"/>
        </w:rPr>
      </w:pPr>
      <w:r>
        <w:rPr>
          <w:rFonts w:ascii="Times New Roman" w:hAnsi="Times New Roman"/>
          <w:sz w:val="20"/>
        </w:rPr>
        <w:t xml:space="preserve">Warrants that were previously classified as liabilities were recorded at their estimated fair value on a recurring basis at each balance sheet date. To estimate the fair value of the Creditor Warrants, the Company, assisted by third-party valuation advisors, used a Black-Scholes model that utilized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estimated the fair value of the underlying common stock using the income approach and the market approach with each equally weighted. The income approach involved the use of various judgmental assumptions including the use of prospective financial information, the weighted average cost of capital and an exit multiple. The fair value of the Creditor Warrants fell within Level 3 of the fair value hierarchy, as there was no active trading market and certain inputs of the Black-Scholes model are not observable or corroborated by available market data. Based on the lack of trading history of our privately-held equity, the Company considered the estimated fair value of its common stock to be the most critical assumption in the determination of the fair value of the Creditor Warrants.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exercises of Creditor Warrants during the three and nine months ended September 30, 2025 or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10.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September 30, 2025, there were 0.3 million shares issued or redeemed, 1.5 million shares reserved for issuance related to granted awards and 0.4 million shares available for future grants to eligible individuals under the MIP. </w:t>
      </w:r>
    </w:p>
    <w:p>
      <w:pPr>
        <w:pStyle w:val="TextBody"/>
        <w:bidi w:val="0"/>
        <w:spacing w:before="240" w:after="0"/>
        <w:jc w:val="left"/>
        <w:rPr>
          <w:rFonts w:ascii="Times New Roman" w:hAnsi="Times New Roman"/>
          <w:sz w:val="20"/>
        </w:rPr>
      </w:pPr>
      <w:r>
        <w:rPr>
          <w:rFonts w:ascii="Times New Roman" w:hAnsi="Times New Roman"/>
          <w:sz w:val="20"/>
        </w:rPr>
        <w:t xml:space="preserve">In April 2025, the Company issued 0.1 million restricted stock units and 0.1 million stock options pursuant to the MIP and recorded $0.7 million and $1.9 million of associated stock-based compensation expense for the three and nine months ended September 30, 2025, respectively. The Company recorded $0.7 million of stock-based compensation expense for the three and nine months ended September 30, 2024 related to restricted stock units issued in April 2024. </w:t>
      </w:r>
    </w:p>
    <w:p>
      <w:pPr>
        <w:pStyle w:val="TextBody"/>
        <w:bidi w:val="0"/>
        <w:spacing w:before="240" w:after="0"/>
        <w:jc w:val="left"/>
        <w:rPr>
          <w:rFonts w:ascii="Times New Roman" w:hAnsi="Times New Roman"/>
          <w:sz w:val="20"/>
        </w:rPr>
      </w:pPr>
      <w:r>
        <w:rPr>
          <w:rFonts w:ascii="Times New Roman" w:hAnsi="Times New Roman"/>
          <w:sz w:val="20"/>
        </w:rPr>
        <w:t xml:space="preserve">The financial impact of stock-based compensation expense related to the MIP on the Company’s operating results is reflected in the table below (in thousands, except for per share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98"/>
        <w:gridCol w:w="326"/>
        <w:gridCol w:w="195"/>
        <w:gridCol w:w="789"/>
        <w:gridCol w:w="83"/>
        <w:gridCol w:w="363"/>
        <w:gridCol w:w="195"/>
        <w:gridCol w:w="792"/>
        <w:gridCol w:w="60"/>
        <w:gridCol w:w="326"/>
        <w:gridCol w:w="140"/>
        <w:gridCol w:w="614"/>
        <w:gridCol w:w="60"/>
        <w:gridCol w:w="326"/>
        <w:gridCol w:w="140"/>
        <w:gridCol w:w="614"/>
        <w:gridCol w:w="67"/>
      </w:tblGrid>
      <w:tr>
        <w:trPr/>
        <w:tc>
          <w:tcPr>
            <w:tcW w:w="4298"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9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4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7" w:type="dxa"/>
            <w:tcBorders/>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3"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taxes</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9" w:type="dxa"/>
            <w:tcBorders/>
            <w:shd w:fill="CCEEFF" w:val="clear"/>
            <w:vAlign w:val="bottom"/>
          </w:tcPr>
          <w:p>
            <w:pPr>
              <w:pStyle w:val="TableContents"/>
              <w:bidi w:val="0"/>
              <w:spacing w:before="0" w:after="283"/>
              <w:jc w:val="right"/>
              <w:rPr/>
            </w:pPr>
            <w:r>
              <w:rPr/>
              <w:t>1,737</w:t>
            </w:r>
          </w:p>
        </w:tc>
        <w:tc>
          <w:tcPr>
            <w:tcW w:w="83"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1,828</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5,190</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6,251</w:t>
            </w:r>
          </w:p>
        </w:tc>
        <w:tc>
          <w:tcPr>
            <w:tcW w:w="67" w:type="dxa"/>
            <w:tcBorders/>
            <w:shd w:fill="CCEEFF" w:val="clear"/>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9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89" w:type="dxa"/>
            <w:tcBorders/>
            <w:vAlign w:val="bottom"/>
          </w:tcPr>
          <w:p>
            <w:pPr>
              <w:pStyle w:val="TableContents"/>
              <w:bidi w:val="0"/>
              <w:spacing w:before="0" w:after="283"/>
              <w:jc w:val="right"/>
              <w:rPr/>
            </w:pPr>
            <w:r>
              <w:rPr/>
              <w:t>1,669</w:t>
            </w:r>
          </w:p>
        </w:tc>
        <w:tc>
          <w:tcPr>
            <w:tcW w:w="83"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92" w:type="dxa"/>
            <w:tcBorders/>
            <w:vAlign w:val="bottom"/>
          </w:tcPr>
          <w:p>
            <w:pPr>
              <w:pStyle w:val="TableContents"/>
              <w:bidi w:val="0"/>
              <w:spacing w:before="0" w:after="283"/>
              <w:jc w:val="right"/>
              <w:rPr/>
            </w:pPr>
            <w:r>
              <w:rPr/>
              <w:t>1,645</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4,866</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5,734</w:t>
            </w:r>
          </w:p>
        </w:tc>
        <w:tc>
          <w:tcPr>
            <w:tcW w:w="67" w:type="dxa"/>
            <w:tcBorders/>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common share:</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789"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36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29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89" w:type="dxa"/>
            <w:tcBorders/>
            <w:vAlign w:val="bottom"/>
          </w:tcPr>
          <w:p>
            <w:pPr>
              <w:pStyle w:val="TableContents"/>
              <w:bidi w:val="0"/>
              <w:spacing w:before="0" w:after="283"/>
              <w:jc w:val="right"/>
              <w:rPr/>
            </w:pPr>
            <w:r>
              <w:rPr/>
              <w:t>0.10</w:t>
            </w:r>
          </w:p>
        </w:tc>
        <w:tc>
          <w:tcPr>
            <w:tcW w:w="83"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92" w:type="dxa"/>
            <w:tcBorders/>
            <w:vAlign w:val="bottom"/>
          </w:tcPr>
          <w:p>
            <w:pPr>
              <w:pStyle w:val="TableContents"/>
              <w:bidi w:val="0"/>
              <w:spacing w:before="0" w:after="283"/>
              <w:jc w:val="right"/>
              <w:rPr/>
            </w:pPr>
            <w:r>
              <w:rPr/>
              <w:t>0.10</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0.30</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0.34</w:t>
            </w:r>
          </w:p>
        </w:tc>
        <w:tc>
          <w:tcPr>
            <w:tcW w:w="67" w:type="dxa"/>
            <w:tcBorders/>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9" w:type="dxa"/>
            <w:tcBorders/>
            <w:shd w:fill="CCEEFF" w:val="clear"/>
            <w:vAlign w:val="bottom"/>
          </w:tcPr>
          <w:p>
            <w:pPr>
              <w:pStyle w:val="TableContents"/>
              <w:bidi w:val="0"/>
              <w:spacing w:before="0" w:after="283"/>
              <w:jc w:val="right"/>
              <w:rPr/>
            </w:pPr>
            <w:r>
              <w:rPr/>
              <w:t>0.09</w:t>
            </w:r>
          </w:p>
        </w:tc>
        <w:tc>
          <w:tcPr>
            <w:tcW w:w="83"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0.08</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0.27</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0.30</w:t>
            </w:r>
          </w:p>
        </w:tc>
        <w:tc>
          <w:tcPr>
            <w:tcW w:w="67" w:type="dxa"/>
            <w:tcBorders/>
            <w:shd w:fill="CCEEFF" w:val="clear"/>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$0.0 million and $0.2 million of stock-based compensation expense related to restricted stock awards redeemable in cash to other accrued liabilities on the consolidated balance sheet during the nine months ended September 30,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11.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effective income tax expense rate for the nine months ended September 30, 2025 and 2024 was 6.2% and 8.3%, respectively. The Company’s current income tax expense reflects its current U.S. and foreign tax liabilities and certain deferred tax liabilities that could not be offset with a reduction in the valuation allowance. The Company’s effective tax rate differs from the federal statutory rate primarily due to foreign taxes and the reversal of valuation allowance for certain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 longer subject to tax audits being initiated by U.S. federal, state, local or foreign taxing authorities for years prior to 2020. The Company has ongoing examinations by various foreign tax authorities for earlier periods, but does not believe that the results of these examinations will have a material adverse effect on the Company’s financial position or results of operations. Please see Note 12 below for further discussion regarding the relevant ongoing foreign tax examinations. </w:t>
      </w:r>
    </w:p>
    <w:p>
      <w:pPr>
        <w:pStyle w:val="TextBody"/>
        <w:bidi w:val="0"/>
        <w:spacing w:before="240" w:after="0"/>
        <w:jc w:val="left"/>
        <w:rPr>
          <w:rFonts w:ascii="Times New Roman" w:hAnsi="Times New Roman"/>
          <w:sz w:val="20"/>
        </w:rPr>
      </w:pPr>
      <w:r>
        <w:rPr>
          <w:rFonts w:ascii="Times New Roman" w:hAnsi="Times New Roman"/>
          <w:sz w:val="20"/>
        </w:rPr>
        <w:t xml:space="preserve">On July 4, 2025, the One Big Beautiful Bill Act was signed into U.S. law. The most significant tax law changes resulting from the passage of the act that may have an impact on the Company relate to depreciation allowances for certain property, deduction of U.S. research and experimental expenditures, and changes to adjusted taxable income for purposes of the business interest deduction. The impact of the tax law changes and the deferred tax rate is required to be reflected in the reporting period in which the law is enacted. Accordingly, the Company has evaluated the effects of these law changes on its current and deferred taxes and has reflected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resulting impact on its financial position and results from operations, which resulted in a $0.9 million tax expense recorded as a discrete item for the quarter ended September 30, 2025. </w:t>
      </w:r>
    </w:p>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Vessel Construction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was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costs. As of September 30, 2025, the Company has fulfilled its $42.6 million contractual obligation and all remaining construction costs are to be paid by the Surety to Eastern. </w:t>
      </w:r>
    </w:p>
    <w:p>
      <w:pPr>
        <w:pStyle w:val="TextBody"/>
        <w:bidi w:val="0"/>
        <w:spacing w:before="240" w:after="0"/>
        <w:jc w:val="left"/>
        <w:rPr>
          <w:rFonts w:ascii="Times New Roman" w:hAnsi="Times New Roman"/>
          <w:sz w:val="20"/>
        </w:rPr>
      </w:pPr>
      <w:r>
        <w:rPr>
          <w:rFonts w:ascii="Times New Roman" w:hAnsi="Times New Roman"/>
          <w:sz w:val="20"/>
        </w:rPr>
        <w:t xml:space="preserve">Following physical delivery by Eastern, each vessel will undergo crane and other system installations, and both vessels are expected to be available for commercial service during 2027. In addition to the previously paid $42.6 million contractual obligation, the Company expects to incur an additional $87.1 million in the aggregate for outfitting, engineering, overhead and the post-delivery discretionary enhancements, of which $59.6 million solely relates to the purchase and installation of the cranes. As of September 30, 2025, the Company had incurred $21.9 million of such incremental amounts, excluding capitalized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$0.3 million and $0.7 million for potential insurance deductibles or losses associated with such claims as of September 30, 2025 and December 31,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Mexico Tax Audits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audit by various Mexican statutory bodies, including the Mexican tax authorities, or SAT. In recent years, SAT has initiated several audits of the Company’s Mexican subsidiaries for tax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between 2015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subsequently initiated an appeal process through the Mexican tax judicial system in June 2022. In April 2024, the Company initiated a separate non-binding mediation related to a Mexican subsidiary’s tax returns from 2017 through 2021, which concluded in February 2025 without resolution and resulted in an additional assessment by SAT in July 2025. The Company filed an administrative appeal of the assessment as we believe SAT has attempted to retroactively apply a change in Mexican tax law that did not become effective until 2022, subsequent to the tax periods that are being assessed. In September 2025, the Company received additional tax assessments for another Mexican subsidiary related to tax returns from 2018 and 2020 with similarly egregious positions as previously asserted by SAT. The Company immediately filed administrative appeals for both assessments in October 2025.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the Company had accrued a liability totaling $2.7 million for potential losses from additional taxes, interest and penalties resulting from the 2015 tax assessment and no liabilities for the 2017 through 2021 assessments based upon estimates developed in collaboration with its Mexican tax advisors for the ongoing audits and appeals. The Company believes it has properly applied the applicable tax laws for all periods audited by SAT and has reasonably supported its positions. The ultimate impact resulting from the tax assessments and appeal process and other ongoing tax audits may materially differ from the current estimates. An adverse final outcome in any of the pending appeals could have a material impact on the Company’s results. The Company will continue to update its estimates related to these pending proceedings as new information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Brazil Importation Tax Assessment </w:t>
      </w:r>
    </w:p>
    <w:p>
      <w:pPr>
        <w:pStyle w:val="TextBody"/>
        <w:bidi w:val="0"/>
        <w:spacing w:before="120" w:after="0"/>
        <w:jc w:val="left"/>
        <w:rPr>
          <w:rFonts w:ascii="Times New Roman" w:hAnsi="Times New Roman"/>
          <w:sz w:val="20"/>
        </w:rPr>
      </w:pPr>
      <w:r>
        <w:rPr>
          <w:rFonts w:ascii="Times New Roman" w:hAnsi="Times New Roman"/>
          <w:sz w:val="20"/>
        </w:rPr>
        <w:t xml:space="preserve">In April 2021, the Company received notification from the Brazilian tax authorities of an importation tax assessment against the HOS Achiever with respect to the vessel’s services contract in Brazil from February 2019 to January 2020. At the time of the HOS Achiever’s importation, the Company was granted a statutorily available tax exemption based on the vessel’s functional capabilities and intended use under the services contract. The tax authorities are now asserting that the HOS Achiever does not qualify for the applicable exemption. The Company believes the HOS Achiever does, in fact, meet the criteria set forth under the applicable law and intends to defend its position in a Brazilian court. While the final outcome of this assessment is uncertain and could possibly result in the payment and loss of an estimated $6.0 million to $12.0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w:t>
      </w:r>
    </w:p>
    <w:p>
      <w:pPr>
        <w:pStyle w:val="TextBody"/>
        <w:bidi w:val="0"/>
        <w:spacing w:before="360" w:after="0"/>
        <w:jc w:val="left"/>
        <w:rPr>
          <w:rFonts w:ascii="Times New Roman" w:hAnsi="Times New Roman"/>
          <w:b/>
          <w:sz w:val="20"/>
        </w:rPr>
      </w:pPr>
      <w:r>
        <w:rPr>
          <w:rFonts w:ascii="Times New Roman" w:hAnsi="Times New Roman"/>
          <w:b/>
          <w:sz w:val="20"/>
        </w:rPr>
        <w:t xml:space="preserve">13. Reportable Segment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periods ended September 30, 2025 and 2024. The measure of segment assets is reported on the consolidated balance sheet as total assets as of September 30, 2025 and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60" w:after="0"/>
        <w:jc w:val="left"/>
        <w:rPr>
          <w:rFonts w:ascii="Times New Roman" w:hAnsi="Times New Roman"/>
          <w:b/>
          <w:sz w:val="20"/>
        </w:rPr>
      </w:pPr>
      <w:r>
        <w:rPr>
          <w:rFonts w:ascii="Times New Roman" w:hAnsi="Times New Roman"/>
          <w:b/>
          <w:sz w:val="20"/>
        </w:rPr>
        <w:t xml:space="preserve">14.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Trade Name and Trademark License Agreement entered into by and between the Company and HFR, LLC, the Company made payments of $1.8 million during each of the nine months ended September 30, 2025 and 2024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September 30, 2025 and December 31, 2024, the Company had accrued amounts payable to HFR, LLC totaling $1.0 million and $1.3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2022, a member of the Company’s Board of Directors assumed an officer role with an existing Hornbeck customer. For the nine months ended September 30, 2025 and 2024, the Company generated $52.1 million, or 9.6%, and $66.6 million, or 13.9%, of revenues, respectively, from contracts with such customer. The Company had outstanding accounts receivable from this customer totaling $11.0 million and $9.4 million as of September 30, 2025 and December 31,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15.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all subsequent events through November 7, 2025, which represents the date its financial statements were available to be issued and determined that all materially relevant information known through this date has been appropriately addressed within the consolidated financial statements and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28" w:name="fin65571_8"/>
      <w:bookmarkEnd w:id="28"/>
      <w:r>
        <w:rPr>
          <w:rFonts w:ascii="Times New Roman" w:hAnsi="Times New Roman"/>
          <w:b/>
          <w:sz w:val="20"/>
        </w:rPr>
        <w:t xml:space="preserve">Report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To the Stockholders and the Board of Directors of Hornbeck Offshore Services, Inc. </w:t>
      </w:r>
    </w:p>
    <w:p>
      <w:pPr>
        <w:pStyle w:val="TextBody"/>
        <w:bidi w:val="0"/>
        <w:spacing w:before="24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Hornbeck Offshore Services, Inc. and subsidiaries (the Company) as of December 31, 2024 and 2023, the related consolidated statements of operations, comprehensive income,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29"/>
        <w:gridCol w:w="204"/>
        <w:gridCol w:w="8472"/>
      </w:tblGrid>
      <w:tr>
        <w:trPr/>
        <w:tc>
          <w:tcPr>
            <w:tcW w:w="152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2" w:type="dxa"/>
            <w:tcBorders/>
            <w:vAlign w:val="center"/>
          </w:tcPr>
          <w:p>
            <w:pPr>
              <w:pStyle w:val="TableContents"/>
              <w:bidi w:val="0"/>
              <w:spacing w:before="0" w:after="283"/>
              <w:jc w:val="left"/>
              <w:rPr>
                <w:sz w:val="4"/>
                <w:szCs w:val="4"/>
              </w:rPr>
            </w:pPr>
            <w:r>
              <w:rPr>
                <w:sz w:val="4"/>
                <w:szCs w:val="4"/>
              </w:rPr>
            </w:r>
          </w:p>
        </w:tc>
      </w:tr>
      <w:tr>
        <w:trPr/>
        <w:tc>
          <w:tcPr>
            <w:tcW w:w="152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8472"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Fair Value of the Creditor Warrants</w:t>
            </w:r>
          </w:p>
        </w:tc>
      </w:tr>
      <w:tr>
        <w:trPr>
          <w:trHeight w:val="120" w:hRule="atLeast"/>
        </w:trPr>
        <w:tc>
          <w:tcPr>
            <w:tcW w:w="1529" w:type="dxa"/>
            <w:tcBorders/>
            <w:vAlign w:val="center"/>
          </w:tcPr>
          <w:p>
            <w:pPr>
              <w:pStyle w:val="TableContents"/>
              <w:bidi w:val="0"/>
              <w:spacing w:before="0" w:after="283"/>
              <w:jc w:val="left"/>
              <w:rPr>
                <w:sz w:val="4"/>
                <w:szCs w:val="4"/>
              </w:rPr>
            </w:pPr>
            <w:r>
              <w:rPr>
                <w:sz w:val="4"/>
                <w:szCs w:val="4"/>
              </w:rPr>
            </w:r>
          </w:p>
        </w:tc>
        <w:tc>
          <w:tcPr>
            <w:tcW w:w="8676" w:type="dxa"/>
            <w:gridSpan w:val="2"/>
            <w:tcBorders/>
            <w:vAlign w:val="center"/>
          </w:tcPr>
          <w:p>
            <w:pPr>
              <w:pStyle w:val="TableContents"/>
              <w:bidi w:val="0"/>
              <w:spacing w:before="0" w:after="283"/>
              <w:jc w:val="left"/>
              <w:rPr>
                <w:sz w:val="4"/>
                <w:szCs w:val="4"/>
              </w:rPr>
            </w:pPr>
            <w:r>
              <w:rPr>
                <w:sz w:val="4"/>
                <w:szCs w:val="4"/>
              </w:rPr>
            </w:r>
          </w:p>
        </w:tc>
      </w:tr>
      <w:tr>
        <w:trPr/>
        <w:tc>
          <w:tcPr>
            <w:tcW w:w="1529" w:type="dxa"/>
            <w:tcBorders/>
          </w:tcPr>
          <w:p>
            <w:pPr>
              <w:pStyle w:val="TableContents"/>
              <w:bidi w:val="0"/>
              <w:spacing w:before="0" w:after="283"/>
              <w:jc w:val="left"/>
              <w:rPr>
                <w:i/>
              </w:rPr>
            </w:pPr>
            <w:r>
              <w:rPr>
                <w:i/>
              </w:rPr>
              <w:t>Description of the Matter</w:t>
            </w:r>
          </w:p>
        </w:tc>
        <w:tc>
          <w:tcPr>
            <w:tcW w:w="204"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As described in Note 12 to the consolidated financial statements, the Company issued 1.6 million Creditor Warrants on September 4, 2020. Prior to December 10, 2024, the Creditor Warrants were recorded as a non-current liability on the consolidated balance sheets. On December 10, 2024, the terms of the Creditor Warrants were amended and liability classification was no longer required resulting in a $70.1 million increase to equity. The Company utilized a Black-Scholes model to estimate the fair value of the Creditor Warrants, which uses inputs including the current estimated fair value of the underlying common stock, the exercise price, the contractual expiry term, an estimated equity volatility, a term-match risk-free rate and an expected dividend yield.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Auditing management’s fair value estimate of the Creditor Warrants was complex and highly judgmental due to the estimation required to determine the fair value of the Creditor Warrants. In particular, the current estimated fair value of the underlying common stock involves a high degree of subjectivity including the use of prospective financial information, weighted average cost of capital, and an exit multiple.</w:t>
            </w:r>
          </w:p>
        </w:tc>
      </w:tr>
      <w:tr>
        <w:trPr>
          <w:trHeight w:val="120" w:hRule="atLeast"/>
        </w:trPr>
        <w:tc>
          <w:tcPr>
            <w:tcW w:w="1529" w:type="dxa"/>
            <w:tcBorders/>
            <w:vAlign w:val="center"/>
          </w:tcPr>
          <w:p>
            <w:pPr>
              <w:pStyle w:val="TableContents"/>
              <w:bidi w:val="0"/>
              <w:spacing w:before="0" w:after="283"/>
              <w:jc w:val="left"/>
              <w:rPr>
                <w:sz w:val="4"/>
                <w:szCs w:val="4"/>
              </w:rPr>
            </w:pPr>
            <w:r>
              <w:rPr>
                <w:sz w:val="4"/>
                <w:szCs w:val="4"/>
              </w:rPr>
            </w:r>
          </w:p>
        </w:tc>
        <w:tc>
          <w:tcPr>
            <w:tcW w:w="8676" w:type="dxa"/>
            <w:gridSpan w:val="2"/>
            <w:tcBorders/>
            <w:vAlign w:val="center"/>
          </w:tcPr>
          <w:p>
            <w:pPr>
              <w:pStyle w:val="TableContents"/>
              <w:bidi w:val="0"/>
              <w:spacing w:before="0" w:after="283"/>
              <w:jc w:val="left"/>
              <w:rPr>
                <w:sz w:val="4"/>
                <w:szCs w:val="4"/>
              </w:rPr>
            </w:pPr>
            <w:r>
              <w:rPr>
                <w:sz w:val="4"/>
                <w:szCs w:val="4"/>
              </w:rPr>
            </w:r>
          </w:p>
        </w:tc>
      </w:tr>
      <w:tr>
        <w:trPr/>
        <w:tc>
          <w:tcPr>
            <w:tcW w:w="1529" w:type="dxa"/>
            <w:tcBorders/>
          </w:tcPr>
          <w:p>
            <w:pPr>
              <w:pStyle w:val="TableContents"/>
              <w:bidi w:val="0"/>
              <w:spacing w:before="0" w:after="283"/>
              <w:jc w:val="left"/>
              <w:rPr>
                <w:i/>
              </w:rPr>
            </w:pPr>
            <w:r>
              <w:rPr>
                <w:i/>
              </w:rPr>
              <w:t>How We Addressed the Matter in Our Audit</w:t>
            </w:r>
          </w:p>
        </w:tc>
        <w:tc>
          <w:tcPr>
            <w:tcW w:w="204"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r>
              <w:rPr/>
              <w:t>To test the estimated fair value of the Creditor Warrants, we performed audit procedures that included, among others, assessing methodologies and testing the significant assumptions used in estimating the fair value of the underlying common stock, and testing the underlying data used by the Company in its analysis. For example, we compared the prospective financial information used by management in estimating the fair value of the underlying common stock to current industry and economic trends and other relevant factors, such as the Company’s historical financial results. We also assessed the historical accuracy of management’s prospective financial information. We involved our valuation specialists to assist in our evaluation of the methodology applied by the Company and the significant assumptions used in estimating the fair value of the underlying common stock, which is used to estimate the fair value of the Creditor Warrants.</w:t>
            </w:r>
          </w:p>
        </w:tc>
      </w:tr>
    </w:tbl>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auditors since 2002. </w:t>
      </w:r>
    </w:p>
    <w:p>
      <w:pPr>
        <w:pStyle w:val="TextBody"/>
        <w:bidi w:val="0"/>
        <w:spacing w:before="240" w:after="0"/>
        <w:jc w:val="left"/>
        <w:rPr>
          <w:rFonts w:ascii="Times New Roman" w:hAnsi="Times New Roman"/>
          <w:sz w:val="20"/>
        </w:rPr>
      </w:pPr>
      <w:r>
        <w:rPr>
          <w:rFonts w:ascii="Times New Roman" w:hAnsi="Times New Roman"/>
          <w:sz w:val="20"/>
        </w:rPr>
        <w:t xml:space="preserve">New Orleans, Louisiana </w:t>
      </w:r>
    </w:p>
    <w:p>
      <w:pPr>
        <w:pStyle w:val="TextBody"/>
        <w:bidi w:val="0"/>
        <w:spacing w:before="240" w:after="0"/>
        <w:jc w:val="left"/>
        <w:rPr>
          <w:rFonts w:ascii="Times New Roman" w:hAnsi="Times New Roman"/>
          <w:sz w:val="20"/>
        </w:rPr>
      </w:pPr>
      <w:r>
        <w:rPr>
          <w:rFonts w:ascii="Times New Roman" w:hAnsi="Times New Roman"/>
          <w:sz w:val="20"/>
        </w:rPr>
        <w:t xml:space="preserve">March 21,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fin65571_9"/>
      <w:bookmarkEnd w:id="29"/>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78"/>
        <w:gridCol w:w="289"/>
        <w:gridCol w:w="176"/>
        <w:gridCol w:w="1253"/>
        <w:gridCol w:w="155"/>
        <w:gridCol w:w="249"/>
        <w:gridCol w:w="211"/>
        <w:gridCol w:w="1230"/>
        <w:gridCol w:w="64"/>
      </w:tblGrid>
      <w:tr>
        <w:trPr/>
        <w:tc>
          <w:tcPr>
            <w:tcW w:w="6578"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578"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80,803</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120,055</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credit losses of $7,929 and $6,307, respectively</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145,527</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126,438</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4,490</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4,870</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13,755</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7,961</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12,376</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11,500</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256,951</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270,824</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674,729</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602,422</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765</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765</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charges, net</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72,075</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48,336</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right-of-use-assets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20,748</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22,905</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right-of-use assets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1,142</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827</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440</w:t>
            </w:r>
          </w:p>
        </w:tc>
        <w:tc>
          <w:tcPr>
            <w:tcW w:w="64" w:type="dxa"/>
            <w:tcBorders/>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1,026,467</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946,519</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53" w:type="dxa"/>
            <w:tcBorders/>
            <w:vAlign w:val="bottom"/>
          </w:tcPr>
          <w:p>
            <w:pPr>
              <w:pStyle w:val="TableContents"/>
              <w:bidi w:val="0"/>
              <w:spacing w:before="0" w:after="283"/>
              <w:jc w:val="right"/>
              <w:rPr/>
            </w:pPr>
            <w:r>
              <w:rPr/>
              <w:t>71,092</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76,484</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578</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5,357</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22,267</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26,511</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5,037</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5,096</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457</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342</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taxes payable</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9,914</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12,328</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6,694</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2,822</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1,962</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1,475</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118,001</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130,415</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of original issue discount of $6,750 and $0, and deferred financing costs of $2,019 and $0</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441,231</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349,001</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6,049</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1,996</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Liability-classified warrants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75,475</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18,861</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20,309</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589</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351</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7,594</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7,679</w:t>
            </w:r>
          </w:p>
        </w:tc>
        <w:tc>
          <w:tcPr>
            <w:tcW w:w="64" w:type="dxa"/>
            <w:tcBorders/>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474,324</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454,811</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592,325</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585,226</w:t>
            </w:r>
          </w:p>
        </w:tc>
        <w:tc>
          <w:tcPr>
            <w:tcW w:w="64" w:type="dxa"/>
            <w:tcBorders/>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$0.00001 par value; 50,000 shares authorized; 5,367 and 5,554 shares issued and outstanding, respectively</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264,869</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210,776</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176,761</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148,428</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(7,488</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2,089</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434,142</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361,293</w:t>
            </w:r>
          </w:p>
        </w:tc>
        <w:tc>
          <w:tcPr>
            <w:tcW w:w="64" w:type="dxa"/>
            <w:tcBorders/>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1,026,467</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946,519</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fin65571_10"/>
      <w:bookmarkEnd w:id="30"/>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2"/>
        <w:gridCol w:w="215"/>
        <w:gridCol w:w="140"/>
        <w:gridCol w:w="805"/>
        <w:gridCol w:w="155"/>
        <w:gridCol w:w="183"/>
        <w:gridCol w:w="140"/>
        <w:gridCol w:w="805"/>
        <w:gridCol w:w="155"/>
        <w:gridCol w:w="183"/>
        <w:gridCol w:w="140"/>
        <w:gridCol w:w="805"/>
        <w:gridCol w:w="157"/>
      </w:tblGrid>
      <w:tr>
        <w:trPr/>
        <w:tc>
          <w:tcPr>
            <w:tcW w:w="6322"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2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51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592,246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528,780</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406,034</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48,605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44,669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45,192</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640,851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573,449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451,226</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364,584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305,463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214,788</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37,812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26,355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18,601</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26,734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21,496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10,339</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71,110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66,108</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58,946</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9,384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19,097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5,330</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509,624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438,519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308,004</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21,837</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131,269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137,632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165,059</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26,382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39,802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41,172</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2,832</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20,619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30,047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38,340</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110,650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107,585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126,719</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(44</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(9,136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(3,693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(1,434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(1,559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(198</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5,412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(10,917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(41,408</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(loss)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853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2,867</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(5,166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(16,552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(38,783</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105,484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91,033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87,936</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12,682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16,495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7,174</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92,802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74,538</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80,762</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5.43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4.80</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4.83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3.89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4.39</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fin65571_11"/>
      <w:bookmarkEnd w:id="31"/>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11"/>
        <w:gridCol w:w="224"/>
        <w:gridCol w:w="140"/>
        <w:gridCol w:w="682"/>
        <w:gridCol w:w="162"/>
        <w:gridCol w:w="193"/>
        <w:gridCol w:w="140"/>
        <w:gridCol w:w="682"/>
        <w:gridCol w:w="60"/>
        <w:gridCol w:w="224"/>
        <w:gridCol w:w="140"/>
        <w:gridCol w:w="682"/>
        <w:gridCol w:w="65"/>
      </w:tblGrid>
      <w:tr>
        <w:trPr/>
        <w:tc>
          <w:tcPr>
            <w:tcW w:w="6811"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81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1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681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6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92,802</w:t>
            </w:r>
          </w:p>
        </w:tc>
        <w:tc>
          <w:tcPr>
            <w:tcW w:w="16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74,538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80,762</w:t>
            </w:r>
          </w:p>
        </w:tc>
        <w:tc>
          <w:tcPr>
            <w:tcW w:w="65" w:type="dxa"/>
            <w:tcBorders/>
            <w:shd w:fill="CCEEFF" w:val="clear"/>
            <w:vAlign w:val="bottom"/>
          </w:tcPr>
          <w:p>
            <w:pPr>
              <w:pStyle w:val="TableContents"/>
              <w:bidi w:val="0"/>
              <w:spacing w:before="0" w:after="283"/>
              <w:jc w:val="left"/>
              <w:rPr/>
            </w:pPr>
            <w:r>
              <w:rPr/>
              <w:t> </w:t>
            </w:r>
          </w:p>
        </w:tc>
      </w:tr>
      <w:tr>
        <w:trPr/>
        <w:tc>
          <w:tcPr>
            <w:tcW w:w="681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(loss), net of tax</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(9,577</w:t>
            </w:r>
          </w:p>
        </w:tc>
        <w:tc>
          <w:tcPr>
            <w:tcW w:w="16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2,153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867</w:t>
            </w:r>
          </w:p>
        </w:tc>
        <w:tc>
          <w:tcPr>
            <w:tcW w:w="65" w:type="dxa"/>
            <w:tcBorders/>
            <w:shd w:fill="CCEEFF" w:val="clear"/>
            <w:vAlign w:val="bottom"/>
          </w:tcPr>
          <w:p>
            <w:pPr>
              <w:pStyle w:val="TableContents"/>
              <w:bidi w:val="0"/>
              <w:spacing w:before="0" w:after="283"/>
              <w:jc w:val="left"/>
              <w:rPr/>
            </w:pPr>
            <w:r>
              <w:rPr/>
              <w:t> </w:t>
            </w:r>
          </w:p>
        </w:tc>
      </w:tr>
      <w:tr>
        <w:trPr/>
        <w:tc>
          <w:tcPr>
            <w:tcW w:w="6811"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811"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83,225</w:t>
            </w:r>
          </w:p>
        </w:tc>
        <w:tc>
          <w:tcPr>
            <w:tcW w:w="16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76,691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81,629</w:t>
            </w:r>
          </w:p>
        </w:tc>
        <w:tc>
          <w:tcPr>
            <w:tcW w:w="65" w:type="dxa"/>
            <w:tcBorders/>
            <w:vAlign w:val="bottom"/>
          </w:tcPr>
          <w:p>
            <w:pPr>
              <w:pStyle w:val="TableContents"/>
              <w:bidi w:val="0"/>
              <w:spacing w:before="0" w:after="283"/>
              <w:jc w:val="left"/>
              <w:rPr/>
            </w:pPr>
            <w:r>
              <w:rPr/>
              <w:t> </w:t>
            </w:r>
          </w:p>
        </w:tc>
      </w:tr>
      <w:tr>
        <w:trPr/>
        <w:tc>
          <w:tcPr>
            <w:tcW w:w="6811"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2" w:name="fin65571_12"/>
      <w:bookmarkEnd w:id="32"/>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0885" w:type="dxa"/>
        <w:jc w:val="center"/>
        <w:tblInd w:w="0" w:type="dxa"/>
        <w:tblLayout w:type="fixed"/>
        <w:tblCellMar>
          <w:top w:w="0" w:type="dxa"/>
          <w:left w:w="0" w:type="dxa"/>
          <w:bottom w:w="0" w:type="dxa"/>
          <w:right w:w="0" w:type="dxa"/>
        </w:tblCellMar>
      </w:tblPr>
      <w:tblGrid>
        <w:gridCol w:w="1160"/>
        <w:gridCol w:w="120"/>
        <w:gridCol w:w="93"/>
        <w:gridCol w:w="872"/>
        <w:gridCol w:w="155"/>
        <w:gridCol w:w="60"/>
        <w:gridCol w:w="102"/>
        <w:gridCol w:w="1163"/>
        <w:gridCol w:w="155"/>
        <w:gridCol w:w="60"/>
        <w:gridCol w:w="232"/>
        <w:gridCol w:w="733"/>
        <w:gridCol w:w="60"/>
        <w:gridCol w:w="120"/>
        <w:gridCol w:w="163"/>
        <w:gridCol w:w="937"/>
        <w:gridCol w:w="155"/>
        <w:gridCol w:w="60"/>
        <w:gridCol w:w="141"/>
        <w:gridCol w:w="809"/>
        <w:gridCol w:w="155"/>
        <w:gridCol w:w="60"/>
        <w:gridCol w:w="290"/>
        <w:gridCol w:w="1320"/>
        <w:gridCol w:w="155"/>
        <w:gridCol w:w="60"/>
        <w:gridCol w:w="199"/>
        <w:gridCol w:w="1141"/>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 (1)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pPr>
            <w:r>
              <w:rPr>
                <w:b/>
              </w:rPr>
              <w:t>Retained</w:t>
              <w:br/>
              <w:t>Earnings</w:t>
            </w:r>
            <w:r>
              <w:rPr/>
              <w:br/>
            </w: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2022</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4,652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12,111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191,676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(6,872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(931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183,873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Convert Jones Act Warrants to common stock</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5,330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5,330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80,762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80,762</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867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867</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5,386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11,377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197,006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73,890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270,832</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18,828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18,828</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withheld for employee withholding taxes</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(5,058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(5,058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74,538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74,538</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2,153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5,554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11,377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210,776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148,428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2,089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361,293</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8,588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8,588</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withheld for employee withholding taxes</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(3,716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Creditor Warrants reclassified to equity</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1,592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70,063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70,063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Jones Act Warrants and Creditor Warrants repurchased</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(13,929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(64,469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(78,398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MIP awards repurchased</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(6,913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(6,913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92,802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92,802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 net</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(9,577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(9,577</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5,367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12,024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264,869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176,761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(7,488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434,142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10,494 Jones Act Warrants and 1,530 Creditor Warrants issued and outstanding as of December 31, 2024.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3" w:name="fin65571_13"/>
      <w:bookmarkEnd w:id="33"/>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7"/>
        <w:gridCol w:w="219"/>
        <w:gridCol w:w="140"/>
        <w:gridCol w:w="875"/>
        <w:gridCol w:w="155"/>
        <w:gridCol w:w="178"/>
        <w:gridCol w:w="140"/>
        <w:gridCol w:w="875"/>
        <w:gridCol w:w="155"/>
        <w:gridCol w:w="178"/>
        <w:gridCol w:w="140"/>
        <w:gridCol w:w="875"/>
        <w:gridCol w:w="158"/>
      </w:tblGrid>
      <w:tr>
        <w:trPr/>
        <w:tc>
          <w:tcPr>
            <w:tcW w:w="6117"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71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Net income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92,802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74,538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80,762</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income to net cash provided by operating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expense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37,812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26,355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18,601</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expense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26,734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21,496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10,339</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9,384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19,097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5,330</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on early extinguishment of debt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44</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Provision for credit losses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1,622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551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257</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tax expense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4,607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1,340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55</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Amortization of deferred financing costs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383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572</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deferred contract-specific costs of sales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(refinanced) paid-in-kind interest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(74,375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7,763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30,407</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Mark-to-market adjustment of creditor warrants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(5,412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10,917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41,408</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Gain on sale of assets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(21,837</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(25,706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(8,553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(45,467</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and long-term assets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(1,198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(3,550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(11,454</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Deferred drydocking charges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(59,491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(29,828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(19,114</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11,151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15,385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8,303</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Accrued liabilities and other liabilities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(2,662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10,819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14,540</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interest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338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221</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Net cash provided by operating activities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112,967</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Maintenance capital improvements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(16,171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(7,745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(3,758</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Growth capital expenditures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(55,536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(128,547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(116,047</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Commercial capital expenditures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(47,619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(33,864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(10,949</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Non-vessel capital expenditures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(753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(1,087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(1,328</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Net proceeds from sale of assets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2,898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22,925</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(120,020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(168,345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(109,157</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first-lien term loans due 2024</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37,500</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Repayment of first-lien term loans due 2024</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(70,605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(4,436</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Fees for repayment of first-lien term loans due 2025</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Deferred financing costs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(4,901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paid in lieu of shares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Cash paid for withholding taxes on net share settlements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(3,716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(5,058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Principal payments under finance lease obligations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(396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(287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(200</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Redemption premium on second-lien term loans due 2026</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(5,117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settlement of equity awards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(7,754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Repurchase of common stock</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(78,398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Repayment of second-lien term loans due 2026</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(274,626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Net proceeds from second-lien term loans due 2033</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443,250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provided by (used in) financing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68,272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(76,038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32,875</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Effects of foreign currency exchange rate changes on cash</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(3,981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1,437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196</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increase (decrease) in cash, cash equivalents and restricted cash</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(39,252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(96,831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36,881</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beginning of period</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120,820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217,651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180,770</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end of period</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81,568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120,820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217,651</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SUPPLEMENTAL DISCLOSURES OF CASH FLOW ACTIVITIES: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paid for interest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29,404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32,970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8,868</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Refinanced paid-in-kind interest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74,375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paid for income taxes, net of refunds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20,810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9,311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474</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4" w:name="fin65571_14"/>
      <w:bookmarkEnd w:id="34"/>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1. Organization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Nature of Operations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Hornbeck Offshore Services, Inc., or the Company, was incorporated in the state of Delaware in 1997. The Company, through its subsidiaries, operates offshore supply vessels, or OSVs, multi-purpose support vessels, or MPSVs, and a shore-base facility to provide marine transportation, logistics support and specialty services to customers in the offshore oil and gas exploration industry, primarily in the U.S. Gulf of America, or the GoA, Latin America and select international markets, as well as diversified non-oilfield markets, including military support services, renewable energy development and other non-oilfield service offerings in various markets.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Revenues associated with performance obligations satisfied over time are recognized on a daily basis throughout the contract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consist of all highly liquid investments in money market funds, deposits and investments available for current use with an initial maturity of three months or 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cash as restricted when there are contractual agreements that govern the use or withdrawal of the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consists of trade receivables, net of reserves, plus amounts to be rebilled to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customer’s recent payment trends and credit worthiness to record an allowance for credit losses. Direct write-offs of receivables only occur when amounts are deemed uncollectible and all options for collection have been exhausted.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Activity in the allowance for credit losses was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00"/>
        <w:gridCol w:w="333"/>
        <w:gridCol w:w="146"/>
        <w:gridCol w:w="585"/>
        <w:gridCol w:w="60"/>
        <w:gridCol w:w="333"/>
        <w:gridCol w:w="146"/>
        <w:gridCol w:w="585"/>
        <w:gridCol w:w="155"/>
        <w:gridCol w:w="333"/>
        <w:gridCol w:w="146"/>
        <w:gridCol w:w="584"/>
        <w:gridCol w:w="66"/>
      </w:tblGrid>
      <w:tr>
        <w:trPr/>
        <w:tc>
          <w:tcPr>
            <w:tcW w:w="510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307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6"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6" w:type="dxa"/>
            <w:tcBorders/>
            <w:vAlign w:val="bottom"/>
          </w:tcPr>
          <w:p>
            <w:pPr>
              <w:pStyle w:val="TableContents"/>
              <w:bidi w:val="0"/>
              <w:spacing w:before="0" w:after="283"/>
              <w:jc w:val="left"/>
              <w:rPr/>
            </w:pPr>
            <w:r>
              <w:rPr/>
              <w:t> </w:t>
            </w:r>
          </w:p>
        </w:tc>
      </w:tr>
      <w:tr>
        <w:trPr/>
        <w:tc>
          <w:tcPr>
            <w:tcW w:w="5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beginning of year</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6,307</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5,786</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4" w:type="dxa"/>
            <w:tcBorders/>
            <w:shd w:fill="CCEEFF" w:val="clear"/>
            <w:vAlign w:val="bottom"/>
          </w:tcPr>
          <w:p>
            <w:pPr>
              <w:pStyle w:val="TableContents"/>
              <w:bidi w:val="0"/>
              <w:spacing w:before="0" w:after="283"/>
              <w:jc w:val="right"/>
              <w:rPr/>
            </w:pPr>
            <w:r>
              <w:rPr/>
              <w:t>5,530</w:t>
            </w:r>
          </w:p>
        </w:tc>
        <w:tc>
          <w:tcPr>
            <w:tcW w:w="66" w:type="dxa"/>
            <w:tcBorders/>
            <w:shd w:fill="CCEEFF" w:val="clear"/>
            <w:vAlign w:val="bottom"/>
          </w:tcPr>
          <w:p>
            <w:pPr>
              <w:pStyle w:val="TableContents"/>
              <w:bidi w:val="0"/>
              <w:spacing w:before="0" w:after="283"/>
              <w:jc w:val="left"/>
              <w:rPr/>
            </w:pPr>
            <w:r>
              <w:rPr/>
              <w:t> </w:t>
            </w:r>
          </w:p>
        </w:tc>
      </w:tr>
      <w:tr>
        <w:trPr/>
        <w:tc>
          <w:tcPr>
            <w:tcW w:w="5100" w:type="dxa"/>
            <w:tcBorders/>
          </w:tcPr>
          <w:p>
            <w:pPr>
              <w:pStyle w:val="TableContents"/>
              <w:bidi w:val="0"/>
              <w:spacing w:before="0" w:after="0"/>
              <w:jc w:val="left"/>
              <w:rPr>
                <w:rFonts w:ascii="Times New Roman" w:hAnsi="Times New Roman"/>
                <w:sz w:val="20"/>
              </w:rPr>
            </w:pPr>
            <w:r>
              <w:rPr>
                <w:rFonts w:ascii="Times New Roman" w:hAnsi="Times New Roman"/>
                <w:sz w:val="20"/>
              </w:rPr>
              <w:t>Current period provision for credit losses</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1,622</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551</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256</w:t>
            </w:r>
          </w:p>
        </w:tc>
        <w:tc>
          <w:tcPr>
            <w:tcW w:w="66" w:type="dxa"/>
            <w:tcBorders/>
            <w:vAlign w:val="bottom"/>
          </w:tcPr>
          <w:p>
            <w:pPr>
              <w:pStyle w:val="TableContents"/>
              <w:bidi w:val="0"/>
              <w:spacing w:before="0" w:after="283"/>
              <w:jc w:val="left"/>
              <w:rPr/>
            </w:pPr>
            <w:r>
              <w:rPr/>
              <w:t> </w:t>
            </w:r>
          </w:p>
        </w:tc>
      </w:tr>
      <w:tr>
        <w:trPr/>
        <w:tc>
          <w:tcPr>
            <w:tcW w:w="5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100" w:type="dxa"/>
            <w:tcBorders/>
          </w:tcPr>
          <w:p>
            <w:pPr>
              <w:pStyle w:val="TableContents"/>
              <w:bidi w:val="0"/>
              <w:spacing w:before="0" w:after="0"/>
              <w:jc w:val="left"/>
              <w:rPr>
                <w:rFonts w:ascii="Times New Roman" w:hAnsi="Times New Roman"/>
                <w:sz w:val="20"/>
              </w:rPr>
            </w:pPr>
            <w:r>
              <w:rPr>
                <w:rFonts w:ascii="Times New Roman" w:hAnsi="Times New Roman"/>
                <w:sz w:val="20"/>
              </w:rPr>
              <w:t>Balance, end of year</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7,929</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6,307</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584" w:type="dxa"/>
            <w:tcBorders/>
            <w:vAlign w:val="bottom"/>
          </w:tcPr>
          <w:p>
            <w:pPr>
              <w:pStyle w:val="TableContents"/>
              <w:bidi w:val="0"/>
              <w:spacing w:before="0" w:after="283"/>
              <w:jc w:val="right"/>
              <w:rPr/>
            </w:pPr>
            <w:r>
              <w:rPr/>
              <w:t>5,786</w:t>
            </w:r>
          </w:p>
        </w:tc>
        <w:tc>
          <w:tcPr>
            <w:tcW w:w="66"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is recorded at cost. However, upon adoption of fresh-start accounting effective September 4, 2020, the Company’s property, plant and equipment recorded as of that date was adjusted to its estimated fair market value in accordance with ASC 852, </w:t>
      </w:r>
      <w:r>
        <w:rPr>
          <w:rFonts w:ascii="Times New Roman" w:hAnsi="Times New Roman"/>
          <w:i/>
          <w:sz w:val="20"/>
        </w:rPr>
        <w:t>Reorganizations</w:t>
      </w:r>
      <w:r>
        <w:rPr>
          <w:rFonts w:ascii="Times New Roman" w:hAnsi="Times New Roman"/>
          <w:sz w:val="20"/>
        </w:rPr>
        <w:t xml:space="preserve">.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depreciated over the remaining useful life of the vessel. Estimated useful lives and salvage values are reassessed when there are relevant indications that the original estimates may no longer be appropriate. Gains and losses from retirements or other dispositions are recognized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estimated useful lives by classification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6"/>
        <w:gridCol w:w="278"/>
        <w:gridCol w:w="60"/>
        <w:gridCol w:w="974"/>
        <w:gridCol w:w="61"/>
      </w:tblGrid>
      <w:tr>
        <w:trPr/>
        <w:tc>
          <w:tcPr>
            <w:tcW w:w="5566"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Offshore supply vessels</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25 years</w:t>
            </w:r>
          </w:p>
        </w:tc>
        <w:tc>
          <w:tcPr>
            <w:tcW w:w="61" w:type="dxa"/>
            <w:tcBorders/>
            <w:shd w:fill="CCEEFF" w:val="clear"/>
            <w:vAlign w:val="bottom"/>
          </w:tcPr>
          <w:p>
            <w:pPr>
              <w:pStyle w:val="TableContents"/>
              <w:bidi w:val="0"/>
              <w:spacing w:before="0" w:after="283"/>
              <w:jc w:val="left"/>
              <w:rPr/>
            </w:pPr>
            <w:r>
              <w:rPr/>
              <w:t> </w:t>
            </w:r>
          </w:p>
        </w:tc>
      </w:tr>
      <w:tr>
        <w:trPr/>
        <w:tc>
          <w:tcPr>
            <w:tcW w:w="55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Multi-purpose support vessels</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25 years</w:t>
            </w:r>
          </w:p>
        </w:tc>
        <w:tc>
          <w:tcPr>
            <w:tcW w:w="61" w:type="dxa"/>
            <w:tcBorders/>
            <w:vAlign w:val="bottom"/>
          </w:tcPr>
          <w:p>
            <w:pPr>
              <w:pStyle w:val="TableContents"/>
              <w:bidi w:val="0"/>
              <w:spacing w:before="0" w:after="283"/>
              <w:jc w:val="left"/>
              <w:rPr/>
            </w:pPr>
            <w:r>
              <w:rPr/>
              <w:t> </w:t>
            </w:r>
          </w:p>
        </w:tc>
      </w:tr>
      <w:tr>
        <w:trPr/>
        <w:tc>
          <w:tcPr>
            <w:tcW w:w="55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Non-vessel property, plant and equipment</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3-15 years</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Deferred Charges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Mobilization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occasionally incurs mobilization costs to prepare its vessels and/or transit them to and from certain regions in order to obtain and fulfill vessel charter contracts. These contract-specific costs are typically expensed as incurred, but may in certain circumstances be deferred and amortized over the contract term dependent upon criteria set forth in ASC 606, </w:t>
      </w:r>
      <w:r>
        <w:rPr>
          <w:rFonts w:ascii="Times New Roman" w:hAnsi="Times New Roman"/>
          <w:i/>
          <w:sz w:val="20"/>
        </w:rPr>
        <w:t>Revenue from Contracts with Customers</w:t>
      </w:r>
      <w:r>
        <w:rPr>
          <w:rFonts w:ascii="Times New Roman" w:hAnsi="Times New Roman"/>
          <w:sz w:val="20"/>
        </w:rPr>
        <w:t xml:space="preserve">, and ASC 340, </w:t>
      </w:r>
      <w:r>
        <w:rPr>
          <w:rFonts w:ascii="Times New Roman" w:hAnsi="Times New Roman"/>
          <w:i/>
          <w:sz w:val="20"/>
        </w:rPr>
        <w:t>Other Assets and Deferred Costs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awards are accounted for in accordance with ASC 718, </w:t>
      </w:r>
      <w:r>
        <w:rPr>
          <w:rFonts w:ascii="Times New Roman" w:hAnsi="Times New Roman"/>
          <w:i/>
          <w:sz w:val="20"/>
        </w:rPr>
        <w:t>Compensation – Stock</w:t>
      </w:r>
      <w:r>
        <w:rPr>
          <w:rFonts w:ascii="Times New Roman" w:hAnsi="Times New Roman"/>
          <w:sz w:val="20"/>
        </w:rPr>
        <w:t xml:space="preserve"> </w:t>
      </w:r>
      <w:r>
        <w:rPr>
          <w:rFonts w:ascii="Times New Roman" w:hAnsi="Times New Roman"/>
          <w:i/>
          <w:sz w:val="20"/>
        </w:rPr>
        <w:t xml:space="preserve">Compensation, </w:t>
      </w:r>
      <w:r>
        <w:rPr>
          <w:rFonts w:ascii="Times New Roman" w:hAnsi="Times New Roman"/>
          <w:sz w:val="20"/>
        </w:rPr>
        <w:t xml:space="preserve">which requires all share-based payments to the Company’s employees and directors to be recognized in the consolidated financial statements based on their fair values on the grant date.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expected vesting period of stock-based awards that are ultimately expected to vest based on their estimated fair value on the grant date. Forfeitures are recognized during the period in which they actually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 The Company established valuation allowances of $220.6 million and $264.6 million against its deferred tax assets as of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made an accounting policy election to account for global intangible low-taxed income, or GILTI, in the year the tax is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United States generally accepted accounting principles requires management to make estimates and assumptions that affect the amounts reported in the consolidated financial statements and accompanying notes.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 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Transaction Gains and Losses </w:t>
      </w:r>
    </w:p>
    <w:p>
      <w:pPr>
        <w:pStyle w:val="TextBody"/>
        <w:bidi w:val="0"/>
        <w:spacing w:before="120" w:after="0"/>
        <w:jc w:val="left"/>
        <w:rPr>
          <w:rFonts w:ascii="Times New Roman" w:hAnsi="Times New Roman"/>
          <w:sz w:val="20"/>
        </w:rPr>
      </w:pPr>
      <w:r>
        <w:rPr>
          <w:rFonts w:ascii="Times New Roman" w:hAnsi="Times New Roman"/>
          <w:sz w:val="20"/>
        </w:rPr>
        <w:t xml:space="preserve">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(loss). The balances in accumulated other comprehensive income (loss) as of December 31, 2024, 2023 and 2022 relate primarily to the Company’s long-term investments in its foreign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Common stock warrants are accounted for as either equity instruments or liabilities depending on the specific terms of the applicable warrant agreement. Warrants that are classified as liabilities are recorded at their estimated fair value on a recurring basis at each balance sheet date. Changes in the estimated fair value of such warrants are recognized as a non-cash gain or loss on the consolidated statements of operations. All outstanding warrants are reassessed each reporting period to determine whether their classification continues to be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 w:hAnsi="Times New Roman"/>
          <w:i/>
          <w:sz w:val="20"/>
        </w:rPr>
        <w:t>Fair Value Measurements</w:t>
      </w:r>
      <w:r>
        <w:rPr>
          <w:rFonts w:ascii="Times New Roman" w:hAnsi="Times New Roman"/>
          <w:sz w:val="20"/>
        </w:rPr>
        <w:t xml:space="preserve">. Each applicable asset and liability carried at fair value is required to be classified into one of the following categories: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Quoted market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Observable market-based inputs or observable inputs that are corroborated by market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Unobservable inputs that are not corroborated by market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Fair value is calculated based on assumptions that market participants would use in pricing assets and liabilities. Significant judgments are required in the determination of these assumptions. </w:t>
      </w:r>
    </w:p>
    <w:p>
      <w:pPr>
        <w:pStyle w:val="TextBody"/>
        <w:bidi w:val="0"/>
        <w:spacing w:before="360" w:after="0"/>
        <w:jc w:val="left"/>
        <w:rPr>
          <w:rFonts w:ascii="Times New Roman" w:hAnsi="Times New Roman"/>
          <w:b/>
          <w:i/>
          <w:sz w:val="20"/>
        </w:rPr>
      </w:pPr>
      <w:r>
        <w:rPr>
          <w:rFonts w:ascii="Times New Roman" w:hAnsi="Times New Roman"/>
          <w:b/>
          <w:i/>
          <w:sz w:val="20"/>
        </w:rPr>
        <w:t>Leases</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The Company uses its incremental borrowing rate, which would be the rate incurred to borrow on a collateralized basis over a similar term in a similar economic environment, to calculate the present value of lease payments for its operating leases. The Company uses the rate implicit in the lease for its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obligated under certain operating leases for shore-based facilities, office space, temporary housing and equipment. The Company is obligated under finance leases for vehicles.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finance leases contain residual value guarantees, which may require additional payments at the end of the lease term if the net book value of the vehicle is less than the greater of the wholesale value of such vehicle or 20% of the delivered price of the vehicle. </w:t>
      </w:r>
    </w:p>
    <w:p>
      <w:pPr>
        <w:pStyle w:val="TextBody"/>
        <w:bidi w:val="0"/>
        <w:spacing w:before="240" w:after="0"/>
        <w:jc w:val="left"/>
        <w:rPr>
          <w:rFonts w:ascii="Times New Roman" w:hAnsi="Times New Roman"/>
          <w:sz w:val="20"/>
        </w:rPr>
      </w:pPr>
      <w:r>
        <w:rPr>
          <w:rFonts w:ascii="Times New Roman" w:hAnsi="Times New Roman"/>
          <w:sz w:val="20"/>
        </w:rPr>
        <w:t xml:space="preserve">For leases with a term of 12 months or less, the Company has made a policy election in which the right-of-use asset and lease liability will not be recognized on its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Reportable Segments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particular assets to any specific geographic region or customer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 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brief description of recent accounting pronouncements that could have a material effect on the Company’s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1"/>
        <w:gridCol w:w="202"/>
        <w:gridCol w:w="2939"/>
        <w:gridCol w:w="202"/>
        <w:gridCol w:w="1666"/>
        <w:gridCol w:w="120"/>
        <w:gridCol w:w="2785"/>
      </w:tblGrid>
      <w:tr>
        <w:trPr/>
        <w:tc>
          <w:tcPr>
            <w:tcW w:w="229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Standard</w:t>
            </w:r>
          </w:p>
        </w:tc>
        <w:tc>
          <w:tcPr>
            <w:tcW w:w="202" w:type="dxa"/>
            <w:tcBorders/>
            <w:vAlign w:val="bottom"/>
          </w:tcPr>
          <w:p>
            <w:pPr>
              <w:pStyle w:val="TableContents"/>
              <w:bidi w:val="0"/>
              <w:spacing w:before="0" w:after="283"/>
              <w:jc w:val="left"/>
              <w:rPr/>
            </w:pPr>
            <w:r>
              <w:rPr/>
              <w:t>  </w:t>
            </w:r>
          </w:p>
        </w:tc>
        <w:tc>
          <w:tcPr>
            <w:tcW w:w="29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02" w:type="dxa"/>
            <w:tcBorders/>
            <w:vAlign w:val="bottom"/>
          </w:tcPr>
          <w:p>
            <w:pPr>
              <w:pStyle w:val="TableContents"/>
              <w:bidi w:val="0"/>
              <w:spacing w:before="0" w:after="283"/>
              <w:jc w:val="left"/>
              <w:rPr/>
            </w:pPr>
            <w:r>
              <w:rPr/>
              <w:t>  </w:t>
            </w:r>
          </w:p>
        </w:tc>
        <w:tc>
          <w:tcPr>
            <w:tcW w:w="16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Adoption</w:t>
            </w:r>
          </w:p>
        </w:tc>
        <w:tc>
          <w:tcPr>
            <w:tcW w:w="120" w:type="dxa"/>
            <w:tcBorders/>
            <w:vAlign w:val="bottom"/>
          </w:tcPr>
          <w:p>
            <w:pPr>
              <w:pStyle w:val="TableContents"/>
              <w:bidi w:val="0"/>
              <w:spacing w:before="0" w:after="283"/>
              <w:jc w:val="left"/>
              <w:rPr/>
            </w:pPr>
            <w:r>
              <w:rPr/>
              <w:t>  </w:t>
            </w:r>
          </w:p>
        </w:tc>
        <w:tc>
          <w:tcPr>
            <w:tcW w:w="27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c>
          <w:tcPr>
            <w:tcW w:w="2291" w:type="dxa"/>
            <w:tcBorders/>
          </w:tcPr>
          <w:p>
            <w:pPr>
              <w:pStyle w:val="TableContents"/>
              <w:bidi w:val="0"/>
              <w:spacing w:before="0" w:after="283"/>
              <w:jc w:val="left"/>
              <w:rPr>
                <w:i/>
              </w:rPr>
            </w:pPr>
            <w:r>
              <w:rPr>
                <w:i/>
              </w:rPr>
              <w:t>Standards that have been adopted:</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sz w:val="4"/>
                <w:szCs w:val="4"/>
              </w:rPr>
            </w:pPr>
            <w:r>
              <w:rPr>
                <w:sz w:val="4"/>
                <w:szCs w:val="4"/>
              </w:rPr>
            </w:r>
          </w:p>
        </w:tc>
      </w:tr>
      <w:tr>
        <w:trPr>
          <w:trHeight w:val="120" w:hRule="atLeast"/>
        </w:trPr>
        <w:tc>
          <w:tcPr>
            <w:tcW w:w="2291" w:type="dxa"/>
            <w:tcBorders/>
            <w:vAlign w:val="center"/>
          </w:tcPr>
          <w:p>
            <w:pPr>
              <w:pStyle w:val="TableContents"/>
              <w:bidi w:val="0"/>
              <w:spacing w:before="0" w:after="283"/>
              <w:jc w:val="left"/>
              <w:rPr>
                <w:sz w:val="4"/>
                <w:szCs w:val="4"/>
              </w:rPr>
            </w:pPr>
            <w:r>
              <w:rPr>
                <w:sz w:val="4"/>
                <w:szCs w:val="4"/>
              </w:rPr>
            </w:r>
          </w:p>
        </w:tc>
        <w:tc>
          <w:tcPr>
            <w:tcW w:w="3141" w:type="dxa"/>
            <w:gridSpan w:val="2"/>
            <w:tcBorders/>
            <w:vAlign w:val="center"/>
          </w:tcPr>
          <w:p>
            <w:pPr>
              <w:pStyle w:val="TableContents"/>
              <w:bidi w:val="0"/>
              <w:spacing w:before="0" w:after="283"/>
              <w:jc w:val="left"/>
              <w:rPr>
                <w:sz w:val="4"/>
                <w:szCs w:val="4"/>
              </w:rPr>
            </w:pPr>
            <w:r>
              <w:rPr>
                <w:sz w:val="4"/>
                <w:szCs w:val="4"/>
              </w:rPr>
            </w:r>
          </w:p>
        </w:tc>
        <w:tc>
          <w:tcPr>
            <w:tcW w:w="1868" w:type="dxa"/>
            <w:gridSpan w:val="2"/>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2291" w:type="dxa"/>
            <w:tcBorders/>
          </w:tcPr>
          <w:p>
            <w:pPr>
              <w:pStyle w:val="TableContents"/>
              <w:bidi w:val="0"/>
              <w:spacing w:before="0" w:after="283"/>
              <w:jc w:val="left"/>
              <w:rPr>
                <w:i/>
              </w:rPr>
            </w:pPr>
            <w:r>
              <w:rPr>
                <w:i/>
              </w:rPr>
              <w:t>ASU No. 2023-07, Segment Reporting (Topic 280): Improvements to Reportable Segment Disclosures</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The amendments in this update improve reportable segment disclosure requirements, primarily related to significant segment expenses. In addition, the amendments enhance interim disclosures, clarify circumstances in which an entity can disclose multiple segment measures of profit or loss, provide new disclosure requirements for entities with a single reportable segment, and contain other related disclosure requirements. Retrospective application is required.</w:t>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Effective for fiscal years beginning after December 15, 2023, and interim periods within fiscal years beginning after December 15, 2024. Early adoption is permitted.</w:t>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pPr>
            <w:r>
              <w:rPr/>
              <w:t>The Company adopted the annual reporting requirements under ASU No. 2023-07 on January 1, 2024 and will implement the interim disclosure requirements in fiscal year 2025. This adoption had no material impact on its consolidated financial statements.</w:t>
            </w:r>
          </w:p>
        </w:tc>
      </w:tr>
      <w:tr>
        <w:trPr/>
        <w:tc>
          <w:tcPr>
            <w:tcW w:w="2291" w:type="dxa"/>
            <w:tcBorders/>
          </w:tcPr>
          <w:p>
            <w:pPr>
              <w:pStyle w:val="TableContents"/>
              <w:bidi w:val="0"/>
              <w:spacing w:before="0" w:after="283"/>
              <w:jc w:val="left"/>
              <w:rPr>
                <w:i/>
              </w:rPr>
            </w:pPr>
            <w:r>
              <w:rPr>
                <w:i/>
              </w:rPr>
              <w:t>Standards that have not been adopted:</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sz w:val="4"/>
                <w:szCs w:val="4"/>
              </w:rPr>
            </w:pPr>
            <w:r>
              <w:rPr>
                <w:sz w:val="4"/>
                <w:szCs w:val="4"/>
              </w:rPr>
            </w:r>
          </w:p>
        </w:tc>
      </w:tr>
      <w:tr>
        <w:trPr>
          <w:trHeight w:val="120" w:hRule="atLeast"/>
        </w:trPr>
        <w:tc>
          <w:tcPr>
            <w:tcW w:w="2291" w:type="dxa"/>
            <w:tcBorders/>
            <w:vAlign w:val="center"/>
          </w:tcPr>
          <w:p>
            <w:pPr>
              <w:pStyle w:val="TableContents"/>
              <w:bidi w:val="0"/>
              <w:spacing w:before="0" w:after="283"/>
              <w:jc w:val="left"/>
              <w:rPr>
                <w:sz w:val="4"/>
                <w:szCs w:val="4"/>
              </w:rPr>
            </w:pPr>
            <w:r>
              <w:rPr>
                <w:sz w:val="4"/>
                <w:szCs w:val="4"/>
              </w:rPr>
            </w:r>
          </w:p>
        </w:tc>
        <w:tc>
          <w:tcPr>
            <w:tcW w:w="3141" w:type="dxa"/>
            <w:gridSpan w:val="2"/>
            <w:tcBorders/>
            <w:vAlign w:val="center"/>
          </w:tcPr>
          <w:p>
            <w:pPr>
              <w:pStyle w:val="TableContents"/>
              <w:bidi w:val="0"/>
              <w:spacing w:before="0" w:after="283"/>
              <w:jc w:val="left"/>
              <w:rPr>
                <w:sz w:val="4"/>
                <w:szCs w:val="4"/>
              </w:rPr>
            </w:pPr>
            <w:r>
              <w:rPr>
                <w:sz w:val="4"/>
                <w:szCs w:val="4"/>
              </w:rPr>
            </w:r>
          </w:p>
        </w:tc>
        <w:tc>
          <w:tcPr>
            <w:tcW w:w="1868" w:type="dxa"/>
            <w:gridSpan w:val="2"/>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2291" w:type="dxa"/>
            <w:tcBorders/>
          </w:tcPr>
          <w:p>
            <w:pPr>
              <w:pStyle w:val="TableContents"/>
              <w:bidi w:val="0"/>
              <w:spacing w:before="0" w:after="283"/>
              <w:jc w:val="left"/>
              <w:rPr>
                <w:i/>
              </w:rPr>
            </w:pPr>
            <w:r>
              <w:rPr>
                <w:i/>
              </w:rPr>
              <w:t>ASU No. 2023-05, Business Combinations —Joint Venture Formations (Subtopic 805-60): Recognition and Initial Measurement</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This standard requires a joint venture to initially measure all contributions received upon its formation at fair value. ASU No. 2023-05 requires prospective application for all newly-formed joint venture entities with a formation date on or after January 1, 2025. Joint ventures formed prior to the adoption date may elect to apply the guidance retrospectively back to their original formation date. Early adoption is permitted.</w:t>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January 1, 2025</w:t>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pPr>
            <w:r>
              <w:rPr/>
              <w:t>The Company will adopt ASU No. 2023-05 on January 1, 2025 and elect to apply the standard prospectively. The Company does not believe implementation will have a material impact on its consolidated financial statements.</w:t>
            </w:r>
          </w:p>
        </w:tc>
      </w:tr>
      <w:tr>
        <w:trPr>
          <w:trHeight w:val="120" w:hRule="atLeast"/>
        </w:trPr>
        <w:tc>
          <w:tcPr>
            <w:tcW w:w="2291" w:type="dxa"/>
            <w:tcBorders/>
            <w:vAlign w:val="center"/>
          </w:tcPr>
          <w:p>
            <w:pPr>
              <w:pStyle w:val="TableContents"/>
              <w:bidi w:val="0"/>
              <w:spacing w:before="0" w:after="283"/>
              <w:jc w:val="left"/>
              <w:rPr>
                <w:sz w:val="4"/>
                <w:szCs w:val="4"/>
              </w:rPr>
            </w:pPr>
            <w:r>
              <w:rPr>
                <w:sz w:val="4"/>
                <w:szCs w:val="4"/>
              </w:rPr>
            </w:r>
          </w:p>
        </w:tc>
        <w:tc>
          <w:tcPr>
            <w:tcW w:w="3141" w:type="dxa"/>
            <w:gridSpan w:val="2"/>
            <w:tcBorders/>
            <w:vAlign w:val="center"/>
          </w:tcPr>
          <w:p>
            <w:pPr>
              <w:pStyle w:val="TableContents"/>
              <w:bidi w:val="0"/>
              <w:spacing w:before="0" w:after="283"/>
              <w:jc w:val="left"/>
              <w:rPr>
                <w:sz w:val="4"/>
                <w:szCs w:val="4"/>
              </w:rPr>
            </w:pPr>
            <w:r>
              <w:rPr>
                <w:sz w:val="4"/>
                <w:szCs w:val="4"/>
              </w:rPr>
            </w:r>
          </w:p>
        </w:tc>
        <w:tc>
          <w:tcPr>
            <w:tcW w:w="1868" w:type="dxa"/>
            <w:gridSpan w:val="2"/>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2291" w:type="dxa"/>
            <w:tcBorders/>
          </w:tcPr>
          <w:p>
            <w:pPr>
              <w:pStyle w:val="TableContents"/>
              <w:bidi w:val="0"/>
              <w:spacing w:before="0" w:after="283"/>
              <w:jc w:val="left"/>
              <w:rPr>
                <w:i/>
              </w:rPr>
            </w:pPr>
            <w:r>
              <w:rPr>
                <w:i/>
              </w:rPr>
              <w:t>ASU No. 2023-09, Income Taxes (Topic 740): Improvements to Income Tax Disclosures</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This standard requires disaggregated information about a reporting entity’s effective tax rate reconciliation, as well as information on income taxes paid. ASU No. 2023-09 requires prospective application with the option to apply the standard retrospectively. Early adoption is permitted.</w:t>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January 1, 2026</w:t>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pPr>
            <w:r>
              <w:rPr/>
              <w:t>The Company will adopt ASU No. 2023-09 on January 1, 2026 and elect to apply the standard prospectively. The Company does not believe that the implementation of this guidance will have a material impact on its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47"/>
        <w:gridCol w:w="204"/>
        <w:gridCol w:w="2963"/>
        <w:gridCol w:w="204"/>
        <w:gridCol w:w="1563"/>
        <w:gridCol w:w="120"/>
        <w:gridCol w:w="2804"/>
      </w:tblGrid>
      <w:tr>
        <w:trPr/>
        <w:tc>
          <w:tcPr>
            <w:tcW w:w="234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r>
      <w:tr>
        <w:trPr/>
        <w:tc>
          <w:tcPr>
            <w:tcW w:w="23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Standard</w:t>
            </w:r>
          </w:p>
        </w:tc>
        <w:tc>
          <w:tcPr>
            <w:tcW w:w="204" w:type="dxa"/>
            <w:tcBorders/>
            <w:vAlign w:val="bottom"/>
          </w:tcPr>
          <w:p>
            <w:pPr>
              <w:pStyle w:val="TableContents"/>
              <w:bidi w:val="0"/>
              <w:spacing w:before="0" w:after="283"/>
              <w:jc w:val="left"/>
              <w:rPr/>
            </w:pPr>
            <w:r>
              <w:rPr/>
              <w:t>  </w:t>
            </w:r>
          </w:p>
        </w:tc>
        <w:tc>
          <w:tcPr>
            <w:tcW w:w="29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04" w:type="dxa"/>
            <w:tcBorders/>
            <w:vAlign w:val="bottom"/>
          </w:tcPr>
          <w:p>
            <w:pPr>
              <w:pStyle w:val="TableContents"/>
              <w:bidi w:val="0"/>
              <w:spacing w:before="0" w:after="283"/>
              <w:jc w:val="left"/>
              <w:rPr/>
            </w:pPr>
            <w:r>
              <w:rPr/>
              <w:t>  </w:t>
            </w:r>
          </w:p>
        </w:tc>
        <w:tc>
          <w:tcPr>
            <w:tcW w:w="15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Adoption</w:t>
            </w:r>
          </w:p>
        </w:tc>
        <w:tc>
          <w:tcPr>
            <w:tcW w:w="120" w:type="dxa"/>
            <w:tcBorders/>
            <w:vAlign w:val="bottom"/>
          </w:tcPr>
          <w:p>
            <w:pPr>
              <w:pStyle w:val="TableContents"/>
              <w:bidi w:val="0"/>
              <w:spacing w:before="0" w:after="283"/>
              <w:jc w:val="left"/>
              <w:rPr/>
            </w:pPr>
            <w:r>
              <w:rPr/>
              <w:t>  </w:t>
            </w:r>
          </w:p>
        </w:tc>
        <w:tc>
          <w:tcPr>
            <w:tcW w:w="28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c>
          <w:tcPr>
            <w:tcW w:w="2347" w:type="dxa"/>
            <w:tcBorders/>
          </w:tcPr>
          <w:p>
            <w:pPr>
              <w:pStyle w:val="TableContents"/>
              <w:bidi w:val="0"/>
              <w:spacing w:before="0" w:after="283"/>
              <w:jc w:val="left"/>
              <w:rPr>
                <w:i/>
              </w:rPr>
            </w:pPr>
            <w:r>
              <w:rPr>
                <w:i/>
              </w:rPr>
              <w:t>ASU No. 2024-01, Compensation—Stock Compensation (Topic 718): Scope Application of Profits Interest and Similar Awards</w:t>
            </w:r>
          </w:p>
        </w:tc>
        <w:tc>
          <w:tcPr>
            <w:tcW w:w="20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r>
              <w:rPr/>
              <w:t>This standard clarifies how an entity determines whether a profits interest or similar award is (1) within the scope of ASC 718 or (2) not a share-based payment arrangement and therefore within the scope of other guidance. ASU No. 2024-01 may be applied prospectively or retrospectively. Early adoption is permitted.</w:t>
            </w:r>
          </w:p>
        </w:tc>
        <w:tc>
          <w:tcPr>
            <w:tcW w:w="204" w:type="dxa"/>
            <w:tcBorders/>
            <w:vAlign w:val="bottom"/>
          </w:tcPr>
          <w:p>
            <w:pPr>
              <w:pStyle w:val="TableContents"/>
              <w:bidi w:val="0"/>
              <w:spacing w:before="0" w:after="283"/>
              <w:jc w:val="left"/>
              <w:rPr/>
            </w:pPr>
            <w:r>
              <w:rPr/>
              <w:t>  </w:t>
            </w:r>
          </w:p>
        </w:tc>
        <w:tc>
          <w:tcPr>
            <w:tcW w:w="1563" w:type="dxa"/>
            <w:tcBorders/>
          </w:tcPr>
          <w:p>
            <w:pPr>
              <w:pStyle w:val="TableContents"/>
              <w:bidi w:val="0"/>
              <w:spacing w:before="0" w:after="283"/>
              <w:jc w:val="left"/>
              <w:rPr/>
            </w:pPr>
            <w:r>
              <w:rPr/>
              <w:t>January 1, 2026</w:t>
            </w:r>
          </w:p>
        </w:tc>
        <w:tc>
          <w:tcPr>
            <w:tcW w:w="120" w:type="dxa"/>
            <w:tcBorders/>
            <w:vAlign w:val="bottom"/>
          </w:tcPr>
          <w:p>
            <w:pPr>
              <w:pStyle w:val="TableContents"/>
              <w:bidi w:val="0"/>
              <w:spacing w:before="0" w:after="283"/>
              <w:jc w:val="left"/>
              <w:rPr/>
            </w:pPr>
            <w:r>
              <w:rPr/>
              <w:t>  </w:t>
            </w:r>
          </w:p>
        </w:tc>
        <w:tc>
          <w:tcPr>
            <w:tcW w:w="2804" w:type="dxa"/>
            <w:tcBorders/>
          </w:tcPr>
          <w:p>
            <w:pPr>
              <w:pStyle w:val="TableContents"/>
              <w:bidi w:val="0"/>
              <w:spacing w:before="0" w:after="283"/>
              <w:jc w:val="left"/>
              <w:rPr/>
            </w:pPr>
            <w:r>
              <w:rPr/>
              <w:t>The Company will adopt ASU No. 2024-01 on January 1, 2026 and elect to apply the standard prospectively. The Company does not believe implementation will have a material impact on its consolidated financial statements.</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3167" w:type="dxa"/>
            <w:gridSpan w:val="2"/>
            <w:tcBorders/>
            <w:vAlign w:val="center"/>
          </w:tcPr>
          <w:p>
            <w:pPr>
              <w:pStyle w:val="TableContents"/>
              <w:bidi w:val="0"/>
              <w:spacing w:before="0" w:after="283"/>
              <w:jc w:val="left"/>
              <w:rPr>
                <w:sz w:val="4"/>
                <w:szCs w:val="4"/>
              </w:rPr>
            </w:pPr>
            <w:r>
              <w:rPr>
                <w:sz w:val="4"/>
                <w:szCs w:val="4"/>
              </w:rPr>
            </w:r>
          </w:p>
        </w:tc>
        <w:tc>
          <w:tcPr>
            <w:tcW w:w="1767" w:type="dxa"/>
            <w:gridSpan w:val="2"/>
            <w:tcBorders/>
            <w:vAlign w:val="center"/>
          </w:tcPr>
          <w:p>
            <w:pPr>
              <w:pStyle w:val="TableContents"/>
              <w:bidi w:val="0"/>
              <w:spacing w:before="0" w:after="283"/>
              <w:jc w:val="left"/>
              <w:rPr>
                <w:sz w:val="4"/>
                <w:szCs w:val="4"/>
              </w:rPr>
            </w:pPr>
            <w:r>
              <w:rPr>
                <w:sz w:val="4"/>
                <w:szCs w:val="4"/>
              </w:rPr>
            </w:r>
          </w:p>
        </w:tc>
        <w:tc>
          <w:tcPr>
            <w:tcW w:w="2924"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i/>
              </w:rPr>
            </w:pPr>
            <w:r>
              <w:rPr>
                <w:i/>
              </w:rPr>
              <w:t>ASU No. 2024-03, Income Statement— Reporting Comprehensive Income —Expense Disaggregation Disclosures (Subtopic 220-40): Disaggregation of Income Statement Expenses</w:t>
            </w:r>
          </w:p>
        </w:tc>
        <w:tc>
          <w:tcPr>
            <w:tcW w:w="20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r>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204" w:type="dxa"/>
            <w:tcBorders/>
            <w:vAlign w:val="bottom"/>
          </w:tcPr>
          <w:p>
            <w:pPr>
              <w:pStyle w:val="TableContents"/>
              <w:bidi w:val="0"/>
              <w:spacing w:before="0" w:after="283"/>
              <w:jc w:val="left"/>
              <w:rPr/>
            </w:pPr>
            <w:r>
              <w:rPr/>
              <w:t>  </w:t>
            </w:r>
          </w:p>
        </w:tc>
        <w:tc>
          <w:tcPr>
            <w:tcW w:w="1563" w:type="dxa"/>
            <w:tcBorders/>
          </w:tcPr>
          <w:p>
            <w:pPr>
              <w:pStyle w:val="TableContents"/>
              <w:bidi w:val="0"/>
              <w:spacing w:before="0" w:after="283"/>
              <w:jc w:val="left"/>
              <w:rPr/>
            </w:pPr>
            <w:r>
              <w:rPr/>
              <w:t>January 1, 2027</w:t>
            </w:r>
          </w:p>
        </w:tc>
        <w:tc>
          <w:tcPr>
            <w:tcW w:w="120" w:type="dxa"/>
            <w:tcBorders/>
            <w:vAlign w:val="bottom"/>
          </w:tcPr>
          <w:p>
            <w:pPr>
              <w:pStyle w:val="TableContents"/>
              <w:bidi w:val="0"/>
              <w:spacing w:before="0" w:after="283"/>
              <w:jc w:val="left"/>
              <w:rPr/>
            </w:pPr>
            <w:r>
              <w:rPr/>
              <w:t>  </w:t>
            </w:r>
          </w:p>
        </w:tc>
        <w:tc>
          <w:tcPr>
            <w:tcW w:w="2804" w:type="dxa"/>
            <w:tcBorders/>
          </w:tcPr>
          <w:p>
            <w:pPr>
              <w:pStyle w:val="TableContents"/>
              <w:bidi w:val="0"/>
              <w:spacing w:before="0" w:after="283"/>
              <w:jc w:val="left"/>
              <w:rPr/>
            </w:pPr>
            <w:r>
              <w:rPr/>
              <w:t>The Company will adopt ASU No. 2024-03 on January 1, 2027 and elect to apply the standard prospectively. The Company does not believe that the implementation of this guidance will have a material impact on its consolidated financial statements.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Revenues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 Revenues are recognized when the performance obligations are satisfied in accordance with contractual terms 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 </w:t>
      </w:r>
    </w:p>
    <w:p>
      <w:pPr>
        <w:pStyle w:val="TextBody"/>
        <w:bidi w:val="0"/>
        <w:spacing w:before="240" w:after="0"/>
        <w:jc w:val="left"/>
        <w:rPr>
          <w:rFonts w:ascii="Times New Roman" w:hAnsi="Times New Roman"/>
          <w:sz w:val="20"/>
        </w:rPr>
      </w:pPr>
      <w:r>
        <w:rPr>
          <w:rFonts w:ascii="Times New Roman" w:hAnsi="Times New Roman"/>
          <w:sz w:val="20"/>
        </w:rPr>
        <w:t xml:space="preserve">A performance obligation under contracts with the Company’s customers to render services is the unit of account under ASC 606, </w:t>
      </w:r>
      <w:r>
        <w:rPr>
          <w:rFonts w:ascii="Times New Roman" w:hAnsi="Times New Roman"/>
          <w:i/>
          <w:sz w:val="20"/>
        </w:rPr>
        <w:t>Revenue from Contracts with Customers</w:t>
      </w:r>
      <w:r>
        <w:rPr>
          <w:rFonts w:ascii="Times New Roman" w:hAnsi="Times New Roman"/>
          <w:sz w:val="20"/>
        </w:rPr>
        <w:t xml:space="preserve">. The Company accounts for services rendered separately if they are distinct and the service is separately identifiable from 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had certain remaining performance obligations representing contracted vessel revenue for which work had not been performed and such contracts had an original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duration of more than one year. As of December 31, 2024, the aggregate amount of the transaction price allocated to remaining performance obligations for such contracts totaled $92.4 million, of which $61.0 million is expected to be fully recognized in 2025 and $31.4 million in 2026. These amounts are a result of multi-year vessel charters that commenced in 2023 and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we had $6.7 million of deferred revenue included in current liabilities related to advance billings for unsatisfied performance obligations that will be recognized during 2025 and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Disaggregation of 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recognized revenues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67"/>
        <w:gridCol w:w="376"/>
        <w:gridCol w:w="140"/>
        <w:gridCol w:w="823"/>
        <w:gridCol w:w="60"/>
        <w:gridCol w:w="376"/>
        <w:gridCol w:w="140"/>
        <w:gridCol w:w="823"/>
        <w:gridCol w:w="60"/>
        <w:gridCol w:w="376"/>
        <w:gridCol w:w="140"/>
        <w:gridCol w:w="823"/>
        <w:gridCol w:w="68"/>
      </w:tblGrid>
      <w:tr>
        <w:trPr/>
        <w:tc>
          <w:tcPr>
            <w:tcW w:w="4367"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367"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76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8" w:type="dxa"/>
            <w:tcBorders/>
            <w:vAlign w:val="bottom"/>
          </w:tcPr>
          <w:p>
            <w:pPr>
              <w:pStyle w:val="TableContents"/>
              <w:bidi w:val="0"/>
              <w:spacing w:before="0" w:after="283"/>
              <w:jc w:val="left"/>
              <w:rPr/>
            </w:pPr>
            <w:r>
              <w:rPr/>
              <w:t> </w:t>
            </w:r>
          </w:p>
        </w:tc>
      </w:tr>
      <w:tr>
        <w:trPr/>
        <w:tc>
          <w:tcPr>
            <w:tcW w:w="4367"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8" w:type="dxa"/>
            <w:tcBorders/>
            <w:vAlign w:val="bottom"/>
          </w:tcPr>
          <w:p>
            <w:pPr>
              <w:pStyle w:val="TableContents"/>
              <w:bidi w:val="0"/>
              <w:spacing w:before="0" w:after="283"/>
              <w:jc w:val="left"/>
              <w:rPr/>
            </w:pPr>
            <w:r>
              <w:rPr/>
              <w:t> </w:t>
            </w:r>
          </w:p>
        </w:tc>
      </w:tr>
      <w:tr>
        <w:trPr/>
        <w:tc>
          <w:tcPr>
            <w:tcW w:w="4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592,246</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528,780</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406,034</w:t>
            </w:r>
          </w:p>
        </w:tc>
        <w:tc>
          <w:tcPr>
            <w:tcW w:w="68" w:type="dxa"/>
            <w:tcBorders/>
            <w:shd w:fill="CCEEFF" w:val="clear"/>
            <w:vAlign w:val="bottom"/>
          </w:tcPr>
          <w:p>
            <w:pPr>
              <w:pStyle w:val="TableContents"/>
              <w:bidi w:val="0"/>
              <w:spacing w:before="0" w:after="283"/>
              <w:jc w:val="left"/>
              <w:rPr/>
            </w:pPr>
            <w:r>
              <w:rPr/>
              <w:t> </w:t>
            </w:r>
          </w:p>
        </w:tc>
      </w:tr>
      <w:tr>
        <w:trPr/>
        <w:tc>
          <w:tcPr>
            <w:tcW w:w="4367" w:type="dxa"/>
            <w:tcBorders/>
          </w:tcPr>
          <w:p>
            <w:pPr>
              <w:pStyle w:val="TableContents"/>
              <w:bidi w:val="0"/>
              <w:spacing w:before="0" w:after="0"/>
              <w:jc w:val="left"/>
              <w:rPr>
                <w:rFonts w:ascii="Times New Roman" w:hAnsi="Times New Roman"/>
                <w:sz w:val="20"/>
              </w:rPr>
            </w:pPr>
            <w:r>
              <w:rPr>
                <w:rFonts w:ascii="Times New Roman" w:hAnsi="Times New Roman"/>
                <w:sz w:val="20"/>
              </w:rPr>
              <w:t>Vessel management revenues</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45,894</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43,128</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42,893</w:t>
            </w:r>
          </w:p>
        </w:tc>
        <w:tc>
          <w:tcPr>
            <w:tcW w:w="68" w:type="dxa"/>
            <w:tcBorders/>
            <w:vAlign w:val="bottom"/>
          </w:tcPr>
          <w:p>
            <w:pPr>
              <w:pStyle w:val="TableContents"/>
              <w:bidi w:val="0"/>
              <w:spacing w:before="0" w:after="283"/>
              <w:jc w:val="left"/>
              <w:rPr/>
            </w:pPr>
            <w:r>
              <w:rPr/>
              <w:t> </w:t>
            </w:r>
          </w:p>
        </w:tc>
      </w:tr>
      <w:tr>
        <w:trPr/>
        <w:tc>
          <w:tcPr>
            <w:tcW w:w="4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Shore-based facility revenues</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2,711</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1,541</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2,299</w:t>
            </w:r>
          </w:p>
        </w:tc>
        <w:tc>
          <w:tcPr>
            <w:tcW w:w="68" w:type="dxa"/>
            <w:tcBorders/>
            <w:shd w:fill="CCEEFF" w:val="clear"/>
            <w:vAlign w:val="bottom"/>
          </w:tcPr>
          <w:p>
            <w:pPr>
              <w:pStyle w:val="TableContents"/>
              <w:bidi w:val="0"/>
              <w:spacing w:before="0" w:after="283"/>
              <w:jc w:val="left"/>
              <w:rPr/>
            </w:pPr>
            <w:r>
              <w:rPr/>
              <w:t> </w:t>
            </w:r>
          </w:p>
        </w:tc>
      </w:tr>
      <w:tr>
        <w:trPr/>
        <w:tc>
          <w:tcPr>
            <w:tcW w:w="4367"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67" w:type="dxa"/>
            <w:tcBorders/>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640,851</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573,449</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451,226</w:t>
            </w:r>
          </w:p>
        </w:tc>
        <w:tc>
          <w:tcPr>
            <w:tcW w:w="68" w:type="dxa"/>
            <w:tcBorders/>
            <w:vAlign w:val="bottom"/>
          </w:tcPr>
          <w:p>
            <w:pPr>
              <w:pStyle w:val="TableContents"/>
              <w:bidi w:val="0"/>
              <w:spacing w:before="0" w:after="283"/>
              <w:jc w:val="left"/>
              <w:rPr/>
            </w:pPr>
            <w:r>
              <w:rPr/>
              <w:t> </w:t>
            </w:r>
          </w:p>
        </w:tc>
      </w:tr>
      <w:tr>
        <w:trPr/>
        <w:tc>
          <w:tcPr>
            <w:tcW w:w="4367"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by geographic region(1)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7"/>
        <w:gridCol w:w="154"/>
        <w:gridCol w:w="140"/>
        <w:gridCol w:w="824"/>
        <w:gridCol w:w="60"/>
        <w:gridCol w:w="154"/>
        <w:gridCol w:w="107"/>
        <w:gridCol w:w="1037"/>
        <w:gridCol w:w="275"/>
        <w:gridCol w:w="99"/>
        <w:gridCol w:w="140"/>
        <w:gridCol w:w="824"/>
        <w:gridCol w:w="60"/>
        <w:gridCol w:w="154"/>
        <w:gridCol w:w="106"/>
        <w:gridCol w:w="1037"/>
        <w:gridCol w:w="275"/>
        <w:gridCol w:w="99"/>
        <w:gridCol w:w="140"/>
        <w:gridCol w:w="824"/>
        <w:gridCol w:w="60"/>
        <w:gridCol w:w="154"/>
        <w:gridCol w:w="107"/>
        <w:gridCol w:w="1037"/>
        <w:gridCol w:w="281"/>
      </w:tblGrid>
      <w:tr>
        <w:trPr/>
        <w:tc>
          <w:tcPr>
            <w:tcW w:w="2057"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05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13"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1" w:type="dxa"/>
            <w:tcBorders/>
            <w:vAlign w:val="bottom"/>
          </w:tcPr>
          <w:p>
            <w:pPr>
              <w:pStyle w:val="TableContents"/>
              <w:bidi w:val="0"/>
              <w:spacing w:before="0" w:after="283"/>
              <w:jc w:val="left"/>
              <w:rPr/>
            </w:pPr>
            <w:r>
              <w:rPr/>
              <w:t> </w:t>
            </w:r>
          </w:p>
        </w:tc>
      </w:tr>
      <w:tr>
        <w:trPr/>
        <w:tc>
          <w:tcPr>
            <w:tcW w:w="205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81" w:type="dxa"/>
            <w:tcBorders/>
            <w:vAlign w:val="bottom"/>
          </w:tcPr>
          <w:p>
            <w:pPr>
              <w:pStyle w:val="TableContents"/>
              <w:bidi w:val="0"/>
              <w:spacing w:before="0" w:after="283"/>
              <w:jc w:val="left"/>
              <w:rPr/>
            </w:pPr>
            <w:r>
              <w:rPr/>
              <w:t> </w:t>
            </w:r>
          </w:p>
        </w:tc>
      </w:tr>
      <w:tr>
        <w:trPr/>
        <w:tc>
          <w:tcPr>
            <w:tcW w:w="2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478,052</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74.6</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432,621</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75.4</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362,830</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80.4</w:t>
            </w:r>
          </w:p>
        </w:tc>
        <w:tc>
          <w:tcPr>
            <w:tcW w:w="281" w:type="dxa"/>
            <w:tcBorders/>
            <w:shd w:fill="CCEEFF" w:val="clear"/>
            <w:vAlign w:val="bottom"/>
          </w:tcPr>
          <w:p>
            <w:pPr>
              <w:pStyle w:val="TableContents"/>
              <w:bidi w:val="0"/>
              <w:spacing w:before="0" w:after="283"/>
              <w:jc w:val="left"/>
              <w:rPr/>
            </w:pPr>
            <w:r>
              <w:rPr/>
              <w:t>% </w:t>
            </w:r>
          </w:p>
        </w:tc>
      </w:tr>
      <w:tr>
        <w:trPr/>
        <w:tc>
          <w:tcPr>
            <w:tcW w:w="2057"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 (2)</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162,799</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25.4</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140,828</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24.6</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88,396</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19.6</w:t>
            </w:r>
          </w:p>
        </w:tc>
        <w:tc>
          <w:tcPr>
            <w:tcW w:w="281" w:type="dxa"/>
            <w:tcBorders/>
            <w:vAlign w:val="bottom"/>
          </w:tcPr>
          <w:p>
            <w:pPr>
              <w:pStyle w:val="TableContents"/>
              <w:bidi w:val="0"/>
              <w:spacing w:before="0" w:after="283"/>
              <w:jc w:val="left"/>
              <w:rPr/>
            </w:pPr>
            <w:r>
              <w:rPr/>
              <w:t>% </w:t>
            </w:r>
          </w:p>
        </w:tc>
      </w:tr>
      <w:tr>
        <w:trPr/>
        <w:tc>
          <w:tcPr>
            <w:tcW w:w="205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057" w:type="dxa"/>
            <w:tcBorders/>
            <w:shd w:fill="CCEEFF" w:val="clear"/>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640,851</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573,449</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451,226</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w:t>
            </w:r>
          </w:p>
        </w:tc>
        <w:tc>
          <w:tcPr>
            <w:tcW w:w="281" w:type="dxa"/>
            <w:tcBorders/>
            <w:shd w:fill="CCEEFF" w:val="clear"/>
            <w:vAlign w:val="bottom"/>
          </w:tcPr>
          <w:p>
            <w:pPr>
              <w:pStyle w:val="TableContents"/>
              <w:bidi w:val="0"/>
              <w:spacing w:before="0" w:after="283"/>
              <w:jc w:val="left"/>
              <w:rPr/>
            </w:pPr>
            <w:r>
              <w:rPr/>
              <w:t>% </w:t>
            </w:r>
          </w:p>
        </w:tc>
      </w:tr>
      <w:tr>
        <w:trPr/>
        <w:tc>
          <w:tcPr>
            <w:tcW w:w="205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attributes revenues to individual geographic regions based on the location where services are performed.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$32.3 million, $62.1 million and $41.3 million were attributed to services performed in Mexico for the years ended December 31, 2024, 2023 and 2022, respectively. International revenues of $88.4 million, $53.2 million and $15.4 million were attributed to services performed in Brazil for the years ended December 31, 2024, 2023 and 2022, respectively. Revenues attributed to other countries were not individually material for the periods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48"/>
        <w:gridCol w:w="9557"/>
      </w:tblGrid>
      <w:tr>
        <w:trPr/>
        <w:tc>
          <w:tcPr>
            <w:tcW w:w="648" w:type="dxa"/>
            <w:tcBorders/>
          </w:tcPr>
          <w:p>
            <w:pPr>
              <w:pStyle w:val="TableContents"/>
              <w:bidi w:val="0"/>
              <w:spacing w:before="0" w:after="283"/>
              <w:jc w:val="left"/>
              <w:rPr>
                <w:b/>
                <w:i/>
              </w:rPr>
            </w:pPr>
            <w:r>
              <w:rPr>
                <w:b/>
                <w:i/>
              </w:rPr>
              <w:t>Major</w:t>
            </w:r>
          </w:p>
        </w:tc>
        <w:tc>
          <w:tcPr>
            <w:tcW w:w="9557" w:type="dxa"/>
            <w:tcBorders/>
          </w:tcPr>
          <w:p>
            <w:pPr>
              <w:pStyle w:val="TableContents"/>
              <w:bidi w:val="0"/>
              <w:spacing w:before="0" w:after="0"/>
              <w:jc w:val="left"/>
              <w:rPr>
                <w:rFonts w:ascii="Times New Roman" w:hAnsi="Times New Roman"/>
                <w:sz w:val="20"/>
              </w:rPr>
            </w:pPr>
            <w:r>
              <w:rPr>
                <w:rFonts w:ascii="Times New Roman" w:hAnsi="Times New Roman"/>
                <w:b/>
                <w:i/>
                <w:sz w:val="20"/>
              </w:rPr>
              <w:t>Customers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Revenues from the following customers represented 10% or more of consolidated revenues: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89"/>
        <w:gridCol w:w="410"/>
        <w:gridCol w:w="93"/>
        <w:gridCol w:w="407"/>
        <w:gridCol w:w="381"/>
        <w:gridCol w:w="326"/>
        <w:gridCol w:w="83"/>
        <w:gridCol w:w="511"/>
        <w:gridCol w:w="493"/>
        <w:gridCol w:w="326"/>
        <w:gridCol w:w="83"/>
        <w:gridCol w:w="516"/>
        <w:gridCol w:w="354"/>
      </w:tblGrid>
      <w:tr>
        <w:trPr/>
        <w:tc>
          <w:tcPr>
            <w:tcW w:w="4589"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5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21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54"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8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493"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54" w:type="dxa"/>
            <w:tcBorders/>
            <w:vAlign w:val="bottom"/>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41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right"/>
              <w:rPr/>
            </w:pPr>
            <w:r>
              <w:rPr/>
              <w:t>16</w:t>
            </w:r>
          </w:p>
        </w:tc>
        <w:tc>
          <w:tcPr>
            <w:tcW w:w="38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right"/>
              <w:rPr/>
            </w:pPr>
            <w:r>
              <w:rPr/>
              <w:t>16</w:t>
            </w:r>
          </w:p>
        </w:tc>
        <w:tc>
          <w:tcPr>
            <w:tcW w:w="493"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15</w:t>
            </w:r>
          </w:p>
        </w:tc>
        <w:tc>
          <w:tcPr>
            <w:tcW w:w="354" w:type="dxa"/>
            <w:tcBorders/>
            <w:shd w:fill="CCEEFF" w:val="clear"/>
            <w:vAlign w:val="bottom"/>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41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right"/>
              <w:rPr/>
            </w:pPr>
            <w:r>
              <w:rPr/>
              <w:t>15</w:t>
            </w:r>
          </w:p>
        </w:tc>
        <w:tc>
          <w:tcPr>
            <w:tcW w:w="38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n/a </w:t>
            </w:r>
          </w:p>
        </w:tc>
        <w:tc>
          <w:tcPr>
            <w:tcW w:w="493" w:type="dxa"/>
            <w:tcBorders/>
            <w:vAlign w:val="bottom"/>
          </w:tcPr>
          <w:p>
            <w:pPr>
              <w:pStyle w:val="TableContents"/>
              <w:bidi w:val="0"/>
              <w:spacing w:before="0" w:after="283"/>
              <w:jc w:val="left"/>
              <w:rPr/>
            </w:pPr>
            <w:r>
              <w:rPr/>
              <w:t>(1) </w:t>
            </w:r>
          </w:p>
        </w:tc>
        <w:tc>
          <w:tcPr>
            <w:tcW w:w="32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n/a </w:t>
            </w:r>
          </w:p>
        </w:tc>
        <w:tc>
          <w:tcPr>
            <w:tcW w:w="354" w:type="dxa"/>
            <w:tcBorders/>
            <w:vAlign w:val="bottom"/>
          </w:tcPr>
          <w:p>
            <w:pPr>
              <w:pStyle w:val="TableContents"/>
              <w:bidi w:val="0"/>
              <w:spacing w:before="0" w:after="283"/>
              <w:jc w:val="left"/>
              <w:rPr/>
            </w:pPr>
            <w:r>
              <w:rPr/>
              <w:t>(1)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C</w:t>
            </w:r>
          </w:p>
        </w:tc>
        <w:tc>
          <w:tcPr>
            <w:tcW w:w="41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right"/>
              <w:rPr/>
            </w:pPr>
            <w:r>
              <w:rPr/>
              <w:t>13</w:t>
            </w:r>
          </w:p>
        </w:tc>
        <w:tc>
          <w:tcPr>
            <w:tcW w:w="38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right"/>
              <w:rPr/>
            </w:pPr>
            <w:r>
              <w:rPr/>
              <w:t>20</w:t>
            </w:r>
          </w:p>
        </w:tc>
        <w:tc>
          <w:tcPr>
            <w:tcW w:w="493"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16</w:t>
            </w:r>
          </w:p>
        </w:tc>
        <w:tc>
          <w:tcPr>
            <w:tcW w:w="35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represented less than 10% of consolidated revenues in such period.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table below reconciles the Company’s earnings per share (in thousands, except for per share data):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61"/>
        <w:gridCol w:w="313"/>
        <w:gridCol w:w="140"/>
        <w:gridCol w:w="690"/>
        <w:gridCol w:w="60"/>
        <w:gridCol w:w="313"/>
        <w:gridCol w:w="140"/>
        <w:gridCol w:w="690"/>
        <w:gridCol w:w="60"/>
        <w:gridCol w:w="313"/>
        <w:gridCol w:w="140"/>
        <w:gridCol w:w="690"/>
        <w:gridCol w:w="62"/>
      </w:tblGrid>
      <w:tr>
        <w:trPr/>
        <w:tc>
          <w:tcPr>
            <w:tcW w:w="4961"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961"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32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Decemebr 31,</w:t>
            </w:r>
          </w:p>
        </w:tc>
        <w:tc>
          <w:tcPr>
            <w:tcW w:w="62" w:type="dxa"/>
            <w:tcBorders/>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2" w:type="dxa"/>
            <w:tcBorders/>
            <w:vAlign w:val="bottom"/>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92,802</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74,538</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80,762</w:t>
            </w:r>
          </w:p>
        </w:tc>
        <w:tc>
          <w:tcPr>
            <w:tcW w:w="62" w:type="dxa"/>
            <w:tcBorders/>
            <w:shd w:fill="CCEEFF" w:val="clear"/>
            <w:vAlign w:val="bottom"/>
          </w:tcPr>
          <w:p>
            <w:pPr>
              <w:pStyle w:val="TableContents"/>
              <w:bidi w:val="0"/>
              <w:spacing w:before="0" w:after="283"/>
              <w:jc w:val="left"/>
              <w:rPr/>
            </w:pPr>
            <w:r>
              <w:rPr/>
              <w:t> </w:t>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of common</w:t>
              <w:br/>
              <w:t>stock outstanding (1)(2)</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17,093</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17,004</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16,829</w:t>
            </w:r>
          </w:p>
        </w:tc>
        <w:tc>
          <w:tcPr>
            <w:tcW w:w="62" w:type="dxa"/>
            <w:tcBorders/>
            <w:vAlign w:val="bottom"/>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Net effect of dilutive stock options, restricted</w:t>
              <w:br/>
              <w:t>stock units, and Creditor Warrants (3)(4)(5)</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2,104</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2,153</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1,565</w:t>
            </w:r>
          </w:p>
        </w:tc>
        <w:tc>
          <w:tcPr>
            <w:tcW w:w="62" w:type="dxa"/>
            <w:tcBorders/>
            <w:shd w:fill="CCEEFF" w:val="clear"/>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dilutive shares of</w:t>
              <w:br/>
              <w:t>common stock outstanding</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19,197</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19,157</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18,394</w:t>
            </w:r>
          </w:p>
        </w:tc>
        <w:tc>
          <w:tcPr>
            <w:tcW w:w="62" w:type="dxa"/>
            <w:tcBorders/>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common share:</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5.43</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4.38</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4.80</w:t>
            </w:r>
          </w:p>
        </w:tc>
        <w:tc>
          <w:tcPr>
            <w:tcW w:w="62" w:type="dxa"/>
            <w:tcBorders/>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4.83</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3.89</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4.39</w:t>
            </w:r>
          </w:p>
        </w:tc>
        <w:tc>
          <w:tcPr>
            <w:tcW w:w="62" w:type="dxa"/>
            <w:tcBorders/>
            <w:shd w:fill="CCEEFF" w:val="clear"/>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included 11,375, 11,377 and 11,488 Jones Act Warrants in the weighted-average number of shares of common stock outstanding for the years ended December 31, 2024, 2023 and 2022, respectively, which represents the weighted-average number of Jones Act Warrants existing at each period-end. See Note 13 to these consolidated financial statements for further information regarding the Jones Act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105 fully vested, equity-settled restricted stock units that will be settled on the earlier of the occurrence of a contractually-designated event and the passage of a certain period of time for the years ended December 31, 2024, 2023 and 2022,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132, 196 and 254 unvested restricted stock units and 620, 611 and 380 contingently-exercisable, vested restricted stock units in the weighted average calculation for the years ended December 31, 2024, 2023 and 2022,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459, 476 and 403 dilutive unvested stock options granted under the MIP in the weighted-average calculation for the years ended December 31, 2024, 2023 and 2022, respectively. Dilutive unvested stock options issued by the Company are expected to fluctuate from quarter to quarter depending on the Company’s performance compared to a predetermined set of performance criteria. See Note 14 to these consolidated financial statements for further information regarding the Company’s stock options granted under the MIP.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893, 870 and 488 of in-the-money Creditor Warrants in the weighted-average calculation for the years ended December 31, 2024, 2023 and 2022,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offers a 401(k) plan to all full-time employees. Employees must be at least eighteen years of age and are eligible to participate the first of the month following their date of hire. Participants may elect to defer up to 60% of their compensation, subject to certain statutorily established limits. The Company may elect to make annual matching and profit sharing contributions to the 401(k) plan. During the years ended December 31, 2024, 2023 and 2022, the Company made contributions to the 401(k) plan of approximately $7.1 million, $5.6 million and $2.6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7. Deferred Charges </w:t>
      </w:r>
    </w:p>
    <w:p>
      <w:pPr>
        <w:pStyle w:val="TextBody"/>
        <w:bidi w:val="0"/>
        <w:spacing w:before="120" w:after="0"/>
        <w:jc w:val="left"/>
        <w:rPr>
          <w:rFonts w:ascii="Times New Roman" w:hAnsi="Times New Roman"/>
          <w:sz w:val="20"/>
        </w:rPr>
      </w:pPr>
      <w:r>
        <w:rPr>
          <w:rFonts w:ascii="Times New Roman" w:hAnsi="Times New Roman"/>
          <w:sz w:val="20"/>
        </w:rPr>
        <w:t xml:space="preserve">The amounts reported for deferred charges on the consolidated balance sheets as of December 31, 2024 and 2023, include costs associated with ongoing regulatory drydockings. Included in such capital costs are accruals for vendor costs incurred but not yet invoiced and paid. These accrual amounts totaling $6.3 million and $13.5 million as of December 31, 2024 and 2023, respectively, are excluded from cash flows from operating activities on the consolidated statement of cash flows as non-cash items for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second quarter of 2023, the Company postponed a planned senior debt offering to refinance all of its then-existing debt. As a result, the Company recorded a non-recurring charge of $3.7 million for previously deferred expenses incurred in connection with the terminated process as a refinancing did not occur within 90 days of the postponement date. Pursuant to ASC 340, </w:t>
      </w:r>
      <w:r>
        <w:rPr>
          <w:rFonts w:ascii="Times New Roman" w:hAnsi="Times New Roman"/>
          <w:i/>
          <w:sz w:val="20"/>
        </w:rPr>
        <w:t>Other Assets and Deferred Costs</w:t>
      </w:r>
      <w:r>
        <w:rPr>
          <w:rFonts w:ascii="Times New Roman" w:hAnsi="Times New Roman"/>
          <w:sz w:val="20"/>
        </w:rPr>
        <w:t xml:space="preserve">, costs associated with a postponed or terminated offering of debt or equity securities must be expensed if the offering is not completed or expected to be completed within 90 days of the postponement. </w:t>
      </w:r>
    </w:p>
    <w:p>
      <w:pPr>
        <w:pStyle w:val="TextBody"/>
        <w:bidi w:val="0"/>
        <w:spacing w:before="240" w:after="0"/>
        <w:jc w:val="left"/>
        <w:rPr>
          <w:rFonts w:ascii="Times New Roman" w:hAnsi="Times New Roman"/>
          <w:sz w:val="20"/>
        </w:rPr>
      </w:pPr>
      <w:r>
        <w:rPr>
          <w:rFonts w:ascii="Times New Roman" w:hAnsi="Times New Roman"/>
          <w:sz w:val="20"/>
        </w:rPr>
        <w:t xml:space="preserve">Similarly, in the fourth quarter of 2024, the Company postponed its plans to launch an initial public offering, or IPO. As a result, the Company recorded a non-recurring charge of $9.1 million for previously deferred expenses incurred in connection with the postponed IPO process as a public offering of its equity did not occur within the 90-day period from the effective postponement. </w:t>
      </w:r>
    </w:p>
    <w:p>
      <w:pPr>
        <w:pStyle w:val="TextBody"/>
        <w:bidi w:val="0"/>
        <w:spacing w:before="360" w:after="0"/>
        <w:jc w:val="left"/>
        <w:rPr>
          <w:rFonts w:ascii="Times New Roman" w:hAnsi="Times New Roman"/>
          <w:b/>
          <w:sz w:val="20"/>
        </w:rPr>
      </w:pPr>
      <w:r>
        <w:rPr>
          <w:rFonts w:ascii="Times New Roman" w:hAnsi="Times New Roman"/>
          <w:b/>
          <w:sz w:val="20"/>
        </w:rPr>
        <w:t xml:space="preserve">8.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79"/>
        <w:gridCol w:w="406"/>
        <w:gridCol w:w="146"/>
        <w:gridCol w:w="902"/>
        <w:gridCol w:w="156"/>
        <w:gridCol w:w="406"/>
        <w:gridCol w:w="146"/>
        <w:gridCol w:w="853"/>
        <w:gridCol w:w="161"/>
      </w:tblGrid>
      <w:tr>
        <w:trPr/>
        <w:tc>
          <w:tcPr>
            <w:tcW w:w="4579"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7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6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1" w:type="dxa"/>
            <w:tcBorders/>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4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Offshore supply vessels and multi-purpose support vessels</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627,237</w:t>
            </w:r>
          </w:p>
        </w:tc>
        <w:tc>
          <w:tcPr>
            <w:tcW w:w="15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523,793</w:t>
            </w:r>
          </w:p>
        </w:tc>
        <w:tc>
          <w:tcPr>
            <w:tcW w:w="161" w:type="dxa"/>
            <w:tcBorders/>
            <w:shd w:fill="CCEEFF" w:val="clear"/>
            <w:vAlign w:val="bottom"/>
          </w:tcPr>
          <w:p>
            <w:pPr>
              <w:pStyle w:val="TableContents"/>
              <w:bidi w:val="0"/>
              <w:spacing w:before="0" w:after="283"/>
              <w:jc w:val="left"/>
              <w:rPr/>
            </w:pPr>
            <w:r>
              <w:rPr/>
              <w:t> </w:t>
            </w:r>
          </w:p>
        </w:tc>
      </w:tr>
      <w:tr>
        <w:trPr/>
        <w:tc>
          <w:tcPr>
            <w:tcW w:w="4579"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related property, plant and equipment</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8,288</w:t>
            </w:r>
          </w:p>
        </w:tc>
        <w:tc>
          <w:tcPr>
            <w:tcW w:w="15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6,622</w:t>
            </w:r>
          </w:p>
        </w:tc>
        <w:tc>
          <w:tcPr>
            <w:tcW w:w="161" w:type="dxa"/>
            <w:tcBorders/>
            <w:vAlign w:val="bottom"/>
          </w:tcPr>
          <w:p>
            <w:pPr>
              <w:pStyle w:val="TableContents"/>
              <w:bidi w:val="0"/>
              <w:spacing w:before="0" w:after="283"/>
              <w:jc w:val="left"/>
              <w:rPr/>
            </w:pPr>
            <w:r>
              <w:rPr/>
              <w:t> </w:t>
            </w:r>
          </w:p>
        </w:tc>
      </w:tr>
      <w:tr>
        <w:trPr/>
        <w:tc>
          <w:tcPr>
            <w:tcW w:w="4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(103,564</w:t>
            </w:r>
          </w:p>
        </w:tc>
        <w:tc>
          <w:tcPr>
            <w:tcW w:w="15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(65,890</w:t>
            </w:r>
          </w:p>
        </w:tc>
        <w:tc>
          <w:tcPr>
            <w:tcW w:w="161" w:type="dxa"/>
            <w:tcBorders/>
            <w:shd w:fill="CCEEFF" w:val="clear"/>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9"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531,961</w:t>
            </w:r>
          </w:p>
        </w:tc>
        <w:tc>
          <w:tcPr>
            <w:tcW w:w="15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464,525</w:t>
            </w:r>
          </w:p>
        </w:tc>
        <w:tc>
          <w:tcPr>
            <w:tcW w:w="161" w:type="dxa"/>
            <w:tcBorders/>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 (1)</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142,768</w:t>
            </w:r>
          </w:p>
        </w:tc>
        <w:tc>
          <w:tcPr>
            <w:tcW w:w="15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137,897</w:t>
            </w:r>
          </w:p>
        </w:tc>
        <w:tc>
          <w:tcPr>
            <w:tcW w:w="161" w:type="dxa"/>
            <w:tcBorders/>
            <w:shd w:fill="CCEEFF" w:val="clear"/>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9"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674,729</w:t>
            </w:r>
          </w:p>
        </w:tc>
        <w:tc>
          <w:tcPr>
            <w:tcW w:w="15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602,422</w:t>
            </w:r>
          </w:p>
        </w:tc>
        <w:tc>
          <w:tcPr>
            <w:tcW w:w="161" w:type="dxa"/>
            <w:tcBorders/>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$10.0 million and $17.6 million of accrued accounts payable as of December 31, 2024 and 2023, respectively. These amounts were excluded from the consolidated statement of cash flows as non-cash items for the respective periods.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net book value of property, plant and equipment by geographic regions(1)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49"/>
        <w:gridCol w:w="307"/>
        <w:gridCol w:w="140"/>
        <w:gridCol w:w="848"/>
        <w:gridCol w:w="60"/>
        <w:gridCol w:w="307"/>
        <w:gridCol w:w="107"/>
        <w:gridCol w:w="1067"/>
        <w:gridCol w:w="276"/>
        <w:gridCol w:w="215"/>
        <w:gridCol w:w="140"/>
        <w:gridCol w:w="848"/>
        <w:gridCol w:w="60"/>
        <w:gridCol w:w="307"/>
        <w:gridCol w:w="107"/>
        <w:gridCol w:w="1067"/>
        <w:gridCol w:w="283"/>
      </w:tblGrid>
      <w:tr>
        <w:trPr/>
        <w:tc>
          <w:tcPr>
            <w:tcW w:w="324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54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283" w:type="dxa"/>
            <w:tcBorders/>
            <w:vAlign w:val="bottom"/>
          </w:tcPr>
          <w:p>
            <w:pPr>
              <w:pStyle w:val="TableContents"/>
              <w:bidi w:val="0"/>
              <w:spacing w:before="0" w:after="283"/>
              <w:jc w:val="left"/>
              <w:rPr/>
            </w:pPr>
            <w:r>
              <w:rPr/>
              <w:t> </w:t>
            </w:r>
          </w:p>
        </w:tc>
      </w:tr>
      <w:tr>
        <w:trPr/>
        <w:tc>
          <w:tcPr>
            <w:tcW w:w="324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83" w:type="dxa"/>
            <w:tcBorders/>
            <w:vAlign w:val="bottom"/>
          </w:tcPr>
          <w:p>
            <w:pPr>
              <w:pStyle w:val="TableContents"/>
              <w:bidi w:val="0"/>
              <w:spacing w:before="0" w:after="283"/>
              <w:jc w:val="left"/>
              <w:rPr/>
            </w:pPr>
            <w:r>
              <w:rPr/>
              <w:t> </w:t>
            </w:r>
          </w:p>
        </w:tc>
      </w:tr>
      <w:tr>
        <w:trPr/>
        <w:tc>
          <w:tcPr>
            <w:tcW w:w="3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598,481</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88.7</w:t>
            </w:r>
          </w:p>
        </w:tc>
        <w:tc>
          <w:tcPr>
            <w:tcW w:w="2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522,347</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86.7</w:t>
            </w:r>
          </w:p>
        </w:tc>
        <w:tc>
          <w:tcPr>
            <w:tcW w:w="283" w:type="dxa"/>
            <w:tcBorders/>
            <w:shd w:fill="CCEEFF" w:val="clear"/>
            <w:vAlign w:val="bottom"/>
          </w:tcPr>
          <w:p>
            <w:pPr>
              <w:pStyle w:val="TableContents"/>
              <w:bidi w:val="0"/>
              <w:spacing w:before="0" w:after="283"/>
              <w:jc w:val="left"/>
              <w:rPr/>
            </w:pPr>
            <w:r>
              <w:rPr/>
              <w:t>% </w:t>
            </w:r>
          </w:p>
        </w:tc>
      </w:tr>
      <w:tr>
        <w:trPr/>
        <w:tc>
          <w:tcPr>
            <w:tcW w:w="3249"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 (2)</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76,248</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11.3</w:t>
            </w:r>
          </w:p>
        </w:tc>
        <w:tc>
          <w:tcPr>
            <w:tcW w:w="2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80,075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13.3</w:t>
            </w:r>
          </w:p>
        </w:tc>
        <w:tc>
          <w:tcPr>
            <w:tcW w:w="283" w:type="dxa"/>
            <w:tcBorders/>
            <w:vAlign w:val="bottom"/>
          </w:tcPr>
          <w:p>
            <w:pPr>
              <w:pStyle w:val="TableContents"/>
              <w:bidi w:val="0"/>
              <w:spacing w:before="0" w:after="283"/>
              <w:jc w:val="left"/>
              <w:rPr/>
            </w:pPr>
            <w:r>
              <w:rPr/>
              <w:t>% </w:t>
            </w:r>
          </w:p>
        </w:tc>
      </w:tr>
      <w:tr>
        <w:trPr/>
        <w:tc>
          <w:tcPr>
            <w:tcW w:w="324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249" w:type="dxa"/>
            <w:tcBorders/>
            <w:shd w:fill="CCEEFF" w:val="clear"/>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674,729</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602,422</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100.0</w:t>
            </w:r>
          </w:p>
        </w:tc>
        <w:tc>
          <w:tcPr>
            <w:tcW w:w="283" w:type="dxa"/>
            <w:tcBorders/>
            <w:shd w:fill="CCEEFF" w:val="clear"/>
            <w:vAlign w:val="bottom"/>
          </w:tcPr>
          <w:p>
            <w:pPr>
              <w:pStyle w:val="TableContents"/>
              <w:bidi w:val="0"/>
              <w:spacing w:before="0" w:after="283"/>
              <w:jc w:val="left"/>
              <w:rPr/>
            </w:pPr>
            <w:r>
              <w:rPr/>
              <w:t>% </w:t>
            </w:r>
          </w:p>
        </w:tc>
      </w:tr>
      <w:tr>
        <w:trPr/>
        <w:tc>
          <w:tcPr>
            <w:tcW w:w="324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property, plant and equipment of $68.7 million and $70.6 million were owned by certain Mexican subsidiaries of the Company as of December 31, 2024 and 2023, respectively. Property, plant and equipment attributed to other countries were not individually material as of any of the dates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Assets Held for Sale </w:t>
      </w:r>
    </w:p>
    <w:p>
      <w:pPr>
        <w:pStyle w:val="TextBody"/>
        <w:bidi w:val="0"/>
        <w:spacing w:before="120" w:after="0"/>
        <w:jc w:val="left"/>
        <w:rPr>
          <w:rFonts w:ascii="Times New Roman" w:hAnsi="Times New Roman"/>
          <w:sz w:val="20"/>
        </w:rPr>
      </w:pPr>
      <w:r>
        <w:rPr>
          <w:rFonts w:ascii="Times New Roman" w:hAnsi="Times New Roman"/>
          <w:sz w:val="20"/>
        </w:rPr>
        <w:t xml:space="preserve">Pursuant to </w:t>
      </w:r>
      <w:r>
        <w:rPr>
          <w:rFonts w:ascii="Times New Roman" w:hAnsi="Times New Roman"/>
          <w:i/>
          <w:sz w:val="20"/>
        </w:rPr>
        <w:t>ASC 360, Property, Plant, and Equipment</w:t>
      </w:r>
      <w:r>
        <w:rPr>
          <w:rFonts w:ascii="Times New Roman" w:hAnsi="Times New Roman"/>
          <w:sz w:val="20"/>
        </w:rPr>
        <w:t xml:space="preserve">, the Company considers an asset to be held for sale when all of the following criteria are met: (i) management commits to a plan to sell the asset, (ii) the asset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available for immediate sale in its present condition, (iii) actions required to complete the sale of the asset have been initiated, (iv) the sale of the asset is probable and the sale is expected to be completed within one year, (v) the asset is being actively marketed for sale at a price that is reasonable given its current fair value, and (vi) it is unlikely that the plan to sell will be significantly modified or withdrawn. </w:t>
      </w:r>
    </w:p>
    <w:p>
      <w:pPr>
        <w:pStyle w:val="TextBody"/>
        <w:bidi w:val="0"/>
        <w:spacing w:before="240" w:after="0"/>
        <w:jc w:val="left"/>
        <w:rPr>
          <w:rFonts w:ascii="Times New Roman" w:hAnsi="Times New Roman"/>
          <w:sz w:val="20"/>
        </w:rPr>
      </w:pPr>
      <w:r>
        <w:rPr>
          <w:rFonts w:ascii="Times New Roman" w:hAnsi="Times New Roman"/>
          <w:sz w:val="20"/>
        </w:rPr>
        <w:t xml:space="preserve">Upon designation as held for sale, an asset is recorded at the lower of its carrying value or estimated fair value, less estimated costs to sell, as of the reporting date. If at any time the above criteria are no longer met, subject to certain exceptions, the asset previously classified as held for sale is reclassified as held and used and measured individually at the lower of: (i) the carrying amount before being classified as held for sale, adjusted for any depreciation expense that would have been recognized had the asset been continuously classified as held and used, or (ii) the fair value at the date of the subsequent decision to not sell. </w:t>
      </w:r>
    </w:p>
    <w:p>
      <w:pPr>
        <w:pStyle w:val="TextBody"/>
        <w:bidi w:val="0"/>
        <w:spacing w:before="240" w:after="0"/>
        <w:jc w:val="left"/>
        <w:rPr>
          <w:rFonts w:ascii="Times New Roman" w:hAnsi="Times New Roman"/>
          <w:sz w:val="20"/>
        </w:rPr>
      </w:pPr>
      <w:r>
        <w:rPr>
          <w:rFonts w:ascii="Times New Roman" w:hAnsi="Times New Roman"/>
          <w:sz w:val="20"/>
        </w:rPr>
        <w:t xml:space="preserve">In 2020, the Board of Directors approved a plan to scrap or sell certain low-spec and mid-spec vessels. The Company has sold all but two such vessels as of December 31, 2024. The Company consummated the sale of two low-spec vessels for net proceeds totaling $1.0 million at a net gain of $0.8 million in 2023, and seven low-spec and three mid-spec vessels for net proceeds totaling $21.5 million at a net gain of $20.5 million in 2022. There were no vessel sales in 2024. In 2024, 2023 and 2022, the Company sold certain non-vessel assets for proceeds of $0.1 million, $2.0 million, and $1.3 million, at net gains of $0.1 million, $1.9 million, and $1.3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Based on current assessments, the Company did not have any vessels that met the held-for-sale criteria as of December 31, 2024 and 2023. </w:t>
      </w:r>
    </w:p>
    <w:p>
      <w:pPr>
        <w:pStyle w:val="TextBody"/>
        <w:bidi w:val="0"/>
        <w:spacing w:before="360" w:after="0"/>
        <w:jc w:val="left"/>
        <w:rPr>
          <w:rFonts w:ascii="Times New Roman" w:hAnsi="Times New Roman"/>
          <w:b/>
          <w:sz w:val="20"/>
        </w:rPr>
      </w:pPr>
      <w:r>
        <w:rPr>
          <w:rFonts w:ascii="Times New Roman" w:hAnsi="Times New Roman"/>
          <w:b/>
          <w:sz w:val="20"/>
        </w:rPr>
        <w:t xml:space="preserve">10. Vessel Acquisitions </w:t>
      </w:r>
    </w:p>
    <w:p>
      <w:pPr>
        <w:pStyle w:val="TextBody"/>
        <w:bidi w:val="0"/>
        <w:spacing w:before="120" w:after="0"/>
        <w:jc w:val="left"/>
        <w:rPr>
          <w:rFonts w:ascii="Times New Roman" w:hAnsi="Times New Roman"/>
          <w:i/>
          <w:sz w:val="20"/>
        </w:rPr>
      </w:pPr>
      <w:r>
        <w:rPr>
          <w:rFonts w:ascii="Times New Roman" w:hAnsi="Times New Roman"/>
          <w:i/>
          <w:sz w:val="20"/>
        </w:rPr>
        <w:t xml:space="preserve">ECO Acquisitions #1 </w:t>
      </w:r>
    </w:p>
    <w:p>
      <w:pPr>
        <w:pStyle w:val="TextBody"/>
        <w:bidi w:val="0"/>
        <w:spacing w:before="240" w:after="0"/>
        <w:jc w:val="left"/>
        <w:rPr>
          <w:rFonts w:ascii="Times New Roman" w:hAnsi="Times New Roman"/>
          <w:sz w:val="20"/>
        </w:rPr>
      </w:pPr>
      <w:r>
        <w:rPr>
          <w:rFonts w:ascii="Times New Roman" w:hAnsi="Times New Roman"/>
          <w:sz w:val="20"/>
        </w:rPr>
        <w:t xml:space="preserve">On January 10, 2022, the Company entered into definitive vessel purchase agreements with certain affiliates of Edison Chouest Offshore, or collectively ECO, to acquire up to ten high-spec, 280 class DP-2 OSVs for an aggregate price of $130.0 million. In November 2022, ECO exercised an option to terminate the vessel purchase agreements relating to the last four of such vessels. ECO refunded initial deposits of $1.5 million in the aggregate and paid an additional amount equal to such deposits as a termination fee. After accounting for such terminations and certain purchase price adjustments, the aggregate purchase price for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had paid $82.2 million for the original purchase price and $1.7 million in purchase price adjustments associated with discretionary enhancements of the ECO Acquisitions #1 vessels, prior to the $1.5 million termination fee paid by ECO. In addition, the Company had incurred $5.3 million of post-acquisition costs associated with additional outfitting of the six vessels through the fourth quarter of 2024. </w:t>
      </w:r>
    </w:p>
    <w:p>
      <w:pPr>
        <w:pStyle w:val="TextBody"/>
        <w:bidi w:val="0"/>
        <w:spacing w:before="360" w:after="0"/>
        <w:jc w:val="left"/>
        <w:rPr>
          <w:rFonts w:ascii="Times New Roman" w:hAnsi="Times New Roman"/>
          <w:i/>
          <w:sz w:val="20"/>
        </w:rPr>
      </w:pPr>
      <w:r>
        <w:rPr>
          <w:rFonts w:ascii="Times New Roman" w:hAnsi="Times New Roman"/>
          <w:i/>
          <w:sz w:val="20"/>
        </w:rPr>
        <w:t xml:space="preserve">MARAD Acquisition and SOV/Flotel Conversion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4, 2022, the Company completed the acquisition of three high-spec new generation OSVs from the U.S. Department of Transportation’s Maritime Administration, or MARAD, for an aggregate price of $37.2 million. All three vessels are U.S.- flagged, Jones Act-qualified, 280 class DP-2 OSVs with cargo-carrying capacities of circa 4,500 DWT. In September 2022, the Company placed two of these vessels into service for immediate time charters in the U.S. GoA. Since taking physical delivery of the vessels from MARAD, the Company has incurred approximately $27.1 million for the reactivation and regulatory drydockings of all three vessels. As of December 31, 2024, the Company had also incurred $59.1 million, excluding capitalized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associated with the conversion of the third vessel into a dual-use SOV/flotel to support the domestic offshore wind and oilfield markets. The Company currently expects to spend an additional $22.0 million toward the SOV/flotel conversion of the third vessel, which is expected to be completed in the third quarter of 2025. </w:t>
      </w:r>
    </w:p>
    <w:p>
      <w:pPr>
        <w:pStyle w:val="TextBody"/>
        <w:bidi w:val="0"/>
        <w:spacing w:before="360" w:after="0"/>
        <w:jc w:val="left"/>
        <w:rPr>
          <w:rFonts w:ascii="Times New Roman" w:hAnsi="Times New Roman"/>
          <w:i/>
          <w:sz w:val="20"/>
        </w:rPr>
      </w:pPr>
      <w:r>
        <w:rPr>
          <w:rFonts w:ascii="Times New Roman" w:hAnsi="Times New Roman"/>
          <w:i/>
          <w:sz w:val="20"/>
        </w:rPr>
        <w:t xml:space="preserve">ECO Acquisitions #2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2022, the Company executed a controlling purchase agreement with Nautical Solutions, L.L.C., or Nautical, an ECO affiliate. Pursuant to the controlling purchase agreement, the Company subsequently entered into separate, individual vessel purchase agreements to acquire six high-spec, 280 class DP-2 OSVs from Nautical for $17.0 million per vessel. Nautical completed regulatory drydocking and reactivation activities for each vessel prior to closing. The Company took delivery of the six vessels between July 2023 and January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had paid an aggregate of $102.0 million for the original purchase price, including deposits, and $9.4 million in purchase price adjustments associated with discretionary enhancements, additional outfitting, and post-closing modifications for the ECO Acquisitions #2 vessels.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determined that substantially all of the fair value of the assets acquired from ECO, MARAD and Nautical are concentrated in a group of similar identifiable assets and therefore, will account for such transactions as asset acquisitions under ASU 2017-01. The Company did not acquire any contracts, employees, business systems, trade names or trademarks in connection with these acquisitions. </w:t>
      </w:r>
    </w:p>
    <w:p>
      <w:pPr>
        <w:pStyle w:val="TextBody"/>
        <w:bidi w:val="0"/>
        <w:spacing w:before="360" w:after="0"/>
        <w:jc w:val="left"/>
        <w:rPr>
          <w:rFonts w:ascii="Times New Roman" w:hAnsi="Times New Roman"/>
          <w:b/>
          <w:sz w:val="20"/>
        </w:rPr>
      </w:pPr>
      <w:r>
        <w:rPr>
          <w:rFonts w:ascii="Times New Roman" w:hAnsi="Times New Roman"/>
          <w:b/>
          <w:sz w:val="20"/>
        </w:rPr>
        <w:t xml:space="preserve">11. Long-Term Debt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dates indicated below, the Company had the following outstanding long-term debt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56"/>
        <w:gridCol w:w="364"/>
        <w:gridCol w:w="141"/>
        <w:gridCol w:w="882"/>
        <w:gridCol w:w="60"/>
        <w:gridCol w:w="364"/>
        <w:gridCol w:w="141"/>
        <w:gridCol w:w="882"/>
        <w:gridCol w:w="65"/>
      </w:tblGrid>
      <w:tr>
        <w:trPr/>
        <w:tc>
          <w:tcPr>
            <w:tcW w:w="4856"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5"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 net of original issue discount of $6,750 and deferred financing costs of $2,019</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441,231</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Lien Term Loans due 2026 (including</w:t>
              <w:br/>
              <w:t>accumulated paid-in-kind interest)</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349,001</w:t>
            </w:r>
          </w:p>
        </w:tc>
        <w:tc>
          <w:tcPr>
            <w:tcW w:w="65"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56" w:type="dxa"/>
            <w:tcBorders/>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441,231</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349,001</w:t>
            </w:r>
          </w:p>
        </w:tc>
        <w:tc>
          <w:tcPr>
            <w:tcW w:w="65"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Annual maturities of outstanding debt as of December 31, 2024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31,465</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37,461</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41,026</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45,146</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294,902</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450,000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Company’s cash interest payments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6"/>
        <w:gridCol w:w="437"/>
        <w:gridCol w:w="278"/>
        <w:gridCol w:w="1159"/>
        <w:gridCol w:w="60"/>
        <w:gridCol w:w="437"/>
        <w:gridCol w:w="60"/>
        <w:gridCol w:w="2345"/>
        <w:gridCol w:w="63"/>
      </w:tblGrid>
      <w:tr>
        <w:trPr/>
        <w:tc>
          <w:tcPr>
            <w:tcW w:w="2916"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16"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Interest</w:t>
              <w:br/>
              <w:t>Payments (1)</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Payment Dates</w:t>
            </w:r>
          </w:p>
        </w:tc>
        <w:tc>
          <w:tcPr>
            <w:tcW w:w="63"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437"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5" w:type="dxa"/>
            <w:tcBorders/>
            <w:shd w:fill="CCEEFF" w:val="clear"/>
            <w:vAlign w:val="bottom"/>
          </w:tcPr>
          <w:p>
            <w:pPr>
              <w:pStyle w:val="TableContents"/>
              <w:bidi w:val="0"/>
              <w:spacing w:before="0" w:after="283"/>
              <w:jc w:val="right"/>
              <w:rPr/>
            </w:pPr>
            <w:r>
              <w:rPr/>
              <w:t>Variable (determined</w:t>
              <w:br/>
              <w:t>on date of draw)</w:t>
            </w:r>
          </w:p>
        </w:tc>
        <w:tc>
          <w:tcPr>
            <w:tcW w:w="63" w:type="dxa"/>
            <w:tcBorders/>
            <w:shd w:fill="CCEEFF" w:val="clear"/>
            <w:vAlign w:val="bottom"/>
          </w:tcPr>
          <w:p>
            <w:pPr>
              <w:pStyle w:val="TableContents"/>
              <w:bidi w:val="0"/>
              <w:spacing w:before="0" w:after="283"/>
              <w:jc w:val="left"/>
              <w:rPr/>
            </w:pPr>
            <w:r>
              <w:rPr/>
              <w:t> </w:t>
            </w:r>
            <w:r>
              <w:rPr/>
              <w:b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w:t>
            </w:r>
          </w:p>
        </w:tc>
        <w:tc>
          <w:tcPr>
            <w:tcW w:w="437"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3,238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283"/>
              <w:jc w:val="right"/>
              <w:rPr/>
            </w:pPr>
            <w:r>
              <w:rPr/>
              <w:t>First day of each month</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2024, there were no revolving loan amounts outstanding under the $75.0 million First Lien Revolving Credit Facility due 2029. The undrawn commitments under the First Lien Revolving Credit Facility are subject to an unused fee of 1.0% per annum, paid quarterly,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incurred $30.0 million of interest related to debt instruments in 2024 of which $4.5 million related to certain capital projects was capitalized to the consolidated balance sheet as of December 31, 2024. In 2023 and 2022, the Company incurred $41.0 million and $40.1 million of interest related to debt instruments, respectively, of which $1.5 million and $0 million was recorded to capitalized interest during such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undrawn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incurred $2.9 million in deferred financing costs paid to third parties related to the First Lien Revolving Credit Facility, which were recorded in deferred charges on the consolidated balance sheet. As of December 31, 2024, there were no amounts outstanding under the First Lien Revolving Credit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 Lien Term Loans </w:t>
      </w:r>
    </w:p>
    <w:p>
      <w:pPr>
        <w:pStyle w:val="TextBody"/>
        <w:bidi w:val="0"/>
        <w:spacing w:before="120" w:after="0"/>
        <w:jc w:val="left"/>
        <w:rPr>
          <w:rFonts w:ascii="Times New Roman" w:hAnsi="Times New Roman"/>
          <w:i/>
          <w:sz w:val="20"/>
        </w:rPr>
      </w:pPr>
      <w:r>
        <w:rPr>
          <w:rFonts w:ascii="Times New Roman" w:hAnsi="Times New Roman"/>
          <w:i/>
          <w:sz w:val="20"/>
        </w:rPr>
        <w:t xml:space="preserve">Second Lien Term Loans due 2033 </w:t>
      </w:r>
    </w:p>
    <w:p>
      <w:pPr>
        <w:pStyle w:val="TextBody"/>
        <w:bidi w:val="0"/>
        <w:spacing w:before="120" w:after="0"/>
        <w:jc w:val="left"/>
        <w:rPr>
          <w:rFonts w:ascii="Times New Roman" w:hAnsi="Times New Roman"/>
          <w:sz w:val="20"/>
        </w:rPr>
      </w:pPr>
      <w:r>
        <w:rPr>
          <w:rFonts w:ascii="Times New Roman" w:hAnsi="Times New Roman"/>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scheduled to be repaid in (i) 12 consecutive equal monthly installments of interest, payable on the first day of each month commencing on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guaranteed by certain of the Company’s domestic and foreign subsidiaries and are secured by a second priority security interest in, and lien on, all the Company’s U.S.-flagged vessels. The credit agreement contains customary representations and warranties, covenants and events of default, but only one financial maintenance covenant, which is a $25.0 million minimum cash liquidity requirement. The carrying value of the Company’s Second Lien Term Loans due 2033 approximates their fair value. </w:t>
      </w:r>
    </w:p>
    <w:p>
      <w:pPr>
        <w:pStyle w:val="TextBody"/>
        <w:bidi w:val="0"/>
        <w:spacing w:before="360" w:after="0"/>
        <w:jc w:val="left"/>
        <w:rPr>
          <w:rFonts w:ascii="Times New Roman" w:hAnsi="Times New Roman"/>
          <w:i/>
          <w:sz w:val="20"/>
        </w:rPr>
      </w:pPr>
      <w:r>
        <w:rPr>
          <w:rFonts w:ascii="Times New Roman" w:hAnsi="Times New Roman"/>
          <w:i/>
          <w:sz w:val="20"/>
        </w:rPr>
        <w:t xml:space="preserve">Second Lien Term Loans due 2026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2020, the Company, as borrower, and Hornbeck Offshore Services, LLC, as co-borrower, entered into a second-lien term loan credit agreement with its former first-lien term lenders, and Wilmington Trust, National Association, as administrative agent and collateral agent for the lenders, resulting in $287.6 million of second-lien term loans with a maturity date of March 31, 2026, or the Second Lien Term Loans due 2026. The outstanding balance of the Second Lien Term Loans due 2026 increased by $7.8 million, $30.4 million and $29.3 million as a result of paid-in-kind, or PIK, interest incurred at the option of the Company during 2023, 2022 and 2021, respectively. In December 2021, the then-outstanding term loan balance was reduced by $15.0 million in connection with a preemptive rights offering of equity, as further discussed in Note 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December 27, 2024, the Company repaid in full the $349.0 million outstanding balance, inclusive of accumulated PIK interest, of Second Lien Term Loans due 2026, plus $7.0 million of related accrued cash interest and a $5.1 million redemption fee. </w:t>
      </w:r>
    </w:p>
    <w:p>
      <w:pPr>
        <w:pStyle w:val="TextBody"/>
        <w:bidi w:val="0"/>
        <w:spacing w:before="360" w:after="0"/>
        <w:jc w:val="left"/>
        <w:rPr>
          <w:rFonts w:ascii="Times New Roman" w:hAnsi="Times New Roman"/>
          <w:b/>
          <w:sz w:val="20"/>
        </w:rPr>
      </w:pPr>
      <w:r>
        <w:rPr>
          <w:rFonts w:ascii="Times New Roman" w:hAnsi="Times New Roman"/>
          <w:b/>
          <w:sz w:val="20"/>
        </w:rPr>
        <w:t xml:space="preserve">12. Liability-Classified Warrants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2020, the Company entered into the Creditor Warrant Agreement, pursuant to which the Company issued 1.6 million Creditor Warrants. Subject to adjustment, if applicable, the Creditor Warrants are exercisable at $27.83 per share, which was based on an enterprise value of $621.2 million, for seven years from September 4, 2020 for: (i) one share of common stock per Creditor Warrant, or up to 1.6 million shares in the aggregate, or (ii) one Jones Act Warrant in lieu of common stock if the holder cannot establish, at the time of exercise, that it is a U.S. Citizen and conversion of the Creditor Warrant would result in a violation of the Jones Act. </w:t>
      </w:r>
    </w:p>
    <w:p>
      <w:pPr>
        <w:pStyle w:val="TextBody"/>
        <w:bidi w:val="0"/>
        <w:spacing w:before="240" w:after="0"/>
        <w:jc w:val="left"/>
        <w:rPr>
          <w:rFonts w:ascii="Times New Roman" w:hAnsi="Times New Roman"/>
          <w:sz w:val="20"/>
        </w:rPr>
      </w:pPr>
      <w:r>
        <w:rPr>
          <w:rFonts w:ascii="Times New Roman" w:hAnsi="Times New Roman"/>
          <w:sz w:val="20"/>
        </w:rPr>
        <w:t xml:space="preserve">Upon issuance, the Creditor Warrants were accounted for as liabilities due to certain anti-dilution provisions in the Creditor Warrant Agreement, which indexed the warrants to other equity-linked instruments requiring their classification as a liability pursuant to ASC 815, </w:t>
      </w:r>
      <w:r>
        <w:rPr>
          <w:rFonts w:ascii="Times New Roman" w:hAnsi="Times New Roman"/>
          <w:i/>
          <w:sz w:val="20"/>
        </w:rPr>
        <w:t>Derivatives and Hedging</w:t>
      </w:r>
      <w:r>
        <w:rPr>
          <w:rFonts w:ascii="Times New Roman" w:hAnsi="Times New Roman"/>
          <w:sz w:val="20"/>
        </w:rPr>
        <w:t xml:space="preserve">. On December 10, 2024, the Creditor Warrant Agreement was amended to remove such anti-dilution provisions. As a result, the Creditor Warrants are effectively indexed to the Company’s common stock and are thus accounted for as stockholders’ equity since the effective date of the amendment. Accordingly, the Company reclassified the then-current fair value of the Creditor Warrants, or $70.1 million, from long-term liabilities to additional paid-in-capital on December 10, 2024. </w:t>
      </w:r>
    </w:p>
    <w:p>
      <w:pPr>
        <w:pStyle w:val="TextBody"/>
        <w:bidi w:val="0"/>
        <w:spacing w:before="240" w:after="0"/>
        <w:jc w:val="left"/>
        <w:rPr>
          <w:rFonts w:ascii="Times New Roman" w:hAnsi="Times New Roman"/>
          <w:sz w:val="20"/>
        </w:rPr>
      </w:pPr>
      <w:r>
        <w:rPr>
          <w:rFonts w:ascii="Times New Roman" w:hAnsi="Times New Roman"/>
          <w:sz w:val="20"/>
        </w:rPr>
        <w:t xml:space="preserve">To estimate the fair value of the Creditor Warrants, the Company, assisted by third-party valuation advisors, used a Black-Scholes model that utilized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an exit multiple. The fair value of the Creditor Warrants fell within Level 3 of the fair value hierarchy, as there is currently no active trading market and certain inputs of the Black-Scholes model are not observable or corroborated by available market data. Based on the lack of trading history of our privately-held equity, the Company considered the estimated fair value of its common stock to be the most critical assumption in the determination of the fair value of the Creditor Warrants. At December 10, 2024, the date of the amendment to the Creditor Warrant Agreement, every one-dollar change in the estimated fair value per share of the underlying common stock would have had an approximate $1.5 million impact on the estimated fair value of the Creditor Warrants. </w:t>
      </w:r>
    </w:p>
    <w:p>
      <w:pPr>
        <w:pStyle w:val="TextBody"/>
        <w:bidi w:val="0"/>
        <w:spacing w:before="240" w:after="0"/>
        <w:jc w:val="left"/>
        <w:rPr>
          <w:rFonts w:ascii="Times New Roman" w:hAnsi="Times New Roman"/>
          <w:sz w:val="20"/>
        </w:rPr>
      </w:pPr>
      <w:r>
        <w:rPr>
          <w:rFonts w:ascii="Times New Roman" w:hAnsi="Times New Roman"/>
          <w:sz w:val="20"/>
        </w:rPr>
        <w:t xml:space="preserve">The inputs to the Black-Scholes model utilized for the valuation of the Creditor Warrants at December 10, 2024 and December 31, 2023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9"/>
        <w:gridCol w:w="612"/>
        <w:gridCol w:w="271"/>
        <w:gridCol w:w="1084"/>
        <w:gridCol w:w="275"/>
        <w:gridCol w:w="519"/>
        <w:gridCol w:w="271"/>
        <w:gridCol w:w="1084"/>
        <w:gridCol w:w="280"/>
      </w:tblGrid>
      <w:tr>
        <w:trPr/>
        <w:tc>
          <w:tcPr>
            <w:tcW w:w="3359"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35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10,</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280" w:type="dxa"/>
            <w:tcBorders/>
            <w:vAlign w:val="bottom"/>
          </w:tcPr>
          <w:p>
            <w:pPr>
              <w:pStyle w:val="TableContents"/>
              <w:bidi w:val="0"/>
              <w:spacing w:before="0" w:after="283"/>
              <w:jc w:val="left"/>
              <w:rPr/>
            </w:pPr>
            <w:r>
              <w:rPr/>
              <w:t> </w:t>
            </w:r>
          </w:p>
        </w:tc>
      </w:tr>
      <w:tr>
        <w:trPr/>
        <w:tc>
          <w:tcPr>
            <w:tcW w:w="335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0" w:type="dxa"/>
            <w:tcBorders/>
            <w:vAlign w:val="bottom"/>
          </w:tcPr>
          <w:p>
            <w:pPr>
              <w:pStyle w:val="TableContents"/>
              <w:bidi w:val="0"/>
              <w:spacing w:before="0" w:after="283"/>
              <w:jc w:val="left"/>
              <w:rPr/>
            </w:pPr>
            <w:r>
              <w:rPr/>
              <w:t> </w:t>
            </w:r>
          </w:p>
        </w:tc>
      </w:tr>
      <w:tr>
        <w:trPr/>
        <w:tc>
          <w:tcPr>
            <w:tcW w:w="3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per share of the underlying common stock</w:t>
            </w:r>
          </w:p>
        </w:tc>
        <w:tc>
          <w:tcPr>
            <w:tcW w:w="61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66.45</w:t>
            </w:r>
          </w:p>
        </w:tc>
        <w:tc>
          <w:tcPr>
            <w:tcW w:w="2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67.23</w:t>
            </w:r>
          </w:p>
        </w:tc>
        <w:tc>
          <w:tcPr>
            <w:tcW w:w="280" w:type="dxa"/>
            <w:tcBorders/>
            <w:shd w:fill="CCEEFF" w:val="clear"/>
            <w:vAlign w:val="bottom"/>
          </w:tcPr>
          <w:p>
            <w:pPr>
              <w:pStyle w:val="TableContents"/>
              <w:bidi w:val="0"/>
              <w:spacing w:before="0" w:after="283"/>
              <w:jc w:val="left"/>
              <w:rPr/>
            </w:pPr>
            <w:r>
              <w:rPr/>
              <w:t> </w:t>
            </w:r>
          </w:p>
        </w:tc>
      </w:tr>
      <w:tr>
        <w:trPr/>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Warrant exercise price</w:t>
            </w:r>
          </w:p>
        </w:tc>
        <w:tc>
          <w:tcPr>
            <w:tcW w:w="61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27.83</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27.83</w:t>
            </w:r>
          </w:p>
        </w:tc>
        <w:tc>
          <w:tcPr>
            <w:tcW w:w="280" w:type="dxa"/>
            <w:tcBorders/>
            <w:vAlign w:val="bottom"/>
          </w:tcPr>
          <w:p>
            <w:pPr>
              <w:pStyle w:val="TableContents"/>
              <w:bidi w:val="0"/>
              <w:spacing w:before="0" w:after="283"/>
              <w:jc w:val="left"/>
              <w:rPr/>
            </w:pPr>
            <w:r>
              <w:rPr/>
              <w:t> </w:t>
            </w:r>
          </w:p>
        </w:tc>
      </w:tr>
      <w:tr>
        <w:trPr/>
        <w:tc>
          <w:tcPr>
            <w:tcW w:w="3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Remaining contractual term (years)</w:t>
            </w:r>
          </w:p>
        </w:tc>
        <w:tc>
          <w:tcPr>
            <w:tcW w:w="61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2.73</w:t>
            </w:r>
          </w:p>
        </w:tc>
        <w:tc>
          <w:tcPr>
            <w:tcW w:w="2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3.68</w:t>
            </w:r>
          </w:p>
        </w:tc>
        <w:tc>
          <w:tcPr>
            <w:tcW w:w="280" w:type="dxa"/>
            <w:tcBorders/>
            <w:shd w:fill="CCEEFF" w:val="clear"/>
            <w:vAlign w:val="bottom"/>
          </w:tcPr>
          <w:p>
            <w:pPr>
              <w:pStyle w:val="TableContents"/>
              <w:bidi w:val="0"/>
              <w:spacing w:before="0" w:after="283"/>
              <w:jc w:val="left"/>
              <w:rPr/>
            </w:pPr>
            <w:r>
              <w:rPr/>
              <w:t> </w:t>
            </w:r>
          </w:p>
        </w:tc>
      </w:tr>
      <w:tr>
        <w:trPr/>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1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60</w:t>
            </w:r>
          </w:p>
        </w:tc>
        <w:tc>
          <w:tcPr>
            <w:tcW w:w="280" w:type="dxa"/>
            <w:tcBorders/>
            <w:vAlign w:val="bottom"/>
          </w:tcPr>
          <w:p>
            <w:pPr>
              <w:pStyle w:val="TableContents"/>
              <w:bidi w:val="0"/>
              <w:spacing w:before="0" w:after="283"/>
              <w:jc w:val="left"/>
              <w:rPr/>
            </w:pPr>
            <w:r>
              <w:rPr/>
              <w:t>% </w:t>
            </w:r>
          </w:p>
        </w:tc>
      </w:tr>
      <w:tr>
        <w:trPr/>
        <w:tc>
          <w:tcPr>
            <w:tcW w:w="3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61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4.04</w:t>
            </w:r>
          </w:p>
        </w:tc>
        <w:tc>
          <w:tcPr>
            <w:tcW w:w="2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3.91</w:t>
            </w:r>
          </w:p>
        </w:tc>
        <w:tc>
          <w:tcPr>
            <w:tcW w:w="280" w:type="dxa"/>
            <w:tcBorders/>
            <w:shd w:fill="CCEEFF" w:val="clear"/>
            <w:vAlign w:val="bottom"/>
          </w:tcPr>
          <w:p>
            <w:pPr>
              <w:pStyle w:val="TableContents"/>
              <w:bidi w:val="0"/>
              <w:spacing w:before="0" w:after="283"/>
              <w:jc w:val="left"/>
              <w:rPr/>
            </w:pPr>
            <w:r>
              <w:rPr/>
              <w:t>% </w:t>
            </w:r>
          </w:p>
        </w:tc>
      </w:tr>
      <w:tr>
        <w:trPr/>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1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0</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an independent external valuation performed as of December 10, 2024, the estimated fair value of the Creditor Warrants was determined to be $70.1 million, or $44.01 per warrant, representing an increase in value since their original issuance on September 4, 2020 of approximately $61.8 million, or $38.85 per warrant.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change in fair value of the liability-classified warrants for the years ended December 31, 2024, 2023 and 2022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63"/>
        <w:gridCol w:w="362"/>
        <w:gridCol w:w="146"/>
        <w:gridCol w:w="766"/>
        <w:gridCol w:w="155"/>
        <w:gridCol w:w="362"/>
        <w:gridCol w:w="146"/>
        <w:gridCol w:w="718"/>
        <w:gridCol w:w="60"/>
        <w:gridCol w:w="362"/>
        <w:gridCol w:w="146"/>
        <w:gridCol w:w="717"/>
        <w:gridCol w:w="69"/>
      </w:tblGrid>
      <w:tr>
        <w:trPr/>
        <w:tc>
          <w:tcPr>
            <w:tcW w:w="4563"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357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9" w:type="dxa"/>
            <w:tcBorders/>
            <w:vAlign w:val="bottom"/>
          </w:tcPr>
          <w:p>
            <w:pPr>
              <w:pStyle w:val="TableContents"/>
              <w:bidi w:val="0"/>
              <w:spacing w:before="0" w:after="283"/>
              <w:jc w:val="left"/>
              <w:rPr/>
            </w:pPr>
            <w:r>
              <w:rPr/>
              <w:t> </w:t>
            </w:r>
          </w:p>
        </w:tc>
      </w:tr>
      <w:tr>
        <w:trPr/>
        <w:tc>
          <w:tcPr>
            <w:tcW w:w="456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9" w:type="dxa"/>
            <w:tcBorders/>
            <w:vAlign w:val="bottom"/>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75,475</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64,558</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23,150</w:t>
            </w:r>
          </w:p>
        </w:tc>
        <w:tc>
          <w:tcPr>
            <w:tcW w:w="69" w:type="dxa"/>
            <w:tcBorders/>
            <w:shd w:fill="CCEEFF" w:val="clear"/>
            <w:vAlign w:val="bottom"/>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Issuances</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Revaluations included in earnings, net</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(5,412</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10,917</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41,408</w:t>
            </w:r>
          </w:p>
        </w:tc>
        <w:tc>
          <w:tcPr>
            <w:tcW w:w="69" w:type="dxa"/>
            <w:tcBorders/>
            <w:shd w:fill="CCEEFF" w:val="clear"/>
            <w:vAlign w:val="bottom"/>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Exercises</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Forfeitures/expirations</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Reclassifications to equity</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(70,063</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56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75,475</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64,558</w:t>
            </w:r>
          </w:p>
        </w:tc>
        <w:tc>
          <w:tcPr>
            <w:tcW w:w="69" w:type="dxa"/>
            <w:tcBorders/>
            <w:shd w:fill="CCEEFF" w:val="clear"/>
            <w:vAlign w:val="bottom"/>
          </w:tcPr>
          <w:p>
            <w:pPr>
              <w:pStyle w:val="TableContents"/>
              <w:bidi w:val="0"/>
              <w:spacing w:before="0" w:after="283"/>
              <w:jc w:val="left"/>
              <w:rPr/>
            </w:pPr>
            <w:r>
              <w:rPr/>
              <w:t> </w:t>
            </w:r>
          </w:p>
        </w:tc>
      </w:tr>
      <w:tr>
        <w:trPr/>
        <w:tc>
          <w:tcPr>
            <w:tcW w:w="456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exercises of Creditor Warrants during the years ended December 31, 2024, 2023 and 2022. See Note 13 for further discussion related to the Creditor Warrants and the Company’s tender offer to purchase certain equity instruments for cash that was completed on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13. Stockholders’ Equity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up to 50,000,000 shares of common stock, $0.00001 par value per share. The Company had issued and outstanding common shares totaling 5.4 million and 5.6 million as of December 31,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Jones Act Warrants </w:t>
      </w:r>
    </w:p>
    <w:p>
      <w:pPr>
        <w:pStyle w:val="TextBody"/>
        <w:bidi w:val="0"/>
        <w:spacing w:before="120" w:after="0"/>
        <w:jc w:val="left"/>
        <w:rPr>
          <w:rFonts w:ascii="Times New Roman" w:hAnsi="Times New Roman"/>
          <w:sz w:val="20"/>
        </w:rPr>
      </w:pPr>
      <w:r>
        <w:rPr>
          <w:rFonts w:ascii="Times New Roman" w:hAnsi="Times New Roman"/>
          <w:sz w:val="20"/>
        </w:rPr>
        <w:t xml:space="preserve">The Jones Act, which applies to companies that engage in U.S. coastwise trade, requires that, among other things, the aggregate ownership of common stock by non-U.S. citizens be not more than 25% of the Company’s outstanding common stock. On September 4, 2020, in order to comply with the Jones Act, the Company entered into the Jones Act Warrant Agreement, pursuant to which the Company issued 10.5 million Jones Act Warrants to eligible non-U.S. citizens in settlement of certain then-existing liabilities and in connection with an equity rights offering. As part of a preemptive rights offering, the Company issued an additional 1.6 million Jones Act Warrants on December 22, 2021. As of December 31, 2024, holders of the Jones Act Warrants are entitled to acquire up to 10.5 million shares of common stock in the aggregate at an exercise price of $0.00001 per share, subject to the U.S. citizen determination procedures and an adjustment as described in the Jones Act Warrant Agreement. There were no exercises of Jones Act Warrants during the years ended December 31, 2024 and 2023. </w:t>
      </w:r>
    </w:p>
    <w:p>
      <w:pPr>
        <w:pStyle w:val="TextBody"/>
        <w:bidi w:val="0"/>
        <w:spacing w:before="240" w:after="0"/>
        <w:jc w:val="left"/>
        <w:rPr>
          <w:rFonts w:ascii="Times New Roman" w:hAnsi="Times New Roman"/>
          <w:sz w:val="20"/>
        </w:rPr>
      </w:pPr>
      <w:r>
        <w:rPr>
          <w:rFonts w:ascii="Times New Roman" w:hAnsi="Times New Roman"/>
          <w:sz w:val="20"/>
        </w:rPr>
        <w:t xml:space="preserve">On December 31, 2020, the Jones Act Warrant Agreement was amended to remove certain anti-dilution provisions. As a result, the Jones Act Warrants are effectively indexed to the Company’s common stock and are thus classified as stockholders’ equity at their fair value on the date of the amendment for then-outstanding warrants or on the date of issuance for all subsequent issuances, which totaled $111.5 million and $119.9 million as of December 31,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Creditor Warrants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2020, the Company entered into the Creditor Warrant Agreement, pursuant to which the Company issued 1.6 million Creditor Warrants. Subject to adjustment, if applicable, the Creditor Warrants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exercisable at $27.83 per share, which was based on an enterprise value of $621.2 million, for seven years from September 4, 2020 for: (i) one share of common stock per Creditor Warrant, or up to 1.6 million shares in the aggregate, or (ii) one Jones Act Warrant in lieu of common stock if the holder cannot establish, at the time of exercise, that it is a U.S. Citizen and conversion of the Creditor Warrant would result in a violation of the Jones Act. </w:t>
      </w:r>
    </w:p>
    <w:p>
      <w:pPr>
        <w:pStyle w:val="TextBody"/>
        <w:bidi w:val="0"/>
        <w:spacing w:before="240" w:after="0"/>
        <w:jc w:val="left"/>
        <w:rPr>
          <w:rFonts w:ascii="Times New Roman" w:hAnsi="Times New Roman"/>
          <w:sz w:val="20"/>
        </w:rPr>
      </w:pPr>
      <w:r>
        <w:rPr>
          <w:rFonts w:ascii="Times New Roman" w:hAnsi="Times New Roman"/>
          <w:sz w:val="20"/>
        </w:rPr>
        <w:t xml:space="preserve">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warrant shall be, immediately after such event, exercisable for the shares or other securities the warrant holder would have been entitled to had the warrant been exercised prior to the event.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the Creditor Warrant Agreement was amended to remove certain anti-dilution provisions. As a result, the Creditor Warrants are effectively indexed to the Company’s common stock and are thus classified as stockholders’ equity at their fair value on the date of the amendment for the then-outstanding warrants, which totaled $67.7 million as of December 31, 2024, or on the date of issuance for all subsequent issuances.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Tender Offer </w:t>
      </w:r>
    </w:p>
    <w:p>
      <w:pPr>
        <w:pStyle w:val="TextBody"/>
        <w:bidi w:val="0"/>
        <w:spacing w:before="120" w:after="0"/>
        <w:jc w:val="left"/>
        <w:rPr>
          <w:rFonts w:ascii="Times New Roman" w:hAnsi="Times New Roman"/>
          <w:sz w:val="20"/>
        </w:rPr>
      </w:pPr>
      <w:r>
        <w:rPr>
          <w:rFonts w:ascii="Times New Roman" w:hAnsi="Times New Roman"/>
          <w:sz w:val="20"/>
        </w:rPr>
        <w:t xml:space="preserve">On December 12, 2024, the Company commenced a tender offer to purchase for cash certain of its equity securities at a unit price of $65.67. As a result of the tender offer, the Company purchased 274,614 shares of common stock, 883,303 Jones Act Warrants and 62,294 Creditor Warrants for an aggregate purchase price of $78.4 million on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2021, the Company concluded a preemptive rights offering of equity to certain eligible stockholders and Jones Act Warrant holders. As a result, the Company received gross cash proceeds of $20.0 million and converted $15.0 million in the aggregate principal amount of the Second Lien Term Loans in lieu of cash for the issuance of 182,987 shares of common stock and 1.6 million Jones Act Warrants at a purchase price of $20.00 per share or warrant. The Company incurred $0.9 million in direct incremental issuance costs that were recorded as a reduction of additional paid-in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the Company established the Stock Purchase Plan, or SPP, to promote investment in the Company by directors and executives and to advance the interests of the Company and its stockholders by attracting, retaining and motivating key personnel. Concurrent with the closing of the preemptive rights offering on December 22, 2021, the Company issued 100,745 shares of common stock under the SPP for gross cash proceeds of $2.0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14.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Incentive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December 31, 2024, there were 2.1 million shares reserved for issuance related to granted awards and 0.1 million shares available for future grants to eligible individuals under the MIP.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December 2024, the Company commenced a tender offer to purchase for cash, among other shares, both unvested and vested, unsettled restricted stock units and stock options that were issued through the MIP. As a result, the Company cash settled 114,634 outstanding equity incentive awards with employees and directors for $7.1 million on December 31, 2024. In doing so, the Company accelerated unamortized stock-based compensation expense of $0.8 million related to the repurchased MIP awards and recorded additional stock-based compensation expense of $0.8 million for the excess of the purchase price over the fair value of the repurchased MIP awards.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impact of stock-based compensation expense related to the MIP on the Company’s operating results is reflected in the table below (in thousands, except for per share data):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48"/>
        <w:gridCol w:w="337"/>
        <w:gridCol w:w="140"/>
        <w:gridCol w:w="560"/>
        <w:gridCol w:w="60"/>
        <w:gridCol w:w="337"/>
        <w:gridCol w:w="140"/>
        <w:gridCol w:w="689"/>
        <w:gridCol w:w="60"/>
        <w:gridCol w:w="337"/>
        <w:gridCol w:w="140"/>
        <w:gridCol w:w="560"/>
        <w:gridCol w:w="64"/>
      </w:tblGrid>
      <w:tr>
        <w:trPr/>
        <w:tc>
          <w:tcPr>
            <w:tcW w:w="5148"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48"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02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taxes</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9,384</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19,097</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5,330</w:t>
            </w:r>
          </w:p>
        </w:tc>
        <w:tc>
          <w:tcPr>
            <w:tcW w:w="64" w:type="dxa"/>
            <w:tcBorders/>
            <w:shd w:fill="CCEEFF" w:val="clear"/>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4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8,256</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15,637</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4,895</w:t>
            </w:r>
          </w:p>
        </w:tc>
        <w:tc>
          <w:tcPr>
            <w:tcW w:w="64" w:type="dxa"/>
            <w:tcBorders/>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common share:</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0.48</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0.92</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0.29</w:t>
            </w:r>
          </w:p>
        </w:tc>
        <w:tc>
          <w:tcPr>
            <w:tcW w:w="64" w:type="dxa"/>
            <w:tcBorders/>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0.43</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0.82</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0.27</w:t>
            </w:r>
          </w:p>
        </w:tc>
        <w:tc>
          <w:tcPr>
            <w:tcW w:w="64" w:type="dxa"/>
            <w:tcBorders/>
            <w:shd w:fill="CCEEFF" w:val="clear"/>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MIP allows the Company to issue restricted stock units with either time-based or market-based vesting provisions. As of December 31, 2024, the Company had granted both types of restricted stock unit awards. The time-based restricted stock unit awards that were granted generally vest over a three-year period for employees and a one-year period for directors. Compensation expense related to time-based restricted stock unit awards, which is amortized over the applicable one- to three-year vesting period, is determined based on the fair value of the Company’s common stock on the date of grant applied to the total shares that are expected to fully vest. The market-based restricted stock unit awards that were granted vest based on the Company’s achievement of certain levels of total enterprise value as of the applicable vesting date. These market-based conditions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shares that could be received by an award recipient upon settlement of the market-based restricted stock unit award can range from 0% to 100% of the award depending on the actual level of total enterprise value attained by the Company on the applicable measurement date. Compensation expense related to market-based restricted stock unit awards is recognized over the period the restrictions lapse based on the fair value of the awards on the grant date applied to the shares that are expected to vest. The outstanding market-based awards are currently being amortized over an approximate five-year period that commenced on their grant date in June 2022.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has unamortized stock-based compensation expense of $5.7 million related to the time-based and market-based restricted stock units, which will be recognized on a straight-line basis over the remaining weighted-average vesting period, or 1.6 years. The Company has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approximately $8.4 million, $18.7 million and $5.0 million of non-cash incentive compensation expense for the years ended December 31, 2024, 2023 and 2022, respectively, associated with restricted stock unit awards. Included in the 2024 non-cash incentive compensation expense for 2024 was $0.7 million for the acceleration of unamortized stock-based compensation expense related to the repurchased MIP awards and $0.2 million of additional stock-based compensation expense for the excess of the purchase price over the fair value of the repurchased MIP awards. As of December 31, 2024 and 2023, the Company had $0.0 million and $0.2 million of restricted stock awards redeemable in cash classified as other accrued liabilities on the balance sheet, respectively. The impact of the mark-to-market adjustment on stock-based compensation expense from such awards was ($0.1) million, $0.3 million and $0.0 million for the years ended December 31, 2024,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unit awards activity during the year ended December 31, 2024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10"/>
        <w:gridCol w:w="530"/>
        <w:gridCol w:w="181"/>
        <w:gridCol w:w="1724"/>
        <w:gridCol w:w="155"/>
        <w:gridCol w:w="530"/>
        <w:gridCol w:w="407"/>
        <w:gridCol w:w="1654"/>
        <w:gridCol w:w="64"/>
      </w:tblGrid>
      <w:tr>
        <w:trPr/>
        <w:tc>
          <w:tcPr>
            <w:tcW w:w="2510"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Avg. Fair</w:t>
              <w:br/>
              <w:t>Value Per Share</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 awards as of January 1, 2024</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1,193</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1654" w:type="dxa"/>
            <w:tcBorders/>
            <w:shd w:fill="CCEEFF" w:val="clear"/>
            <w:vAlign w:val="bottom"/>
          </w:tcPr>
          <w:p>
            <w:pPr>
              <w:pStyle w:val="TableContents"/>
              <w:bidi w:val="0"/>
              <w:spacing w:before="0" w:after="283"/>
              <w:jc w:val="right"/>
              <w:rPr/>
            </w:pPr>
            <w:r>
              <w:rPr/>
              <w:t>23.20</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period</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62.22</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Cancellations during the period</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Vested and settled during the period</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(146</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49.08</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Repurchased during the period</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42.85</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982</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w:t>
            </w:r>
          </w:p>
        </w:tc>
        <w:tc>
          <w:tcPr>
            <w:tcW w:w="1654" w:type="dxa"/>
            <w:tcBorders/>
            <w:vAlign w:val="bottom"/>
          </w:tcPr>
          <w:p>
            <w:pPr>
              <w:pStyle w:val="TableContents"/>
              <w:bidi w:val="0"/>
              <w:spacing w:before="0" w:after="283"/>
              <w:jc w:val="right"/>
              <w:rPr/>
            </w:pPr>
            <w:r>
              <w:rPr/>
              <w:t>18.26</w:t>
            </w:r>
          </w:p>
        </w:tc>
        <w:tc>
          <w:tcPr>
            <w:tcW w:w="64"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7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unit awards activity during the year ended December 31, 2023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10"/>
        <w:gridCol w:w="530"/>
        <w:gridCol w:w="181"/>
        <w:gridCol w:w="1724"/>
        <w:gridCol w:w="155"/>
        <w:gridCol w:w="530"/>
        <w:gridCol w:w="407"/>
        <w:gridCol w:w="1654"/>
        <w:gridCol w:w="64"/>
      </w:tblGrid>
      <w:tr>
        <w:trPr/>
        <w:tc>
          <w:tcPr>
            <w:tcW w:w="2510"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Avg. Fair</w:t>
              <w:br/>
              <w:t>Value Per Share</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 awards as of January 1, 2023</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1,065</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1654" w:type="dxa"/>
            <w:tcBorders/>
            <w:shd w:fill="CCEEFF" w:val="clear"/>
            <w:vAlign w:val="bottom"/>
          </w:tcPr>
          <w:p>
            <w:pPr>
              <w:pStyle w:val="TableContents"/>
              <w:bidi w:val="0"/>
              <w:spacing w:before="0" w:after="283"/>
              <w:jc w:val="right"/>
              <w:rPr/>
            </w:pPr>
            <w:r>
              <w:rPr/>
              <w:t>18.80</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period</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53.90</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Cancellations during the period</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Vested and settled during the period</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(265</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51.08</w:t>
            </w:r>
          </w:p>
        </w:tc>
        <w:tc>
          <w:tcPr>
            <w:tcW w:w="64"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1,193</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1654" w:type="dxa"/>
            <w:tcBorders/>
            <w:shd w:fill="CCEEFF" w:val="clear"/>
            <w:vAlign w:val="bottom"/>
          </w:tcPr>
          <w:p>
            <w:pPr>
              <w:pStyle w:val="TableContents"/>
              <w:bidi w:val="0"/>
              <w:spacing w:before="0" w:after="283"/>
              <w:jc w:val="right"/>
              <w:rPr/>
            </w:pPr>
            <w:r>
              <w:rPr/>
              <w:t>23.20</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7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grant stock options under the MIP that have an exercise price no less than 100% of the fair market value of the Company’s common stock on the date of grant and expire ten years after the date of grant. The Company has granted stock options that are subject to both time-based and market-based vesting provisions. The outstanding stock options were subject to a three-year time-vest condition that commenced on their grant date in September 2020 and was satisfied in September 2023. The market-based vesting provision requires the Company to achieve certain levels of total enterprise value and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stock options that could be received by an award recipient of the market-based stock options can range from 0% to 100% of the award depending on the actual level of total enterprise value attained by the Company on the applicable measurement date. Vesting is generally subject to the grantee’s continued employment through the applicable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has unamortized stock-based compensation expense of $0.9 million related to such stock options, which will be recognized on a straight-line basis over the remaining vesting period, or 2.5 years. The Company has recorded approximately $1.0 million, $0.4 million, and $0.4 million of non-cash incentive compensation expense for the years ended December 31, 2024, 2023 and 2022, respectively, associated with stock options. Included in the 2024 non-cash incentive compensation expense for 2024 was $0.1 million for the acceleration of unamortized stock-based compensation expense related to the repurchased MIP stock options and $0.6 million of additional stock-based compensation expense for the excess of the purchase price over the fair value of the repurchased MIP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represents the Company’s stock option activity for the year ended December 31, 2024 (in thousands, except per share data and years):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73"/>
        <w:gridCol w:w="356"/>
        <w:gridCol w:w="119"/>
        <w:gridCol w:w="778"/>
        <w:gridCol w:w="155"/>
        <w:gridCol w:w="356"/>
        <w:gridCol w:w="199"/>
        <w:gridCol w:w="813"/>
        <w:gridCol w:w="60"/>
        <w:gridCol w:w="356"/>
        <w:gridCol w:w="170"/>
        <w:gridCol w:w="1100"/>
        <w:gridCol w:w="60"/>
        <w:gridCol w:w="356"/>
        <w:gridCol w:w="181"/>
        <w:gridCol w:w="892"/>
        <w:gridCol w:w="64"/>
      </w:tblGrid>
      <w:tr>
        <w:trPr/>
        <w:tc>
          <w:tcPr>
            <w:tcW w:w="3373"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73"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Shares</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4" w:type="dxa"/>
            <w:tcBorders/>
            <w:vAlign w:val="bottom"/>
          </w:tcPr>
          <w:p>
            <w:pPr>
              <w:pStyle w:val="TableContents"/>
              <w:bidi w:val="0"/>
              <w:spacing w:before="0" w:after="283"/>
              <w:jc w:val="left"/>
              <w:rPr/>
            </w:pPr>
            <w:r>
              <w:rPr/>
              <w:t> </w:t>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 at January 1, 2024</w:t>
            </w:r>
          </w:p>
        </w:tc>
        <w:tc>
          <w:tcPr>
            <w:tcW w:w="35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34,224</w:t>
            </w:r>
          </w:p>
        </w:tc>
        <w:tc>
          <w:tcPr>
            <w:tcW w:w="64" w:type="dxa"/>
            <w:tcBorders/>
            <w:shd w:fill="CCEEFF" w:val="clear"/>
            <w:vAlign w:val="bottom"/>
          </w:tcPr>
          <w:p>
            <w:pPr>
              <w:pStyle w:val="TableContents"/>
              <w:bidi w:val="0"/>
              <w:spacing w:before="0" w:after="283"/>
              <w:jc w:val="left"/>
              <w:rPr/>
            </w:pPr>
            <w:r>
              <w:rPr/>
              <w:t> </w:t>
            </w:r>
          </w:p>
        </w:tc>
      </w:tr>
      <w:tr>
        <w:trPr/>
        <w:tc>
          <w:tcPr>
            <w:tcW w:w="3373"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period</w:t>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 during the period</w:t>
            </w:r>
          </w:p>
        </w:tc>
        <w:tc>
          <w:tcPr>
            <w:tcW w:w="35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373"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expired during the period</w:t>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Repurchased during the period</w:t>
            </w:r>
          </w:p>
        </w:tc>
        <w:tc>
          <w:tcPr>
            <w:tcW w:w="35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2,131</w:t>
            </w:r>
          </w:p>
        </w:tc>
        <w:tc>
          <w:tcPr>
            <w:tcW w:w="64" w:type="dxa"/>
            <w:tcBorders/>
            <w:shd w:fill="CCEEFF" w:val="clear"/>
            <w:vAlign w:val="bottom"/>
          </w:tcPr>
          <w:p>
            <w:pPr>
              <w:pStyle w:val="TableContents"/>
              <w:bidi w:val="0"/>
              <w:spacing w:before="0" w:after="283"/>
              <w:jc w:val="left"/>
              <w:rPr/>
            </w:pPr>
            <w:r>
              <w:rPr/>
              <w:t> </w:t>
            </w:r>
          </w:p>
        </w:tc>
      </w:tr>
      <w:tr>
        <w:trPr/>
        <w:tc>
          <w:tcPr>
            <w:tcW w:w="33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outstanding at December 31, 2024</w:t>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560</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31,586</w:t>
            </w:r>
          </w:p>
        </w:tc>
        <w:tc>
          <w:tcPr>
            <w:tcW w:w="64" w:type="dxa"/>
            <w:tcBorders/>
            <w:vAlign w:val="bottom"/>
          </w:tcPr>
          <w:p>
            <w:pPr>
              <w:pStyle w:val="TableContents"/>
              <w:bidi w:val="0"/>
              <w:spacing w:before="0" w:after="283"/>
              <w:jc w:val="left"/>
              <w:rPr/>
            </w:pPr>
            <w:r>
              <w:rPr/>
              <w:t> </w:t>
            </w:r>
          </w:p>
        </w:tc>
      </w:tr>
      <w:tr>
        <w:trPr/>
        <w:tc>
          <w:tcPr>
            <w:tcW w:w="33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stock options outstanding at December 31, 2024</w:t>
            </w:r>
          </w:p>
        </w:tc>
        <w:tc>
          <w:tcPr>
            <w:tcW w:w="35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3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represents the Company’s stock option activity for the year ended December 31, 2023 (in thousands, except per share data and years):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44"/>
        <w:gridCol w:w="363"/>
        <w:gridCol w:w="119"/>
        <w:gridCol w:w="777"/>
        <w:gridCol w:w="60"/>
        <w:gridCol w:w="363"/>
        <w:gridCol w:w="199"/>
        <w:gridCol w:w="811"/>
        <w:gridCol w:w="60"/>
        <w:gridCol w:w="363"/>
        <w:gridCol w:w="170"/>
        <w:gridCol w:w="1098"/>
        <w:gridCol w:w="60"/>
        <w:gridCol w:w="363"/>
        <w:gridCol w:w="182"/>
        <w:gridCol w:w="890"/>
        <w:gridCol w:w="66"/>
      </w:tblGrid>
      <w:tr>
        <w:trPr/>
        <w:tc>
          <w:tcPr>
            <w:tcW w:w="3444"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44"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Shares</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rPr/>
            </w:pPr>
            <w:r>
              <w:rPr/>
              <w:t> </w:t>
            </w:r>
          </w:p>
        </w:tc>
      </w:tr>
      <w:tr>
        <w:trPr/>
        <w:tc>
          <w:tcPr>
            <w:tcW w:w="34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 at January 1, 2023</w:t>
            </w:r>
          </w:p>
        </w:tc>
        <w:tc>
          <w:tcPr>
            <w:tcW w:w="36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598</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27,227</w:t>
            </w:r>
          </w:p>
        </w:tc>
        <w:tc>
          <w:tcPr>
            <w:tcW w:w="66" w:type="dxa"/>
            <w:tcBorders/>
            <w:shd w:fill="CCEEFF" w:val="clear"/>
            <w:vAlign w:val="bottom"/>
          </w:tcPr>
          <w:p>
            <w:pPr>
              <w:pStyle w:val="TableContents"/>
              <w:bidi w:val="0"/>
              <w:spacing w:before="0" w:after="283"/>
              <w:jc w:val="left"/>
              <w:rPr/>
            </w:pPr>
            <w:r>
              <w:rPr/>
              <w:t> </w:t>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period</w:t>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4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 during the period</w:t>
            </w:r>
          </w:p>
        </w:tc>
        <w:tc>
          <w:tcPr>
            <w:tcW w:w="36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expired during the period</w:t>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4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 at December 31, 2023</w:t>
            </w:r>
          </w:p>
        </w:tc>
        <w:tc>
          <w:tcPr>
            <w:tcW w:w="36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598</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34,224</w:t>
            </w:r>
          </w:p>
        </w:tc>
        <w:tc>
          <w:tcPr>
            <w:tcW w:w="66" w:type="dxa"/>
            <w:tcBorders/>
            <w:shd w:fill="CCEEFF" w:val="clear"/>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stock options outstanding at December 31, 2023</w:t>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15.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net long-term deferred tax liabilities in the accompanying consolidated balance sheets included the following components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14"/>
        <w:gridCol w:w="495"/>
        <w:gridCol w:w="140"/>
        <w:gridCol w:w="879"/>
        <w:gridCol w:w="155"/>
        <w:gridCol w:w="495"/>
        <w:gridCol w:w="140"/>
        <w:gridCol w:w="879"/>
        <w:gridCol w:w="158"/>
      </w:tblGrid>
      <w:tr>
        <w:trPr/>
        <w:tc>
          <w:tcPr>
            <w:tcW w:w="4414"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4"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26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Deferred charges and other liabilities</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27,218</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8,081</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 (1)</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40,132</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67,350</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8,081</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Fixed assets (1)</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(13,572</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(97,270</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(93,865</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(2,534</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(1,818</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(3,304</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(3,577</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Tax original issue discount and restructuring costs</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(1,757</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(7,396</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liability</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(75,087</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(69,397</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Foreign tax credit carryforward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(34,796</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(31,423</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limitation</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(39,896</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(34,882</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(27,266</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(14,751</w:t>
            </w:r>
          </w:p>
        </w:tc>
        <w:tc>
          <w:tcPr>
            <w:tcW w:w="158" w:type="dxa"/>
            <w:tcBorders/>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(281,910</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(270,681</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220,609</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264,596</w:t>
            </w:r>
          </w:p>
        </w:tc>
        <w:tc>
          <w:tcPr>
            <w:tcW w:w="158" w:type="dxa"/>
            <w:tcBorders/>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 net</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6,049</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1,996</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Deferred taxes associated with fixed assets flipped from an asset in 2023 to a liability in 2024 primarily due to bonus depreciation elections taken.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the income tax expense in the accompanying consolidated statements of operations were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28"/>
        <w:gridCol w:w="334"/>
        <w:gridCol w:w="140"/>
        <w:gridCol w:w="690"/>
        <w:gridCol w:w="60"/>
        <w:gridCol w:w="334"/>
        <w:gridCol w:w="140"/>
        <w:gridCol w:w="690"/>
        <w:gridCol w:w="60"/>
        <w:gridCol w:w="334"/>
        <w:gridCol w:w="140"/>
        <w:gridCol w:w="560"/>
        <w:gridCol w:w="62"/>
      </w:tblGrid>
      <w:tr>
        <w:trPr/>
        <w:tc>
          <w:tcPr>
            <w:tcW w:w="5028"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2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314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2" w:type="dxa"/>
            <w:tcBorders/>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2" w:type="dxa"/>
            <w:tcBorders/>
            <w:vAlign w:val="bottom"/>
          </w:tcPr>
          <w:p>
            <w:pPr>
              <w:pStyle w:val="TableContents"/>
              <w:bidi w:val="0"/>
              <w:spacing w:before="0" w:after="283"/>
              <w:jc w:val="left"/>
              <w:rPr/>
            </w:pPr>
            <w:r>
              <w:rPr/>
              <w:t> </w:t>
            </w:r>
          </w:p>
        </w:tc>
      </w:tr>
      <w:tr>
        <w:trPr/>
        <w:tc>
          <w:tcPr>
            <w:tcW w:w="50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tax expense:</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U.S.—federal and state</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7,986</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15,122</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7,119</w:t>
            </w:r>
          </w:p>
        </w:tc>
        <w:tc>
          <w:tcPr>
            <w:tcW w:w="62" w:type="dxa"/>
            <w:tcBorders/>
            <w:shd w:fill="CCEEFF" w:val="clear"/>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Current tax expense</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8,075</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15,155</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7,119</w:t>
            </w:r>
          </w:p>
        </w:tc>
        <w:tc>
          <w:tcPr>
            <w:tcW w:w="62" w:type="dxa"/>
            <w:tcBorders/>
            <w:vAlign w:val="bottom"/>
          </w:tcPr>
          <w:p>
            <w:pPr>
              <w:pStyle w:val="TableContents"/>
              <w:bidi w:val="0"/>
              <w:spacing w:before="0" w:after="283"/>
              <w:jc w:val="left"/>
              <w:rPr/>
            </w:pPr>
            <w:r>
              <w:rPr/>
              <w:t> </w:t>
            </w:r>
          </w:p>
        </w:tc>
      </w:tr>
      <w:tr>
        <w:trPr/>
        <w:tc>
          <w:tcPr>
            <w:tcW w:w="50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expense:</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U.S.—federal and state</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4,203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1,340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5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404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expense</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4,607</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1,340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tax expense</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12,682</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16,495</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7,174</w:t>
            </w:r>
          </w:p>
        </w:tc>
        <w:tc>
          <w:tcPr>
            <w:tcW w:w="62" w:type="dxa"/>
            <w:tcBorders/>
            <w:shd w:fill="CCEEFF" w:val="clear"/>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from operations before income taxes, based on jurisdiction earned, was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75"/>
        <w:gridCol w:w="325"/>
        <w:gridCol w:w="140"/>
        <w:gridCol w:w="825"/>
        <w:gridCol w:w="60"/>
        <w:gridCol w:w="325"/>
        <w:gridCol w:w="140"/>
        <w:gridCol w:w="695"/>
        <w:gridCol w:w="60"/>
        <w:gridCol w:w="325"/>
        <w:gridCol w:w="140"/>
        <w:gridCol w:w="695"/>
        <w:gridCol w:w="67"/>
      </w:tblGrid>
      <w:tr>
        <w:trPr/>
        <w:tc>
          <w:tcPr>
            <w:tcW w:w="477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7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34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w:t>
            </w:r>
          </w:p>
        </w:tc>
        <w:tc>
          <w:tcPr>
            <w:tcW w:w="67"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4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76,876</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65,022</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73,563</w:t>
            </w:r>
          </w:p>
        </w:tc>
        <w:tc>
          <w:tcPr>
            <w:tcW w:w="67" w:type="dxa"/>
            <w:tcBorders/>
            <w:shd w:fill="CCEEFF" w:val="clear"/>
            <w:vAlign w:val="bottom"/>
          </w:tcPr>
          <w:p>
            <w:pPr>
              <w:pStyle w:val="TableContents"/>
              <w:bidi w:val="0"/>
              <w:spacing w:before="0" w:after="283"/>
              <w:jc w:val="left"/>
              <w:rPr/>
            </w:pPr>
            <w:r>
              <w:rPr/>
              <w:t> </w:t>
            </w:r>
          </w:p>
        </w:tc>
      </w:tr>
      <w:tr>
        <w:trPr/>
        <w:tc>
          <w:tcPr>
            <w:tcW w:w="4775"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28,608</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26,011</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14,373</w:t>
            </w:r>
          </w:p>
        </w:tc>
        <w:tc>
          <w:tcPr>
            <w:tcW w:w="67"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income from operations before income taxes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105,484</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91,033</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87,936</w:t>
            </w:r>
          </w:p>
        </w:tc>
        <w:tc>
          <w:tcPr>
            <w:tcW w:w="67"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2024, the Company had net operating loss carryforwards,or NOLs, which can only be utilized if the Company generates taxable income in the respective tax jurisdiction prior to their expiration. The following table represents the Company’s NOLs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09"/>
        <w:gridCol w:w="444"/>
        <w:gridCol w:w="291"/>
        <w:gridCol w:w="1767"/>
        <w:gridCol w:w="60"/>
        <w:gridCol w:w="444"/>
        <w:gridCol w:w="95"/>
        <w:gridCol w:w="1781"/>
        <w:gridCol w:w="64"/>
      </w:tblGrid>
      <w:tr>
        <w:trPr/>
        <w:tc>
          <w:tcPr>
            <w:tcW w:w="2809"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09" w:type="dxa"/>
            <w:tcBorders/>
            <w:vAlign w:val="bottom"/>
          </w:tcPr>
          <w:p>
            <w:pPr>
              <w:pStyle w:val="TableContents"/>
              <w:bidi w:val="0"/>
              <w:spacing w:before="0" w:after="283"/>
              <w:jc w:val="left"/>
              <w:rPr>
                <w:b/>
              </w:rPr>
            </w:pPr>
            <w:r>
              <w:rPr>
                <w:b/>
              </w:rPr>
              <w:t>Jurisdiction</w:t>
            </w:r>
          </w:p>
        </w:tc>
        <w:tc>
          <w:tcPr>
            <w:tcW w:w="444" w:type="dxa"/>
            <w:tcBorders/>
            <w:vAlign w:val="bottom"/>
          </w:tcPr>
          <w:p>
            <w:pPr>
              <w:pStyle w:val="TableContents"/>
              <w:bidi w:val="0"/>
              <w:spacing w:before="0" w:after="283"/>
              <w:jc w:val="left"/>
              <w:rPr/>
            </w:pPr>
            <w:r>
              <w:rPr/>
              <w:t>  </w:t>
            </w:r>
          </w:p>
        </w:tc>
        <w:tc>
          <w:tcPr>
            <w:tcW w:w="2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 Years</w:t>
            </w:r>
          </w:p>
        </w:tc>
        <w:tc>
          <w:tcPr>
            <w:tcW w:w="64" w:type="dxa"/>
            <w:tcBorders/>
            <w:vAlign w:val="bottom"/>
          </w:tcPr>
          <w:p>
            <w:pPr>
              <w:pStyle w:val="TableContents"/>
              <w:bidi w:val="0"/>
              <w:spacing w:before="0" w:after="283"/>
              <w:jc w:val="left"/>
              <w:rPr/>
            </w:pPr>
            <w:r>
              <w:rPr/>
              <w:t> </w:t>
            </w:r>
          </w:p>
        </w:tc>
      </w:tr>
      <w:tr>
        <w:trPr/>
        <w:tc>
          <w:tcPr>
            <w:tcW w:w="28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States—federal</w:t>
            </w:r>
          </w:p>
        </w:tc>
        <w:tc>
          <w:tcPr>
            <w:tcW w:w="4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67" w:type="dxa"/>
            <w:tcBorders/>
            <w:shd w:fill="CCEEFF" w:val="clear"/>
            <w:vAlign w:val="bottom"/>
          </w:tcPr>
          <w:p>
            <w:pPr>
              <w:pStyle w:val="TableContents"/>
              <w:bidi w:val="0"/>
              <w:spacing w:before="0" w:after="283"/>
              <w:jc w:val="right"/>
              <w:rPr/>
            </w:pPr>
            <w:r>
              <w:rPr/>
              <w:t>280,763</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81" w:type="dxa"/>
            <w:tcBorders/>
            <w:shd w:fill="CCEEFF" w:val="clear"/>
            <w:vAlign w:val="bottom"/>
          </w:tcPr>
          <w:p>
            <w:pPr>
              <w:pStyle w:val="TableContents"/>
              <w:bidi w:val="0"/>
              <w:spacing w:before="0" w:after="283"/>
              <w:jc w:val="right"/>
              <w:rPr/>
            </w:pPr>
            <w:r>
              <w:rPr/>
              <w:t>None</w:t>
            </w:r>
          </w:p>
        </w:tc>
        <w:tc>
          <w:tcPr>
            <w:tcW w:w="64" w:type="dxa"/>
            <w:tcBorders/>
            <w:shd w:fill="CCEEFF" w:val="clear"/>
            <w:vAlign w:val="bottom"/>
          </w:tcPr>
          <w:p>
            <w:pPr>
              <w:pStyle w:val="TableContents"/>
              <w:bidi w:val="0"/>
              <w:spacing w:before="0" w:after="283"/>
              <w:jc w:val="left"/>
              <w:rPr/>
            </w:pPr>
            <w:r>
              <w:rPr/>
              <w:t> </w:t>
            </w:r>
          </w:p>
        </w:tc>
      </w:tr>
      <w:tr>
        <w:trPr/>
        <w:tc>
          <w:tcPr>
            <w:tcW w:w="2809" w:type="dxa"/>
            <w:tcBorders/>
          </w:tcPr>
          <w:p>
            <w:pPr>
              <w:pStyle w:val="TableContents"/>
              <w:bidi w:val="0"/>
              <w:spacing w:before="0" w:after="0"/>
              <w:jc w:val="left"/>
              <w:rPr>
                <w:rFonts w:ascii="Times New Roman" w:hAnsi="Times New Roman"/>
                <w:sz w:val="20"/>
              </w:rPr>
            </w:pPr>
            <w:r>
              <w:rPr>
                <w:rFonts w:ascii="Times New Roman" w:hAnsi="Times New Roman"/>
                <w:sz w:val="20"/>
              </w:rPr>
              <w:t>U.S. states</w:t>
            </w:r>
          </w:p>
        </w:tc>
        <w:tc>
          <w:tcPr>
            <w:tcW w:w="44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76,253</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81" w:type="dxa"/>
            <w:tcBorders/>
            <w:vAlign w:val="bottom"/>
          </w:tcPr>
          <w:p>
            <w:pPr>
              <w:pStyle w:val="TableContents"/>
              <w:bidi w:val="0"/>
              <w:spacing w:before="0" w:after="283"/>
              <w:jc w:val="right"/>
              <w:rPr/>
            </w:pPr>
            <w:r>
              <w:rPr/>
              <w:t>None</w:t>
            </w:r>
          </w:p>
        </w:tc>
        <w:tc>
          <w:tcPr>
            <w:tcW w:w="64" w:type="dxa"/>
            <w:tcBorders/>
            <w:vAlign w:val="bottom"/>
          </w:tcPr>
          <w:p>
            <w:pPr>
              <w:pStyle w:val="TableContents"/>
              <w:bidi w:val="0"/>
              <w:spacing w:before="0" w:after="283"/>
              <w:jc w:val="left"/>
              <w:rPr/>
            </w:pPr>
            <w:r>
              <w:rPr/>
              <w:t> </w:t>
            </w:r>
          </w:p>
        </w:tc>
      </w:tr>
      <w:tr>
        <w:trPr/>
        <w:tc>
          <w:tcPr>
            <w:tcW w:w="28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4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65,684</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81" w:type="dxa"/>
            <w:tcBorders/>
            <w:shd w:fill="CCEEFF" w:val="clear"/>
            <w:vAlign w:val="bottom"/>
          </w:tcPr>
          <w:p>
            <w:pPr>
              <w:pStyle w:val="TableContents"/>
              <w:bidi w:val="0"/>
              <w:spacing w:before="0" w:after="283"/>
              <w:jc w:val="right"/>
              <w:rPr/>
            </w:pPr>
            <w:r>
              <w:rPr/>
              <w:t>2027-2034</w:t>
            </w:r>
          </w:p>
        </w:tc>
        <w:tc>
          <w:tcPr>
            <w:tcW w:w="64" w:type="dxa"/>
            <w:tcBorders/>
            <w:shd w:fill="CCEEFF" w:val="clear"/>
            <w:vAlign w:val="bottom"/>
          </w:tcPr>
          <w:p>
            <w:pPr>
              <w:pStyle w:val="TableContents"/>
              <w:bidi w:val="0"/>
              <w:spacing w:before="0" w:after="283"/>
              <w:jc w:val="left"/>
              <w:rPr/>
            </w:pPr>
            <w:r>
              <w:rPr/>
              <w:t> </w:t>
            </w:r>
          </w:p>
        </w:tc>
      </w:tr>
      <w:tr>
        <w:trPr/>
        <w:tc>
          <w:tcPr>
            <w:tcW w:w="2809" w:type="dxa"/>
            <w:tcBorders/>
          </w:tcPr>
          <w:p>
            <w:pPr>
              <w:pStyle w:val="TableContents"/>
              <w:bidi w:val="0"/>
              <w:spacing w:before="0" w:after="0"/>
              <w:jc w:val="left"/>
              <w:rPr>
                <w:rFonts w:ascii="Times New Roman" w:hAnsi="Times New Roman"/>
                <w:sz w:val="20"/>
              </w:rPr>
            </w:pPr>
            <w:r>
              <w:rPr>
                <w:rFonts w:ascii="Times New Roman" w:hAnsi="Times New Roman"/>
                <w:sz w:val="20"/>
              </w:rPr>
              <w:t>Brazil (1)</w:t>
            </w:r>
          </w:p>
        </w:tc>
        <w:tc>
          <w:tcPr>
            <w:tcW w:w="44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15,100</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81" w:type="dxa"/>
            <w:tcBorders/>
            <w:vAlign w:val="bottom"/>
          </w:tcPr>
          <w:p>
            <w:pPr>
              <w:pStyle w:val="TableContents"/>
              <w:bidi w:val="0"/>
              <w:spacing w:before="0" w:after="283"/>
              <w:jc w:val="right"/>
              <w:rPr/>
            </w:pPr>
            <w:r>
              <w:rPr/>
              <w:t>None</w:t>
            </w:r>
          </w:p>
        </w:tc>
        <w:tc>
          <w:tcPr>
            <w:tcW w:w="64" w:type="dxa"/>
            <w:tcBorders/>
            <w:vAlign w:val="bottom"/>
          </w:tcPr>
          <w:p>
            <w:pPr>
              <w:pStyle w:val="TableContents"/>
              <w:bidi w:val="0"/>
              <w:spacing w:before="0" w:after="283"/>
              <w:jc w:val="left"/>
              <w:rPr/>
            </w:pPr>
            <w:r>
              <w:rPr/>
              <w:t> </w:t>
            </w:r>
          </w:p>
        </w:tc>
      </w:tr>
      <w:tr>
        <w:trPr/>
        <w:tc>
          <w:tcPr>
            <w:tcW w:w="28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Trinidad</w:t>
            </w:r>
          </w:p>
        </w:tc>
        <w:tc>
          <w:tcPr>
            <w:tcW w:w="4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30,924</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81" w:type="dxa"/>
            <w:tcBorders/>
            <w:shd w:fill="CCEEFF" w:val="clear"/>
            <w:vAlign w:val="bottom"/>
          </w:tcPr>
          <w:p>
            <w:pPr>
              <w:pStyle w:val="TableContents"/>
              <w:bidi w:val="0"/>
              <w:spacing w:before="0" w:after="283"/>
              <w:jc w:val="right"/>
              <w:rPr/>
            </w:pPr>
            <w:r>
              <w:rPr/>
              <w:t>None</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NOLs in Brazil can only be used to offset up to 30% of taxable income each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also has foreign tax credit carryforwards of approximately $32.0 million, which if not utilized will expire in 2027 through 2034. </w:t>
      </w:r>
    </w:p>
    <w:p>
      <w:pPr>
        <w:pStyle w:val="TextBody"/>
        <w:bidi w:val="0"/>
        <w:spacing w:before="240" w:after="0"/>
        <w:jc w:val="left"/>
        <w:rPr>
          <w:rFonts w:ascii="Times New Roman" w:hAnsi="Times New Roman"/>
          <w:sz w:val="20"/>
        </w:rPr>
      </w:pPr>
      <w:r>
        <w:rPr>
          <w:rFonts w:ascii="Times New Roman" w:hAnsi="Times New Roman"/>
          <w:sz w:val="20"/>
        </w:rPr>
        <w:t xml:space="preserve">IRC Sections 382 and 383 provide an annual limitation with respect to the ability of a corporation to utilize its tax attributes against future U.S. taxable income in the event of a change in ownership of more than 50%. The Company had a change in ownership during 2020 for purposes of IRC Sections 382 and 383, causing an annual limitation to apply to $56.8 million of U.S. federal NOLs. These federal NOLs, as well as other tax attributes, such as U.S. state NOLs or foreign tax credit carryforwards, could expire if unused due to the applicable annual limitations. </w:t>
      </w:r>
    </w:p>
    <w:p>
      <w:pPr>
        <w:pStyle w:val="TextBody"/>
        <w:bidi w:val="0"/>
        <w:spacing w:before="240" w:after="0"/>
        <w:jc w:val="left"/>
        <w:rPr>
          <w:rFonts w:ascii="Times New Roman" w:hAnsi="Times New Roman"/>
          <w:sz w:val="20"/>
        </w:rPr>
      </w:pPr>
      <w:r>
        <w:rPr>
          <w:rFonts w:ascii="Times New Roman" w:hAnsi="Times New Roman"/>
          <w:sz w:val="20"/>
        </w:rPr>
        <w:t xml:space="preserve">In recording a valuation allowance with respect to such NOLs and foreign tax credits, the Company assessed the favorable and unfavorable evidence to estimate whether sufficient future taxable income will be generated to permit use of the existing deferred tax assets. A significant piece of the unfavorable evidence evaluated during the fourth quarter of 2022 was the cumulative pre-tax loss that was incurred over the three-year period ended December 31, 2022. Such objective evidence limits the ability to consider other subjective evidence, such as the Company’s projections of future earnings. As of December 31, 2024, the Company is no longer in a three-year cumulative pre-tax loss position. However, the Company has concluded that it is proper to provide valuation allowances against most of its deferred tax assets, as significant unfavorable evidence currently outweighs positive evidence. Positive evidence of an improving market and increasing dayrates currently does not outweigh unfavorable evidence such as the Section 382 and 383 limitations on tax attributes, possible tax legislation allowing for accelerated tax deductions and potential incremental tax losses, entering new markets with increased operational risks, and the inherent volatility and unpredictability of taxable income forecasts associated with the oil and gas industry and, more recently, the offshore wind industry. As of December 31, 2024 and 2023, the Company had valuation allowances of $220.6 million and $264.6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 longer subject to tax audits being initiated by U.S. federal, state, local or foreign taxing authorities for years prior to 2020. The Company has ongoing examinations by various foreign tax authorities for earlier periods, but does not believe that the results of those examinations will have a material adverse effect on the Company’s financial position or results of operations. Please see Note 17 for further discussion regarding the relevant ongoing foreign tax examinations.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reconciles the difference between the Company’s income tax provision calculated at the federal statutory rate of 21% and the actual income tax provision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93"/>
        <w:gridCol w:w="344"/>
        <w:gridCol w:w="140"/>
        <w:gridCol w:w="784"/>
        <w:gridCol w:w="159"/>
        <w:gridCol w:w="344"/>
        <w:gridCol w:w="140"/>
        <w:gridCol w:w="680"/>
        <w:gridCol w:w="159"/>
        <w:gridCol w:w="344"/>
        <w:gridCol w:w="140"/>
        <w:gridCol w:w="784"/>
        <w:gridCol w:w="161"/>
      </w:tblGrid>
      <w:tr>
        <w:trPr/>
        <w:tc>
          <w:tcPr>
            <w:tcW w:w="4393"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93"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6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w:t>
            </w:r>
          </w:p>
        </w:tc>
        <w:tc>
          <w:tcPr>
            <w:tcW w:w="161" w:type="dxa"/>
            <w:tcBorders/>
            <w:vAlign w:val="bottom"/>
          </w:tcPr>
          <w:p>
            <w:pPr>
              <w:pStyle w:val="TableContents"/>
              <w:bidi w:val="0"/>
              <w:spacing w:before="0" w:after="283"/>
              <w:jc w:val="left"/>
              <w:rPr/>
            </w:pPr>
            <w:r>
              <w:rPr/>
              <w:t> </w:t>
            </w:r>
          </w:p>
        </w:tc>
      </w:tr>
      <w:tr>
        <w:trPr/>
        <w:tc>
          <w:tcPr>
            <w:tcW w:w="4393"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rate</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22,152</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19,117</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18,466</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U.S. state taxes, net</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1,793</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1,548</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1,495</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1,270</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744</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170</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(1,443</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(1,228</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2,478</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9,400</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(18,625</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(5,852</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(23,357</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of deferred taxes</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1,525</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(757</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Return to accrual</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3,306</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(464</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256</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Uncertain tax positions</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(189</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571</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Foreign taxes and other</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3,932</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(802</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930</w:t>
            </w:r>
          </w:p>
        </w:tc>
        <w:tc>
          <w:tcPr>
            <w:tcW w:w="161" w:type="dxa"/>
            <w:tcBorders/>
            <w:vAlign w:val="bottom"/>
          </w:tcPr>
          <w:p>
            <w:pPr>
              <w:pStyle w:val="TableContents"/>
              <w:bidi w:val="0"/>
              <w:spacing w:before="0" w:after="283"/>
              <w:jc w:val="left"/>
              <w:rPr/>
            </w:pPr>
            <w:r>
              <w:rPr/>
              <w:t> </w:t>
            </w:r>
          </w:p>
        </w:tc>
      </w:tr>
      <w:tr>
        <w:trPr/>
        <w:tc>
          <w:tcPr>
            <w:tcW w:w="4393"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12,682</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16,495</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7,174</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records U.S. federal and state deferred taxes using a blended statutory tax rate of 22.7%. During 2022 and 2024, the Company revalued its Louisiana net operating losses to reflect new tax rates effective for 2022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beginning and ending amount of all unrecognized tax benefits and the liability for uncertain tax positions, excluding related penalties and interest(1),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27"/>
        <w:gridCol w:w="415"/>
        <w:gridCol w:w="147"/>
        <w:gridCol w:w="590"/>
        <w:gridCol w:w="160"/>
      </w:tblGrid>
      <w:tr>
        <w:trPr/>
        <w:tc>
          <w:tcPr>
            <w:tcW w:w="562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1,530</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Reductions, net based on tax positions related to a prior year</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(189</w:t>
            </w:r>
          </w:p>
        </w:tc>
        <w:tc>
          <w:tcPr>
            <w:tcW w:w="160" w:type="dxa"/>
            <w:tcBorders/>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1,341</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Additions, net based on tax positions related to a prior year</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1,341</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Penalties and interest of $1.1 million and $0.5 million were recorded in the consolidated statements of operations for uncertain tax positions for the years ended December 31, 2024 and 2023, respectively. As of December 31, 2024 and 2023, the cumulative amount of penalties and interest related to uncertain tax positions reflected in other long-term liabilities on the consolidated balance sheets totaled $2.8 million and $1.7 million,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16. Leases </w:t>
      </w:r>
    </w:p>
    <w:p>
      <w:pPr>
        <w:pStyle w:val="TextBody"/>
        <w:bidi w:val="0"/>
        <w:spacing w:before="120" w:after="0"/>
        <w:jc w:val="left"/>
        <w:rPr>
          <w:rFonts w:ascii="Times New Roman" w:hAnsi="Times New Roman"/>
          <w:sz w:val="20"/>
        </w:rPr>
      </w:pPr>
      <w:r>
        <w:rPr>
          <w:rFonts w:ascii="Times New Roman" w:hAnsi="Times New Roman"/>
          <w:sz w:val="20"/>
        </w:rPr>
        <w:t xml:space="preserve">Lease expenses for operating leases are recorded in general and administrative and operating expenses. Lease expenses for finance leases are recorded in amortization and interest expense. Total lease expenses incurred for operating and finance leases were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55"/>
        <w:gridCol w:w="328"/>
        <w:gridCol w:w="140"/>
        <w:gridCol w:w="565"/>
        <w:gridCol w:w="60"/>
        <w:gridCol w:w="328"/>
        <w:gridCol w:w="140"/>
        <w:gridCol w:w="695"/>
        <w:gridCol w:w="60"/>
        <w:gridCol w:w="328"/>
        <w:gridCol w:w="140"/>
        <w:gridCol w:w="565"/>
        <w:gridCol w:w="68"/>
      </w:tblGrid>
      <w:tr>
        <w:trPr/>
        <w:tc>
          <w:tcPr>
            <w:tcW w:w="5155"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0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8" w:type="dxa"/>
            <w:tcBorders/>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8"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expense: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right-of-use assets</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489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274</w:t>
            </w:r>
          </w:p>
        </w:tc>
        <w:tc>
          <w:tcPr>
            <w:tcW w:w="68"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32</w:t>
            </w:r>
          </w:p>
        </w:tc>
        <w:tc>
          <w:tcPr>
            <w:tcW w:w="68" w:type="dxa"/>
            <w:tcBorders/>
            <w:shd w:fill="CCEEFF" w:val="clear"/>
            <w:vAlign w:val="bottom"/>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7,184</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7,241</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3,591</w:t>
            </w:r>
          </w:p>
        </w:tc>
        <w:tc>
          <w:tcPr>
            <w:tcW w:w="68"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expense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784</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2,869</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843</w:t>
            </w:r>
          </w:p>
        </w:tc>
        <w:tc>
          <w:tcPr>
            <w:tcW w:w="68" w:type="dxa"/>
            <w:tcBorders/>
            <w:shd w:fill="CCEEFF" w:val="clear"/>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8,519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10,527</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4,740</w:t>
            </w:r>
          </w:p>
        </w:tc>
        <w:tc>
          <w:tcPr>
            <w:tcW w:w="68" w:type="dxa"/>
            <w:tcBorders/>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Cash paid for amounts included in the measurement of lease liabilities was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698"/>
        <w:gridCol w:w="275"/>
        <w:gridCol w:w="60"/>
        <w:gridCol w:w="562"/>
        <w:gridCol w:w="60"/>
        <w:gridCol w:w="275"/>
        <w:gridCol w:w="60"/>
        <w:gridCol w:w="562"/>
        <w:gridCol w:w="60"/>
        <w:gridCol w:w="275"/>
        <w:gridCol w:w="60"/>
        <w:gridCol w:w="562"/>
        <w:gridCol w:w="63"/>
      </w:tblGrid>
      <w:tr>
        <w:trPr/>
        <w:tc>
          <w:tcPr>
            <w:tcW w:w="5698"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98"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5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cash flows for operating leases</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6,650</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7,012</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3,042</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flows for financing leases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cash flows for financing leases</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396</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287</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Annual maturities of operating and finance lease liabilities under non-cancelable leases with terms in excess of one year, during each year ending December 31,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81"/>
        <w:gridCol w:w="447"/>
        <w:gridCol w:w="180"/>
        <w:gridCol w:w="894"/>
        <w:gridCol w:w="283"/>
        <w:gridCol w:w="351"/>
        <w:gridCol w:w="166"/>
        <w:gridCol w:w="666"/>
        <w:gridCol w:w="287"/>
      </w:tblGrid>
      <w:tr>
        <w:trPr/>
        <w:tc>
          <w:tcPr>
            <w:tcW w:w="4481"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481"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r>
          </w:p>
        </w:tc>
        <w:tc>
          <w:tcPr>
            <w:tcW w:w="287" w:type="dxa"/>
            <w:tcBorders/>
            <w:vAlign w:val="bottom"/>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5,223</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474</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3,622</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363</w:t>
            </w:r>
          </w:p>
        </w:tc>
        <w:tc>
          <w:tcPr>
            <w:tcW w:w="287" w:type="dxa"/>
            <w:tcBorders/>
            <w:vAlign w:val="bottom"/>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3,386</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264</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3,296</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67</w:t>
            </w:r>
          </w:p>
        </w:tc>
        <w:tc>
          <w:tcPr>
            <w:tcW w:w="287" w:type="dxa"/>
            <w:tcBorders/>
            <w:vAlign w:val="bottom"/>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3,534</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— </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13,924</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— </w:t>
            </w:r>
          </w:p>
        </w:tc>
        <w:tc>
          <w:tcPr>
            <w:tcW w:w="287" w:type="dxa"/>
            <w:tcBorders/>
            <w:vAlign w:val="bottom"/>
          </w:tcPr>
          <w:p>
            <w:pPr>
              <w:pStyle w:val="TableContents"/>
              <w:bidi w:val="0"/>
              <w:spacing w:before="0" w:after="283"/>
              <w:jc w:val="left"/>
              <w:rPr/>
            </w:pPr>
            <w:r>
              <w:rPr/>
              <w:t> </w:t>
            </w:r>
          </w:p>
        </w:tc>
      </w:tr>
      <w:tr>
        <w:trPr/>
        <w:tc>
          <w:tcPr>
            <w:tcW w:w="44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32,985</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1,168</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9,087</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122</w:t>
            </w:r>
          </w:p>
        </w:tc>
        <w:tc>
          <w:tcPr>
            <w:tcW w:w="287" w:type="dxa"/>
            <w:tcBorders/>
            <w:vAlign w:val="bottom"/>
          </w:tcPr>
          <w:p>
            <w:pPr>
              <w:pStyle w:val="TableContents"/>
              <w:bidi w:val="0"/>
              <w:spacing w:before="0" w:after="283"/>
              <w:jc w:val="left"/>
              <w:rPr/>
            </w:pPr>
            <w:r>
              <w:rPr/>
              <w:t> </w:t>
            </w:r>
          </w:p>
        </w:tc>
      </w:tr>
      <w:tr>
        <w:trPr/>
        <w:tc>
          <w:tcPr>
            <w:tcW w:w="44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23,898</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1,046</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 ( in years)</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7.83</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2.69</w:t>
            </w:r>
          </w:p>
        </w:tc>
        <w:tc>
          <w:tcPr>
            <w:tcW w:w="287" w:type="dxa"/>
            <w:tcBorders/>
            <w:vAlign w:val="bottom"/>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8.1</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7.6</w:t>
            </w:r>
          </w:p>
        </w:tc>
        <w:tc>
          <w:tcPr>
            <w:tcW w:w="287"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17.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Vessel Construction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is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arising after the settlement date. There is no cap on the Surety’s completion costs. As of December 31, 2024, the Company had paid $26.9 million of the $53.8 million amount, excluding liquidated damages, to Eastern related to the completion of these two MPSVs.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settlement, the Surety is contractually required to deliver both MPSVs in 2025. However, the Company has been provided an updated schedule by the Surety and Eastern indicating that they currently expect at least a six-month shipyard delay with the first of the two MPSVs being delivered in late 2025 and the second in the first quarter of 2026. As a result of the delay, the Company is entitled to $11.2 million in liquidated damages. Following physical delivery by Eastern, the Company expects each vessel to undergo crane and other system installations, which will make the first vessel available for commercial service in the first half of 2026, at the earliest, and the second vessel thereafter. In addition to the remaining $15.8 million of the original shipyard contract price, net of liquidated damages, as of December 31, 2024, the Company expects to incur an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$87.1 million in the aggregate for outfitting, overhead and the post-delivery discretionary enhancements, of which $59.6 million solely relates to the purchase and installation of the cranes. As of December 31, 2024, the Company had incurred $7.4 million of such incremental amounts, excluding capitalized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$0.7 million and $0.5 million for potential insurance deductibles or losses associated with such claims as of December 31,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Mexico Tax Audits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audit by various Mexican statutory bodies, including the Mexican tax authorities, or SAT. In recent years, SAT has initiated several audits of the Company’s Mexican subsidiaries for tax years between 2015 and 2021. In November 2018, SAT commenced an audit of a Mexican subsidiary’s 2015 tax return and asserted certain positions that disallowed a significant portion of the Company’s deductible expenses, which resulted in additional taxes, interest and penalties being imposed. As a result, the Company engaged in non-binding mediation proceedings, which concluded in 2021 without resolution. In April 2022, the Company received an official assessment from SAT and initiated an appeal process through the Mexican tax judicial system in June 2022. As of December 31, 2024, the Company had accrued a liability totaling $2.3 million for potential losses from additional taxes, interest and penalties resulting from this assessment based on estimates developed in collaboration with its Mexican tax advisors. The Company believes it has properly applied the applicable tax laws and has reasonably supported its positions. The ultimate impact resulting from the 2015 tax assessment and appeal process and other ongoing tax audits may materially differ from the current estimates. The Company will continue to update its estimates related to these pending proceedings as new information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Brazil Importation Tax Assessment </w:t>
      </w:r>
    </w:p>
    <w:p>
      <w:pPr>
        <w:pStyle w:val="TextBody"/>
        <w:bidi w:val="0"/>
        <w:spacing w:before="120" w:after="0"/>
        <w:jc w:val="left"/>
        <w:rPr>
          <w:rFonts w:ascii="Times New Roman" w:hAnsi="Times New Roman"/>
          <w:sz w:val="20"/>
        </w:rPr>
      </w:pPr>
      <w:r>
        <w:rPr>
          <w:rFonts w:ascii="Times New Roman" w:hAnsi="Times New Roman"/>
          <w:sz w:val="20"/>
        </w:rPr>
        <w:t xml:space="preserve">In April 2021, the Company received notification from the Brazilian tax authorities of an importation tax assessment against the </w:t>
      </w:r>
      <w:r>
        <w:rPr>
          <w:rFonts w:ascii="Times New Roman" w:hAnsi="Times New Roman"/>
          <w:i/>
          <w:sz w:val="20"/>
        </w:rPr>
        <w:t xml:space="preserve">HOS Achiever </w:t>
      </w:r>
      <w:r>
        <w:rPr>
          <w:rFonts w:ascii="Times New Roman" w:hAnsi="Times New Roman"/>
          <w:sz w:val="20"/>
        </w:rPr>
        <w:t xml:space="preserve">with respect to the vessel’s services contract in Brazil from February 2019 to January 2020. At the time of the </w:t>
      </w:r>
      <w:r>
        <w:rPr>
          <w:rFonts w:ascii="Times New Roman" w:hAnsi="Times New Roman"/>
          <w:i/>
          <w:sz w:val="20"/>
        </w:rPr>
        <w:t xml:space="preserve">HOS Achiever’s </w:t>
      </w:r>
      <w:r>
        <w:rPr>
          <w:rFonts w:ascii="Times New Roman" w:hAnsi="Times New Roman"/>
          <w:sz w:val="20"/>
        </w:rPr>
        <w:t xml:space="preserve">importation, the Company was granted a statutorily available tax exemption based on the vessel’s functional capabilities and intended use under the services contract. The tax authorities are now asserting that the </w:t>
      </w:r>
      <w:r>
        <w:rPr>
          <w:rFonts w:ascii="Times New Roman" w:hAnsi="Times New Roman"/>
          <w:i/>
          <w:sz w:val="20"/>
        </w:rPr>
        <w:t xml:space="preserve">HOS Achiever </w:t>
      </w:r>
      <w:r>
        <w:rPr>
          <w:rFonts w:ascii="Times New Roman" w:hAnsi="Times New Roman"/>
          <w:sz w:val="20"/>
        </w:rPr>
        <w:t xml:space="preserve">does not qualify for the applicable exemption. The Company believes the </w:t>
      </w:r>
      <w:r>
        <w:rPr>
          <w:rFonts w:ascii="Times New Roman" w:hAnsi="Times New Roman"/>
          <w:i/>
          <w:sz w:val="20"/>
        </w:rPr>
        <w:t xml:space="preserve">HOS Achiever </w:t>
      </w:r>
      <w:r>
        <w:rPr>
          <w:rFonts w:ascii="Times New Roman" w:hAnsi="Times New Roman"/>
          <w:sz w:val="20"/>
        </w:rPr>
        <w:t xml:space="preserve">does, in fact, meet the criteria set forth under the applicable law and intends to defend its position in a Brazilian court. While the final outcome of this assessment is uncertain and could possibly result in the payment and loss of an estimated $6.0 million to $10.0 million in related importation taxes and penalties, the Company believes, based in significant part on advice from Brazilian legal counsel, that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18.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party to employment agreements with certain members of its executive management team. These agreements include, among other things, contractually stated base salaries and a structured cash short-term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2025 and automatically extends each year thereafter on September 4th for an additional year. </w:t>
      </w:r>
    </w:p>
    <w:p>
      <w:pPr>
        <w:pStyle w:val="TextBody"/>
        <w:bidi w:val="0"/>
        <w:spacing w:before="360" w:after="0"/>
        <w:jc w:val="left"/>
        <w:rPr>
          <w:rFonts w:ascii="Times New Roman" w:hAnsi="Times New Roman"/>
          <w:b/>
          <w:sz w:val="20"/>
        </w:rPr>
      </w:pPr>
      <w:r>
        <w:rPr>
          <w:rFonts w:ascii="Times New Roman" w:hAnsi="Times New Roman"/>
          <w:b/>
          <w:sz w:val="20"/>
        </w:rPr>
        <w:t xml:space="preserve">19. Reportable Segment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to any specific geographic region or customer market. </w:t>
      </w:r>
    </w:p>
    <w:p>
      <w:pPr>
        <w:pStyle w:val="TextBody"/>
        <w:bidi w:val="0"/>
        <w:spacing w:before="240" w:after="0"/>
        <w:jc w:val="left"/>
        <w:rPr>
          <w:rFonts w:ascii="Times New Roman" w:hAnsi="Times New Roman"/>
          <w:sz w:val="20"/>
        </w:rPr>
      </w:pPr>
      <w:r>
        <w:rPr>
          <w:rFonts w:ascii="Times New Roman" w:hAnsi="Times New Roman"/>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years ended December 31, 2024, 2023 and 2022. The measure of segment assets is reported on the consolidated balance sheet as total assets as of December 31, 2024 and 2023. </w:t>
      </w:r>
    </w:p>
    <w:p>
      <w:pPr>
        <w:pStyle w:val="TextBody"/>
        <w:bidi w:val="0"/>
        <w:spacing w:before="240" w:after="0"/>
        <w:jc w:val="left"/>
        <w:rPr>
          <w:rFonts w:ascii="Times New Roman" w:hAnsi="Times New Roman"/>
          <w:sz w:val="20"/>
        </w:rPr>
      </w:pPr>
      <w:r>
        <w:rPr>
          <w:rFonts w:ascii="Times New Roman" w:hAnsi="Times New Roman"/>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60" w:after="0"/>
        <w:jc w:val="left"/>
        <w:rPr>
          <w:rFonts w:ascii="Times New Roman" w:hAnsi="Times New Roman"/>
          <w:b/>
          <w:sz w:val="20"/>
        </w:rPr>
      </w:pPr>
      <w:r>
        <w:rPr>
          <w:rFonts w:ascii="Times New Roman" w:hAnsi="Times New Roman"/>
          <w:b/>
          <w:sz w:val="20"/>
        </w:rPr>
        <w:t xml:space="preserve">20.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Trade Name and Trademark License Agreement entered into by and between the Company and HFR, LLC on September 4, 2020, the Company made payments of $2.0 million during each of the years ended December 31, 2024 and 2023,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December 31, 2024 and December 31, 2023, the Company had accrued amounts payable to HFR, LLC totaling $1.3 million and $1.3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October 1, 2022, a member of the Company’s Board of Directors assumed an officer role with an existing Hornbeck customer. For the years ended December 31, 2024 and 2023, the Company generated $83.9 million, or 13%, and $111.9 million, or 20%, of revenues, respectively, from contracts with such customer. The Company had outstanding accounts receivable from this customer totaling $9.4 million and $8.0 million as of December 31, 2024 and December 31, 2023,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21.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March 21, 2025, which represents the date its financial statements were available to be issued and determined that all materially relevant information known through this date was appropriately addressed within the consolidated financial statements and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TextBody"/>
        <w:bidi w:val="0"/>
        <w:spacing w:before="1200" w:after="0"/>
        <w:jc w:val="center"/>
        <w:rPr/>
      </w:pPr>
      <w:r>
        <w:rPr/>
        <w:t>   </w:t>
      </w:r>
      <w:r>
        <w:rPr>
          <w:rFonts w:ascii="arial" w:hAnsi="arial"/>
          <w:b/>
          <w:sz w:val="32"/>
        </w:rPr>
        <w:t xml:space="preserve">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000125" cy="1000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00125" cy="1000125"/>
                    </a:xfrm>
                    <a:prstGeom prst="rect">
                      <a:avLst/>
                    </a:prstGeom>
                  </pic:spPr>
                </pic:pic>
              </a:graphicData>
            </a:graphic>
          </wp:inline>
        </w:drawing>
      </w:r>
      <w:r>
        <w:rPr/>
        <w:t xml:space="preserve"> </w:t>
      </w:r>
    </w:p>
    <w:p>
      <w:pPr>
        <w:pStyle w:val="TextBody"/>
        <w:bidi w:val="0"/>
        <w:spacing w:before="360" w:after="0"/>
        <w:jc w:val="center"/>
        <w:rPr>
          <w:rFonts w:ascii="arial" w:hAnsi="arial"/>
          <w:b/>
          <w:sz w:val="40"/>
        </w:rPr>
      </w:pPr>
      <w:r>
        <w:rPr>
          <w:rFonts w:ascii="arial" w:hAnsi="arial"/>
          <w:b/>
          <w:sz w:val="40"/>
        </w:rPr>
        <w:t xml:space="preserve">Hornbeck Offshore Services, Inc. </w:t>
      </w:r>
    </w:p>
    <w:p>
      <w:pPr>
        <w:pStyle w:val="TextBody"/>
        <w:bidi w:val="0"/>
        <w:spacing w:before="360" w:after="0"/>
        <w:jc w:val="center"/>
        <w:rPr>
          <w:rFonts w:ascii="arial" w:hAnsi="arial"/>
          <w:b/>
          <w:sz w:val="32"/>
        </w:rPr>
      </w:pPr>
      <w:r>
        <w:rPr>
          <w:rFonts w:ascii="arial" w:hAnsi="arial"/>
          <w:b/>
          <w:sz w:val="32"/>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arial" w:hAnsi="arial"/>
          <w:b/>
          <w:sz w:val="32"/>
        </w:rPr>
      </w:pPr>
      <w:r>
        <w:rPr>
          <w:rFonts w:ascii="arial" w:hAnsi="arial"/>
          <w:b/>
          <w:sz w:val="32"/>
        </w:rPr>
        <w:t xml:space="preserve">Prospectus </w:t>
      </w:r>
    </w:p>
    <w:p>
      <w:pPr>
        <w:pStyle w:val="TextBody"/>
        <w:bidi w:val="0"/>
        <w:spacing w:before="360" w:after="0"/>
        <w:jc w:val="center"/>
        <w:rPr/>
      </w:pPr>
      <w:r>
        <w:rPr/>
        <w:t>   </w:t>
      </w:r>
      <w:r>
        <w:rPr>
          <w:rFonts w:ascii="Times New Roman" w:hAnsi="Times New Roman"/>
          <w:sz w:val="20"/>
        </w:rPr>
        <w:t xml:space="preserve">,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arial" w:hAnsi="arial"/>
          <w:b/>
          <w:sz w:val="32"/>
        </w:rPr>
      </w:pPr>
      <w:r>
        <w:rPr>
          <w:rFonts w:ascii="arial" w:hAnsi="arial"/>
          <w:b/>
          <w:sz w:val="32"/>
        </w:rPr>
        <w:t xml:space="preserve">J.P. Morgan </w:t>
      </w:r>
    </w:p>
    <w:p>
      <w:pPr>
        <w:pStyle w:val="TextBody"/>
        <w:bidi w:val="0"/>
        <w:spacing w:before="120" w:after="0"/>
        <w:jc w:val="center"/>
        <w:rPr>
          <w:rFonts w:ascii="arial" w:hAnsi="arial"/>
          <w:b/>
          <w:sz w:val="32"/>
        </w:rPr>
      </w:pPr>
      <w:r>
        <w:rPr>
          <w:rFonts w:ascii="arial" w:hAnsi="arial"/>
          <w:b/>
          <w:sz w:val="32"/>
        </w:rPr>
        <w:t xml:space="preserve">Barclays </w:t>
      </w:r>
    </w:p>
    <w:p>
      <w:pPr>
        <w:pStyle w:val="TextBody"/>
        <w:bidi w:val="0"/>
        <w:spacing w:before="120" w:after="0"/>
        <w:jc w:val="center"/>
        <w:rPr>
          <w:rFonts w:ascii="arial" w:hAnsi="arial"/>
          <w:b/>
          <w:sz w:val="32"/>
        </w:rPr>
      </w:pPr>
      <w:r>
        <w:rPr>
          <w:rFonts w:ascii="arial" w:hAnsi="arial"/>
          <w:b/>
          <w:sz w:val="32"/>
        </w:rPr>
        <w:t xml:space="preserve">DNB Carnegie </w:t>
      </w:r>
    </w:p>
    <w:p>
      <w:pPr>
        <w:pStyle w:val="TextBody"/>
        <w:bidi w:val="0"/>
        <w:spacing w:before="120" w:after="0"/>
        <w:jc w:val="center"/>
        <w:rPr>
          <w:rFonts w:ascii="arial" w:hAnsi="arial"/>
          <w:b/>
          <w:sz w:val="32"/>
        </w:rPr>
      </w:pPr>
      <w:r>
        <w:rPr>
          <w:rFonts w:ascii="arial" w:hAnsi="arial"/>
          <w:b/>
          <w:sz w:val="32"/>
        </w:rPr>
        <w:t xml:space="preserve">Piper Sandler </w:t>
      </w:r>
    </w:p>
    <w:p>
      <w:pPr>
        <w:pStyle w:val="TextBody"/>
        <w:bidi w:val="0"/>
        <w:spacing w:before="120" w:after="0"/>
        <w:jc w:val="center"/>
        <w:rPr>
          <w:rFonts w:ascii="arial" w:hAnsi="arial"/>
          <w:b/>
          <w:sz w:val="32"/>
        </w:rPr>
      </w:pPr>
      <w:r>
        <w:rPr>
          <w:rFonts w:ascii="arial" w:hAnsi="arial"/>
          <w:b/>
          <w:sz w:val="32"/>
        </w:rPr>
        <w:t xml:space="preserve">Guggenheim Securities </w:t>
      </w:r>
    </w:p>
    <w:p>
      <w:pPr>
        <w:pStyle w:val="TextBody"/>
        <w:bidi w:val="0"/>
        <w:spacing w:before="120" w:after="0"/>
        <w:jc w:val="center"/>
        <w:rPr>
          <w:rFonts w:ascii="arial" w:hAnsi="arial"/>
          <w:b/>
          <w:sz w:val="32"/>
        </w:rPr>
      </w:pPr>
      <w:r>
        <w:rPr>
          <w:rFonts w:ascii="arial" w:hAnsi="arial"/>
          <w:b/>
          <w:sz w:val="32"/>
        </w:rPr>
        <w:t xml:space="preserve">Raymond James </w:t>
      </w:r>
    </w:p>
    <w:p>
      <w:pPr>
        <w:pStyle w:val="TextBody"/>
        <w:bidi w:val="0"/>
        <w:spacing w:before="120" w:after="0"/>
        <w:jc w:val="center"/>
        <w:rPr>
          <w:rFonts w:ascii="arial" w:hAnsi="arial"/>
          <w:b/>
          <w:sz w:val="32"/>
        </w:rPr>
      </w:pPr>
      <w:r>
        <w:rPr>
          <w:rFonts w:ascii="arial" w:hAnsi="arial"/>
          <w:b/>
          <w:sz w:val="32"/>
        </w:rPr>
        <w:t xml:space="preserve">BTIG </w:t>
      </w:r>
    </w:p>
    <w:p>
      <w:pPr>
        <w:pStyle w:val="TextBody"/>
        <w:bidi w:val="0"/>
        <w:spacing w:before="120" w:after="0"/>
        <w:jc w:val="center"/>
        <w:rPr>
          <w:rFonts w:ascii="arial" w:hAnsi="arial"/>
          <w:b/>
          <w:sz w:val="32"/>
        </w:rPr>
      </w:pPr>
      <w:r>
        <w:rPr>
          <w:rFonts w:ascii="arial" w:hAnsi="arial"/>
          <w:b/>
          <w:sz w:val="32"/>
        </w:rPr>
        <w:t xml:space="preserve">Johnson Rice &amp; Company </w:t>
      </w:r>
    </w:p>
    <w:p>
      <w:pPr>
        <w:pStyle w:val="TextBody"/>
        <w:bidi w:val="0"/>
        <w:spacing w:before="120" w:after="0"/>
        <w:jc w:val="center"/>
        <w:rPr>
          <w:rFonts w:ascii="arial" w:hAnsi="arial"/>
          <w:b/>
          <w:sz w:val="32"/>
        </w:rPr>
      </w:pPr>
      <w:r>
        <w:rPr>
          <w:rFonts w:ascii="arial" w:hAnsi="arial"/>
          <w:b/>
          <w:sz w:val="32"/>
        </w:rPr>
        <w:t xml:space="preserve">Pickering Energy Partners </w:t>
      </w:r>
    </w:p>
    <w:p>
      <w:pPr>
        <w:pStyle w:val="TextBody"/>
        <w:bidi w:val="0"/>
        <w:spacing w:before="120" w:after="0"/>
        <w:jc w:val="center"/>
        <w:rPr>
          <w:rFonts w:ascii="arial" w:hAnsi="arial"/>
          <w:b/>
          <w:sz w:val="32"/>
        </w:rPr>
      </w:pPr>
      <w:r>
        <w:rPr>
          <w:rFonts w:ascii="arial" w:hAnsi="arial"/>
          <w:b/>
          <w:sz w:val="32"/>
        </w:rPr>
        <w:t xml:space="preserve">Seaport Global Securities </w:t>
      </w:r>
    </w:p>
    <w:p>
      <w:pPr>
        <w:pStyle w:val="TextBody"/>
        <w:bidi w:val="0"/>
        <w:spacing w:before="120" w:after="0"/>
        <w:jc w:val="center"/>
        <w:rPr>
          <w:rFonts w:ascii="arial" w:hAnsi="arial"/>
          <w:b/>
          <w:sz w:val="32"/>
        </w:rPr>
      </w:pPr>
      <w:r>
        <w:rPr>
          <w:rFonts w:ascii="arial" w:hAnsi="arial"/>
          <w:b/>
          <w:sz w:val="32"/>
        </w:rPr>
        <w:t xml:space="preserve">Academy Securities </w:t>
      </w:r>
    </w:p>
    <w:p>
      <w:pPr>
        <w:pStyle w:val="TextBody"/>
        <w:bidi w:val="0"/>
        <w:spacing w:before="120" w:after="0"/>
        <w:jc w:val="center"/>
        <w:rPr>
          <w:rFonts w:ascii="arial" w:hAnsi="arial"/>
          <w:b/>
          <w:sz w:val="32"/>
        </w:rPr>
      </w:pPr>
      <w:r>
        <w:rPr>
          <w:rFonts w:ascii="arial" w:hAnsi="arial"/>
          <w:b/>
          <w:sz w:val="32"/>
        </w:rPr>
        <w:t xml:space="preserve">Drexel Hamilton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expenses payable by Hornbeck Offshore Services, Inc.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listing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99"/>
        <w:gridCol w:w="416"/>
        <w:gridCol w:w="61"/>
        <w:gridCol w:w="902"/>
        <w:gridCol w:w="61"/>
      </w:tblGrid>
      <w:tr>
        <w:trPr/>
        <w:tc>
          <w:tcPr>
            <w:tcW w:w="5499"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r>
              <w:rPr/>
              <w:t>*</w:t>
            </w:r>
          </w:p>
        </w:tc>
        <w:tc>
          <w:tcPr>
            <w:tcW w:w="61" w:type="dxa"/>
            <w:tcBorders/>
            <w:vAlign w:val="bottom"/>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Listing fee</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Printing fees and expenses</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r>
              <w:rPr/>
              <w:t>*</w:t>
            </w:r>
          </w:p>
        </w:tc>
        <w:tc>
          <w:tcPr>
            <w:tcW w:w="61" w:type="dxa"/>
            <w:tcBorders/>
            <w:vAlign w:val="bottom"/>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Blue sky fees and expenses</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r>
              <w:rPr/>
              <w:t>*</w:t>
            </w:r>
          </w:p>
        </w:tc>
        <w:tc>
          <w:tcPr>
            <w:tcW w:w="61" w:type="dxa"/>
            <w:tcBorders/>
            <w:vAlign w:val="bottom"/>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Registrar and transfer agent fees</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r>
              <w:rPr/>
              <w:t>*</w:t>
            </w:r>
          </w:p>
        </w:tc>
        <w:tc>
          <w:tcPr>
            <w:tcW w:w="61" w:type="dxa"/>
            <w:tcBorders/>
            <w:vAlign w:val="bottom"/>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54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r>
      <w:tr>
        <w:trPr/>
        <w:tc>
          <w:tcPr>
            <w:tcW w:w="5499"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completed by amendment.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no director or officer shall be liable to us or our stockholders for monetary damages for breach of fiduciary duty as a director or officer, as applicable, except to the extent such exemption from liability or limitation on liability is not permitted under the DGCL, as now in effect or as amended. Currently, Section 102(b)(7) of the DGCL requires that liability be imposed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or officer’s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which involved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officer, any derivative 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charter provides that, to the fullest extent authorized or permitted by the DGCL, as now in effect or as amended, we will indemnify any person who was or is a party or is threatened to be made a party to or is otherwise involved (including involvement, without limitation, as a witness) in any actual or threatened action, suit or proceeding by reason of the fact that such person is or was our director, advisory director, board observer or officer, or by reason of the fact that our director, advisory director, board observer or officer is or was serving, at our request, as a director, advisory director, board observer, officer, employee or agent of another corporation or of a partnership, joint venture, trust or other enterprise, including service with respect to employee benefit plans. We will indemnify such persons against expenses, liabilities, and loss (including attorneys’ fees and related disbursements, judgments, fines, excise taxes or penalties under the Employee Retirement Income Security Act of 1974, penalties and amounts paid in settlement) reasonably incurred or suffered in connection with such action.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for indemnification by the underwriters of us and our officers and directors, and by us of the underwriters, for certain liabilities arising under the Securities Act or otherwise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Service-Related Issuances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308,408 shares of common stock pursuant to the 2020 Management Incentive Plan. Additionally, since the Chapter 11 Cases, and prior to March 23, 2023, the Company has granted 728,413 stock options and 1,522,737 restricted stock units pursuant to the 2020 Management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Further, (i) on March 23, 2023, the Board of Directors granted certain employees and directors additional restricted stock unit awards pursuant to the 2020 Management Incentive Plan, of which 196,704 shares of common stock vested immediately and an additional 196,703 shares vested on February 15, 2024, (ii) on April 1, 2024, the Board of Directors granted certain directors additional restricted stock unit awards pursuant to the 2020 Management Incentive Plan, of which 5,590 shares of common stock vested immediately and an additional 5,585 shares vested on February 15, 2024 and (iii) on April 1, 2025, the Board of Directors granted certain directors additional restricted stock unit awards pursuant to the 2020 Management Incentive Plan, of which 4,686 shares of common stock vested immediately and an additional 4,680 shares will vest pursuant to the terms of the respective award agreements. These shares will net-settle within 60 days of the date of vesting.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issuances were exempt from registration under Section 4(a)(2) of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Issuances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2021, the Company issued 283,732 shares of common stock and 1,567,013 Jones Act Warrants in a preemptive rights offering relating to the conversion of $15 million of outstanding indebtedness on December 22, 2021. Concurrent with the closing of the preemptive rights offering on December 22, 2021, the Company issued 100,745 shares of common stock under a Stock Purchase Plan that was established on November 29, 2021 for gross cash proceeds of $2.0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issuances were exempt from registration under Section 1145 of the Bankruptcy Code or Section 4(a)(2)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1"/>
        <w:gridCol w:w="414"/>
        <w:gridCol w:w="8970"/>
      </w:tblGrid>
      <w:tr>
        <w:trPr/>
        <w:tc>
          <w:tcPr>
            <w:tcW w:w="821"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82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414" w:type="dxa"/>
            <w:tcBorders/>
            <w:vAlign w:val="bottom"/>
          </w:tcPr>
          <w:p>
            <w:pPr>
              <w:pStyle w:val="TableContents"/>
              <w:bidi w:val="0"/>
              <w:spacing w:before="0" w:after="283"/>
              <w:jc w:val="left"/>
              <w:rPr/>
            </w:pPr>
            <w:r>
              <w:rPr/>
              <w:t>  </w:t>
            </w:r>
          </w:p>
        </w:tc>
        <w:tc>
          <w:tcPr>
            <w:tcW w:w="89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1.1*</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25">
              <w:r>
                <w:rPr>
                  <w:rStyle w:val="InternetLink"/>
                </w:rPr>
                <w:t xml:space="preserve">Form of Underwriting Agreement.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2.1*</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26">
              <w:r>
                <w:rPr>
                  <w:rStyle w:val="InternetLink"/>
                </w:rPr>
                <w:t xml:space="preserve">Plan of Reorganization Under Chapter 11 of the U.S. Bankruptcy Code.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3.1*</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27">
              <w:r>
                <w:rPr>
                  <w:rStyle w:val="InternetLink"/>
                </w:rPr>
                <w:t xml:space="preserve">Third Amended and Restated Certificate of Incorporation of Hornbeck Offshore Services, Inc.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3.2*</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28">
              <w:r>
                <w:rPr>
                  <w:rStyle w:val="InternetLink"/>
                </w:rPr>
                <w:t xml:space="preserve">Fifth Amended and Restated Bylaws of Hornbeck Offshore Services, Inc.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3.3*</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29">
              <w:r>
                <w:rPr>
                  <w:rStyle w:val="InternetLink"/>
                </w:rPr>
                <w:t xml:space="preserve">Form of Fourth Amended and Restated Certificate of Incorporation of Hornbeck Offshore Services, Inc., to be effective upon consummation of this offering.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3.4*</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0">
              <w:r>
                <w:rPr>
                  <w:rStyle w:val="InternetLink"/>
                </w:rPr>
                <w:t>Form of Sixth Amended and Restated Bylaws of Hornbeck Offshore Services, Inc., to be effective upon consummation of this offering.</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4.1^*</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1">
              <w:r>
                <w:rPr>
                  <w:rStyle w:val="InternetLink"/>
                </w:rPr>
                <w:t xml:space="preserve">Jones Act Warrant Agreement, dated as of September  4, 2020, between Hornbeck Offshore Services, Inc. and Computershare, Inc. and Computershare Trust Company, N.A.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4.2*</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2">
              <w:r>
                <w:rPr>
                  <w:rStyle w:val="InternetLink"/>
                </w:rPr>
                <w:t xml:space="preserve">Amendment No. 1 to Jones Act Warrant Agreement, dated as of December  31, 2020, by and among Hornbeck Offshore Services, Inc., Computershare Inc., Computershare Trust Company, N.A. and certain holders signatory thereto.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4.3*</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3">
              <w:r>
                <w:rPr>
                  <w:rStyle w:val="InternetLink"/>
                </w:rPr>
                <w:t xml:space="preserve">Jones Act Anti-Dilution Warrant Agreement, dated as of September  4, 2020, between Hornbeck Offshore Services, Inc. and Computershare, Inc. and Computershare Trust Company, N.A.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4.4^*</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4">
              <w:r>
                <w:rPr>
                  <w:rStyle w:val="InternetLink"/>
                </w:rPr>
                <w:t xml:space="preserve">Creditor Warrant Agreement, dated as of September  4, 2020, between Hornbeck Offshore Services, Inc. and Computershare, Inc. and Computershare Trust Company, N.A.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4.5*</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5">
              <w:r>
                <w:rPr>
                  <w:rStyle w:val="InternetLink"/>
                </w:rPr>
                <w:t xml:space="preserve">Securityholders Agreement, dated as of September  4, 2020, by and among Hornbeck Offshore Services, Inc. and the other parties thereto.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4.6*</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6">
              <w:r>
                <w:rPr>
                  <w:rStyle w:val="InternetLink"/>
                </w:rPr>
                <w:t xml:space="preserve">Amendment No. 1 to Securityholders Agreement, dated as of December  2, 2021, by and among Hornbeck Offshore Services, Inc. and the other parties thereto.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4.7*</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7">
              <w:r>
                <w:rPr>
                  <w:rStyle w:val="InternetLink"/>
                </w:rPr>
                <w:t xml:space="preserve">Amendment No. 2 to Securityholders Agreement, dated as of July  7, 2023, by and among Hornbeck Offshore Services, Inc. and the other parties thereto.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4.8*</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8">
              <w:r>
                <w:rPr>
                  <w:rStyle w:val="InternetLink"/>
                </w:rPr>
                <w:t xml:space="preserve">Form of Amended and Restated Securityholders Agreement.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4.9*</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39">
              <w:r>
                <w:rPr>
                  <w:rStyle w:val="InternetLink"/>
                </w:rPr>
                <w:t xml:space="preserve">Form of Registration Rights Agreement.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4.10^</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w:anchor="d65571dex410.htm">
              <w:r>
                <w:rPr>
                  <w:rStyle w:val="InternetLink"/>
                </w:rPr>
                <w:t>Amendment No. 1 to Creditor Warrant Agreement, dated December 10, 2024, between Hornbeck Offshore Services, Inc. and Computershare, Inc. and Computershare Trust Company, N.A.</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5.1*</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40">
              <w:r>
                <w:rPr>
                  <w:rStyle w:val="InternetLink"/>
                </w:rPr>
                <w:t xml:space="preserve">Form of Opinion of Kirkland &amp; Ellis LLP as to the legality of the common stock.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10.1*</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41">
              <w:r>
                <w:rPr>
                  <w:rStyle w:val="InternetLink"/>
                </w:rPr>
                <w:t xml:space="preserve">Form of Indemnification Agreement (between Hornbeck Offshore Services, Inc. and its directors and officers).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10.2*</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42">
              <w:r>
                <w:rPr>
                  <w:rStyle w:val="InternetLink"/>
                </w:rPr>
                <w:t xml:space="preserve">2020 Management Incentive Plan of Hornbeck Offshore Services, Inc.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10.3*</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43">
              <w:r>
                <w:rPr>
                  <w:rStyle w:val="InternetLink"/>
                </w:rPr>
                <w:t xml:space="preserve">First Amendment to the 2020 Management Incentive Plan of Hornbeck Offshore Services, Inc.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10.4**</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r>
              <w:rPr/>
              <w:t>Form of Hornbeck Offshore Services, Inc. 2026 Omnibus Incentive Plan.</w:t>
            </w:r>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10.5*</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44">
              <w:r>
                <w:rPr>
                  <w:rStyle w:val="InternetLink"/>
                </w:rPr>
                <w:t xml:space="preserve">Form of Employment Agreement (Todd M. Hornbeck).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10.6*</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45">
              <w:r>
                <w:rPr>
                  <w:rStyle w:val="InternetLink"/>
                </w:rPr>
                <w:t xml:space="preserve">Form of Employment Agreement (Non-CEO Executive Officers). </w:t>
              </w:r>
            </w:hyperlink>
          </w:p>
        </w:tc>
      </w:tr>
      <w:tr>
        <w:trPr>
          <w:trHeight w:val="120" w:hRule="atLeast"/>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tcPr>
          <w:p>
            <w:pPr>
              <w:pStyle w:val="TableContents"/>
              <w:bidi w:val="0"/>
              <w:spacing w:before="0" w:after="283"/>
              <w:jc w:val="left"/>
              <w:rPr/>
            </w:pPr>
            <w:r>
              <w:rPr/>
              <w:t> </w:t>
            </w:r>
            <w:r>
              <w:rPr/>
              <w:t>10.7*</w:t>
            </w:r>
          </w:p>
        </w:tc>
        <w:tc>
          <w:tcPr>
            <w:tcW w:w="414" w:type="dxa"/>
            <w:tcBorders/>
            <w:vAlign w:val="bottom"/>
          </w:tcPr>
          <w:p>
            <w:pPr>
              <w:pStyle w:val="TableContents"/>
              <w:bidi w:val="0"/>
              <w:spacing w:before="0" w:after="283"/>
              <w:jc w:val="left"/>
              <w:rPr/>
            </w:pPr>
            <w:r>
              <w:rPr/>
              <w:t>  </w:t>
            </w:r>
          </w:p>
        </w:tc>
        <w:tc>
          <w:tcPr>
            <w:tcW w:w="8970" w:type="dxa"/>
            <w:tcBorders/>
          </w:tcPr>
          <w:p>
            <w:pPr>
              <w:pStyle w:val="TableContents"/>
              <w:bidi w:val="0"/>
              <w:spacing w:before="0" w:after="283"/>
              <w:jc w:val="left"/>
              <w:rPr/>
            </w:pPr>
            <w:hyperlink r:id="rId46">
              <w:r>
                <w:rPr>
                  <w:rStyle w:val="InternetLink"/>
                </w:rPr>
                <w:t xml:space="preserve">Amended and Restated Employment Agreement dated September  4, 2020, by and between Hornbeck Offshore Operators, LLC and Todd M. Hornbeck.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38"/>
        <w:gridCol w:w="414"/>
        <w:gridCol w:w="8853"/>
      </w:tblGrid>
      <w:tr>
        <w:trPr/>
        <w:tc>
          <w:tcPr>
            <w:tcW w:w="938"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8853" w:type="dxa"/>
            <w:tcBorders/>
            <w:vAlign w:val="center"/>
          </w:tcPr>
          <w:p>
            <w:pPr>
              <w:pStyle w:val="TableContents"/>
              <w:bidi w:val="0"/>
              <w:spacing w:before="0" w:after="283"/>
              <w:jc w:val="left"/>
              <w:rPr>
                <w:sz w:val="4"/>
                <w:szCs w:val="4"/>
              </w:rPr>
            </w:pPr>
            <w:r>
              <w:rPr>
                <w:sz w:val="4"/>
                <w:szCs w:val="4"/>
              </w:rPr>
            </w:r>
          </w:p>
        </w:tc>
      </w:tr>
      <w:tr>
        <w:trPr/>
        <w:tc>
          <w:tcPr>
            <w:tcW w:w="93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414" w:type="dxa"/>
            <w:tcBorders/>
            <w:vAlign w:val="bottom"/>
          </w:tcPr>
          <w:p>
            <w:pPr>
              <w:pStyle w:val="TableContents"/>
              <w:bidi w:val="0"/>
              <w:spacing w:before="0" w:after="283"/>
              <w:jc w:val="left"/>
              <w:rPr/>
            </w:pPr>
            <w:r>
              <w:rPr/>
              <w:t>  </w:t>
            </w:r>
          </w:p>
        </w:tc>
        <w:tc>
          <w:tcPr>
            <w:tcW w:w="8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10.8*</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47">
              <w:r>
                <w:rPr>
                  <w:rStyle w:val="InternetLink"/>
                </w:rPr>
                <w:t xml:space="preserve">Amended and Restated Employment Agreement dated September  4, 2020, by and between Hornbeck Offshore Operators, LLC and James O. Harp, Jr.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10.9*</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48">
              <w:r>
                <w:rPr>
                  <w:rStyle w:val="InternetLink"/>
                </w:rPr>
                <w:t>Amended and Restated Employment Agreement dated September 4, 2020, by and between Hornbeck Offshore Operators, LLC and John S. Cook.</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10.10*</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49">
              <w:r>
                <w:rPr>
                  <w:rStyle w:val="InternetLink"/>
                </w:rPr>
                <w:t xml:space="preserve">Amended and Restated Employment Agreement dated September  4, 2020, by and between Hornbeck Offshore Operators, LLC and Samuel A. Giberga.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10.11*</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0">
              <w:r>
                <w:rPr>
                  <w:rStyle w:val="InternetLink"/>
                </w:rPr>
                <w:t xml:space="preserve">Amended and Restated Employment Agreement dated September  4, 2020, by and between Hornbeck Offshore Operators, LLC and Carl G. Annessa.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10.12^*</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1">
              <w:r>
                <w:rPr>
                  <w:rStyle w:val="InternetLink"/>
                </w:rPr>
                <w:t>Second Lien Term Loan Credit Agreement, dated September  4, 2020, by and among Hornbeck Offshore Services, Inc., as parent borrower, Hornbeck Offshore Services, LLC, as co-borrower,  Wilmington Trust, National Association, as administrative agent and collateral agent, and the lenders party thereto.</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10.13*</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2">
              <w:r>
                <w:rPr>
                  <w:rStyle w:val="InternetLink"/>
                </w:rPr>
                <w:t xml:space="preserve">Amendment No. 1 to Second Lien Credit Agreement and Amendment No.  1 to the Effective Date Junior Lien Intercreditor Agreement, dated December  22, 2021, by and among Hornbeck Offshore Services, Inc., as parent borrower, Hornbeck Offshore Services, LLC, as co-borrower, Wilmington Trust, National Association, as administrative agent and collateral agent, and the lenders party thereto.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10.14*</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3">
              <w:r>
                <w:rPr>
                  <w:rStyle w:val="InternetLink"/>
                </w:rPr>
                <w:t xml:space="preserve">Second Amendment to Second Lien Credit Agreement, dated June  6, 2022, by and among Hornbeck Offshore Services, Inc., as parent borrower, Hornbeck Offshore Services, LLC, as co-borrower, Wilmington Trust, National Association, as administrative agent and collateral agent, and the lenders party thereto.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10.15^*</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4">
              <w:r>
                <w:rPr>
                  <w:rStyle w:val="InternetLink"/>
                </w:rPr>
                <w:t xml:space="preserve">Credit Agreement, dated as of August  13, 2024, by and among Hornbeck Offshore Services, Inc., DNB Bank ASA, New York Branch, as administrative agent, Wilmington Trust, National Association, as collateral agent, and the lenders party thereto.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10.16*</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5">
              <w:r>
                <w:rPr>
                  <w:rStyle w:val="InternetLink"/>
                </w:rPr>
                <w:t xml:space="preserve">Third Amended and Restated Trade Name and Trademark License Agreement, dated September  4, 2020, by and among HFR, LLC and Hornbeck Offshore Operators, LLC.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10.17*</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6">
              <w:r>
                <w:rPr>
                  <w:rStyle w:val="InternetLink"/>
                </w:rPr>
                <w:t xml:space="preserve">Form of Fourth Amended and Restated Trade Name and Trademark License Agreement.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10.18*</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7">
              <w:r>
                <w:rPr>
                  <w:rStyle w:val="InternetLink"/>
                </w:rPr>
                <w:t xml:space="preserve">Settlement Term Sheet, effective as of October  3, 2023, by and among Hornbeck Offshore Services, LLC, Gulf Island Shipyards, LLC, Gulf Island Fabrication, Inc., Fidelity &amp; Deposit Company of Maryland and Zurich American Insurance Company.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10.19*</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8">
              <w:r>
                <w:rPr>
                  <w:rStyle w:val="InternetLink"/>
                </w:rPr>
                <w:t xml:space="preserve">Takeover Agreement, dated as of October 3, 2023, by and among Hornbeck Offshore Services, LLC, Fidelity  &amp; Deposit Company of Maryland and Zurich American Insurance Company.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10.20*</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9">
              <w:r>
                <w:rPr>
                  <w:rStyle w:val="InternetLink"/>
                </w:rPr>
                <w:t xml:space="preserve">Form of Non-Qualified Stock Option Award Agreement.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10.21*</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60">
              <w:r>
                <w:rPr>
                  <w:rStyle w:val="InternetLink"/>
                </w:rPr>
                <w:t xml:space="preserve">Form of Restricted Stock Unit Award Agreement.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10.22</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w:anchor="d65571dex1022.htm">
              <w:r>
                <w:rPr>
                  <w:rStyle w:val="InternetLink"/>
                </w:rPr>
                <w:t xml:space="preserve">Second Amendment to the 2020 Management Incentive Plan of Hornbeck Offshore Services, Inc.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10.23</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w:anchor="d65571dex1023.htm">
              <w:r>
                <w:rPr>
                  <w:rStyle w:val="InternetLink"/>
                </w:rPr>
                <w:t xml:space="preserve">Hornbeck Offshore Services, Inc. 2025 Cash Long Term Incentive Plan.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10.24^</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w:anchor="d65571dex1024.htm">
              <w:r>
                <w:rPr>
                  <w:rStyle w:val="InternetLink"/>
                </w:rPr>
                <w:t>First Amendment to Credit Agreement, dated as of December  27, 2024, by and among Hornbeck Offshore Services, Inc., DNB Bank ASA, New York Branch, as administrative agent, Wilmington Trust, National Association, as collateral agent, and the lenders party thereto.</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10.25^</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w:anchor="d65571dex1025.htm">
              <w:r>
                <w:rPr>
                  <w:rStyle w:val="InternetLink"/>
                </w:rPr>
                <w:t>Second Lien Term Loan Credit Agreement, dated December  27, 2024, by and among Hornbeck Offshore Services, Inc., as borrower, Wilmington Trust, National Association, as administrative agent and collateral agent, and the lenders party thereto.</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2"/>
        <w:gridCol w:w="507"/>
        <w:gridCol w:w="8886"/>
      </w:tblGrid>
      <w:tr>
        <w:trPr/>
        <w:tc>
          <w:tcPr>
            <w:tcW w:w="812"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8886" w:type="dxa"/>
            <w:tcBorders/>
            <w:vAlign w:val="center"/>
          </w:tcPr>
          <w:p>
            <w:pPr>
              <w:pStyle w:val="TableContents"/>
              <w:bidi w:val="0"/>
              <w:spacing w:before="0" w:after="283"/>
              <w:jc w:val="left"/>
              <w:rPr>
                <w:sz w:val="4"/>
                <w:szCs w:val="4"/>
              </w:rPr>
            </w:pPr>
            <w:r>
              <w:rPr>
                <w:sz w:val="4"/>
                <w:szCs w:val="4"/>
              </w:rPr>
            </w:r>
          </w:p>
        </w:tc>
      </w:tr>
      <w:tr>
        <w:trPr/>
        <w:tc>
          <w:tcPr>
            <w:tcW w:w="81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07" w:type="dxa"/>
            <w:tcBorders/>
            <w:vAlign w:val="bottom"/>
          </w:tcPr>
          <w:p>
            <w:pPr>
              <w:pStyle w:val="TableContents"/>
              <w:bidi w:val="0"/>
              <w:spacing w:before="0" w:after="283"/>
              <w:jc w:val="left"/>
              <w:rPr/>
            </w:pPr>
            <w:r>
              <w:rPr/>
              <w:t>  </w:t>
            </w:r>
          </w:p>
        </w:tc>
        <w:tc>
          <w:tcPr>
            <w:tcW w:w="88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15.1</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w:anchor="d65571dex151.htm">
              <w:r>
                <w:rPr>
                  <w:rStyle w:val="InternetLink"/>
                </w:rPr>
                <w:t xml:space="preserve">Letter from Ernst &amp; Young LLP regarding Unaudited Interim Financial Information.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21.1*</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r:id="rId61">
              <w:r>
                <w:rPr>
                  <w:rStyle w:val="InternetLink"/>
                </w:rPr>
                <w:t xml:space="preserve">Subsidiaries of the Registrant.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23.1</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w:anchor="d65571dex231.htm">
              <w:r>
                <w:rPr>
                  <w:rStyle w:val="InternetLink"/>
                </w:rPr>
                <w:t xml:space="preserve">Consent of Ernst &amp; Young LLP.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23.2**</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r:id="rId62">
              <w:r>
                <w:rPr>
                  <w:rStyle w:val="InternetLink"/>
                </w:rPr>
                <w:t xml:space="preserve">Consent of Kirkland &amp; Ellis LLP (included in Exhibit 5.1 to this Registration Statement).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24.1*</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r>
              <w:fldChar w:fldCharType="begin"/>
            </w:r>
            <w:r>
              <w:rPr>
                <w:rStyle w:val="InternetLink"/>
              </w:rPr>
              <w:instrText xml:space="preserve"> HYPERLINK "http://www.sec.gov/Archives/edgar/data/1131227/000119312523290782/d365366ds1.htm" \l "sig"</w:instrText>
            </w:r>
            <w:r>
              <w:rPr>
                <w:rStyle w:val="InternetLink"/>
              </w:rPr>
              <w:fldChar w:fldCharType="separate"/>
            </w:r>
            <w:r>
              <w:rPr>
                <w:rStyle w:val="InternetLink"/>
              </w:rPr>
              <w:t>Powers of Attorney (included in the signature page of the initial filing of this Registration Statement).</w:t>
            </w:r>
            <w:r>
              <w:rPr>
                <w:rStyle w:val="InternetLink"/>
              </w:rPr>
              <w:fldChar w:fldCharType="end"/>
            </w:r>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24.2*</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r:id="rId63">
              <w:r>
                <w:rPr>
                  <w:rStyle w:val="InternetLink"/>
                </w:rPr>
                <w:t xml:space="preserve">Power of Attorney of James McConeghy.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107*</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r:id="rId64">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by amendment. </w:t>
            </w:r>
          </w:p>
        </w:tc>
      </w:tr>
    </w:tbl>
    <w:tbl>
      <w:tblPr>
        <w:tblW w:w="5000" w:type="pct"/>
        <w:jc w:val="left"/>
        <w:tblInd w:w="0" w:type="dxa"/>
        <w:tblLayout w:type="fixed"/>
        <w:tblCellMar>
          <w:top w:w="0" w:type="dxa"/>
          <w:left w:w="0" w:type="dxa"/>
          <w:bottom w:w="0" w:type="dxa"/>
          <w:right w:w="0" w:type="dxa"/>
        </w:tblCellMar>
      </w:tblPr>
      <w:tblGrid>
        <w:gridCol w:w="197"/>
        <w:gridCol w:w="10008"/>
      </w:tblGrid>
      <w:tr>
        <w:trPr/>
        <w:tc>
          <w:tcPr>
            <w:tcW w:w="197" w:type="dxa"/>
            <w:tcBorders/>
          </w:tcPr>
          <w:p>
            <w:pPr>
              <w:pStyle w:val="TableContents"/>
              <w:bidi w:val="0"/>
              <w:spacing w:before="0" w:after="283"/>
              <w:jc w:val="left"/>
              <w:rPr/>
            </w:pPr>
            <w:r>
              <w:rPr/>
              <w:t></w:t>
            </w:r>
          </w:p>
        </w:tc>
        <w:tc>
          <w:tcPr>
            <w:tcW w:w="100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Compensatory plan or arrangement.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exhibits or schedules to this Exhibit have been omitted in accordance with Regulation S-K Item 601(a)(5). The registrant agrees to furnish a copy of all omitted exhibits and schedules to the Securities and Exchange Commission upon its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financial statement schedules are provided because the information called for is not applicable or is shown in the financial statements or notes.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5" w:name="ii65571_sig"/>
      <w:bookmarkEnd w:id="3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St. Tammany Parish, Louisiana, on November 14,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HORNBECK OFFSHORE SERVICES, INC.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Todd M. Hornbeck</w:t>
            </w:r>
          </w:p>
        </w:tc>
      </w:tr>
      <w:tr>
        <w:trPr/>
        <w:tc>
          <w:tcPr>
            <w:tcW w:w="4082" w:type="dxa"/>
            <w:gridSpan w:val="3"/>
            <w:tcBorders/>
          </w:tcPr>
          <w:p>
            <w:pPr>
              <w:pStyle w:val="TableContents"/>
              <w:bidi w:val="0"/>
              <w:spacing w:before="0" w:after="283"/>
              <w:jc w:val="left"/>
              <w:rPr>
                <w:sz w:val="20"/>
              </w:rPr>
            </w:pPr>
            <w:r>
              <w:rPr>
                <w:sz w:val="20"/>
              </w:rPr>
              <w:t>Name: Todd M. Hornbeck</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 Chairman of the Board, 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and power of attorney have been signed by the following persons in the capacities indicated on November 14,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Capacity</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Todd M. Hornbeck</w:t>
            </w:r>
          </w:p>
          <w:p>
            <w:pPr>
              <w:pStyle w:val="TableContents"/>
              <w:bidi w:val="0"/>
              <w:spacing w:before="0" w:after="20"/>
              <w:jc w:val="left"/>
              <w:rPr>
                <w:rFonts w:ascii="Times New Roman" w:hAnsi="Times New Roman"/>
                <w:sz w:val="20"/>
              </w:rPr>
            </w:pPr>
            <w:r>
              <w:rPr>
                <w:rFonts w:ascii="Times New Roman" w:hAnsi="Times New Roman"/>
                <w:sz w:val="20"/>
              </w:rPr>
              <w:t>Todd M. Hornbeck</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Chairman of the Board, President and Chief Executive Officer (Principal Executive Officer)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James O. Harp, Jr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Executive Vice President and Chief Financial Officer (Principal Financial and Accounting Officer)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Kurt M. Cellar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Lead Independent 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Evan Behrens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Bobby Jindal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Sylvia Jo Sydow Kerrigan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James McConeghy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Jacob Mercer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L. Don Miller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Aaron Rosen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M. Hornbeck</w:t>
            </w:r>
          </w:p>
        </w:tc>
      </w:tr>
      <w:tr>
        <w:trPr/>
        <w:tc>
          <w:tcPr>
            <w:tcW w:w="6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Todd M. Hornbeck</w:t>
            </w:r>
          </w:p>
        </w:tc>
      </w:tr>
      <w:tr>
        <w:trPr/>
        <w:tc>
          <w:tcPr>
            <w:tcW w:w="6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36" w:name="d65571dex410.htm"/>
      <w:bookmarkStart w:id="37" w:name="ksd65571dex410"/>
      <w:bookmarkEnd w:id="36"/>
      <w:bookmarkEnd w:id="37"/>
      <w:r>
        <w:rPr>
          <w:rFonts w:ascii="Times New Roman" w:hAnsi="Times New Roman"/>
          <w:b/>
          <w:sz w:val="20"/>
        </w:rPr>
        <w:t xml:space="preserve">Exhibit 4.10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1 </w:t>
      </w:r>
    </w:p>
    <w:p>
      <w:pPr>
        <w:pStyle w:val="TextBody"/>
        <w:bidi w:val="0"/>
        <w:spacing w:before="240" w:after="0"/>
        <w:jc w:val="center"/>
        <w:rPr>
          <w:rFonts w:ascii="Times New Roman" w:hAnsi="Times New Roman"/>
          <w:b/>
          <w:sz w:val="20"/>
        </w:rPr>
      </w:pPr>
      <w:r>
        <w:rPr>
          <w:rFonts w:ascii="Times New Roman" w:hAnsi="Times New Roman"/>
          <w:b/>
          <w:sz w:val="20"/>
        </w:rPr>
        <w:t xml:space="preserve">CREDITOR 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Hornbeck Offshore Services,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AS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Computershare Inc. and </w:t>
      </w:r>
    </w:p>
    <w:p>
      <w:pPr>
        <w:pStyle w:val="TextBody"/>
        <w:bidi w:val="0"/>
        <w:spacing w:before="240" w:after="0"/>
        <w:jc w:val="center"/>
        <w:rPr>
          <w:rFonts w:ascii="Times New Roman" w:hAnsi="Times New Roman"/>
          <w:b/>
          <w:sz w:val="20"/>
        </w:rPr>
      </w:pPr>
      <w:r>
        <w:rPr>
          <w:rFonts w:ascii="Times New Roman" w:hAnsi="Times New Roman"/>
          <w:b/>
          <w:sz w:val="20"/>
        </w:rPr>
        <w:t xml:space="preserve">Computershare Trust Company, N.A., </w:t>
      </w:r>
    </w:p>
    <w:p>
      <w:pPr>
        <w:pStyle w:val="TextBody"/>
        <w:bidi w:val="0"/>
        <w:spacing w:before="240" w:after="0"/>
        <w:jc w:val="center"/>
        <w:rPr>
          <w:rFonts w:ascii="Times New Roman" w:hAnsi="Times New Roman"/>
          <w:b/>
          <w:sz w:val="20"/>
        </w:rPr>
      </w:pPr>
      <w:r>
        <w:rPr>
          <w:rFonts w:ascii="Times New Roman" w:hAnsi="Times New Roman"/>
          <w:b/>
          <w:sz w:val="20"/>
        </w:rPr>
        <w:t xml:space="preserve">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Certain Holders Signatory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AS CONSENTING 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December 10, 2024 </w:t>
      </w:r>
    </w:p>
    <w:p>
      <w:pPr>
        <w:pStyle w:val="TextBody"/>
        <w:bidi w:val="0"/>
        <w:spacing w:before="240" w:after="0"/>
        <w:jc w:val="left"/>
        <w:rPr>
          <w:rFonts w:ascii="Times New Roman" w:hAnsi="Times New Roman"/>
          <w:sz w:val="20"/>
        </w:rPr>
      </w:pPr>
      <w:r>
        <w:rPr>
          <w:rFonts w:ascii="Times New Roman" w:hAnsi="Times New Roman"/>
          <w:sz w:val="20"/>
        </w:rPr>
        <w:t>AMENDMENT NO. 1 (this “</w:t>
      </w:r>
      <w:r>
        <w:rPr>
          <w:rFonts w:ascii="Times New Roman" w:hAnsi="Times New Roman"/>
          <w:b/>
          <w:sz w:val="20"/>
        </w:rPr>
        <w:t>Amendment</w:t>
      </w:r>
      <w:r>
        <w:rPr>
          <w:rFonts w:ascii="Times New Roman" w:hAnsi="Times New Roman"/>
          <w:sz w:val="20"/>
        </w:rPr>
        <w:t>”) dated as of December 10, 2024 to the Creditor Warrant Agreement dated as of September 4, 2020 (“</w:t>
      </w:r>
      <w:r>
        <w:rPr>
          <w:rFonts w:ascii="Times New Roman" w:hAnsi="Times New Roman"/>
          <w:b/>
          <w:sz w:val="20"/>
        </w:rPr>
        <w:t>Creditor Warrant Agreement</w:t>
      </w:r>
      <w:r>
        <w:rPr>
          <w:rFonts w:ascii="Times New Roman" w:hAnsi="Times New Roman"/>
          <w:sz w:val="20"/>
        </w:rPr>
        <w:t>”), among Hornbeck Offshore Services, Inc. (the “</w:t>
      </w:r>
      <w:r>
        <w:rPr>
          <w:rFonts w:ascii="Times New Roman" w:hAnsi="Times New Roman"/>
          <w:b/>
          <w:sz w:val="20"/>
        </w:rPr>
        <w:t xml:space="preserve">Issuer), </w:t>
      </w:r>
      <w:r>
        <w:rPr>
          <w:rFonts w:ascii="Times New Roman" w:hAnsi="Times New Roman"/>
          <w:sz w:val="20"/>
        </w:rPr>
        <w:t>Computershare Inc. and Computershare Trust Company, N.A., as warrant agent (the “</w:t>
      </w:r>
      <w:r>
        <w:rPr>
          <w:rFonts w:ascii="Times New Roman" w:hAnsi="Times New Roman"/>
          <w:b/>
          <w:sz w:val="20"/>
        </w:rPr>
        <w:t>Warrant Agent</w:t>
      </w:r>
      <w:r>
        <w:rPr>
          <w:rFonts w:ascii="Times New Roman" w:hAnsi="Times New Roman"/>
          <w:sz w:val="20"/>
        </w:rPr>
        <w:t>”) and the Holders signatory hereto (the “</w:t>
      </w:r>
      <w:r>
        <w:rPr>
          <w:rFonts w:ascii="Times New Roman" w:hAnsi="Times New Roman"/>
          <w:b/>
          <w:sz w:val="20"/>
        </w:rPr>
        <w:t>Consenting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has requested that the Creditor Warrant Agreement be amended on the terms set forth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WHERAS, the Creditor Warrant Agreement may be amended if Holders of at least seventy-five percent (75%) of the New Creditor Warrants, inclusive of the Ares and Whitebox Holders provide written consent to the Warrant Agent of the amendment;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Consenting Holders party hereto constitute, collectively, in excess of seventy-five percent (75%) of all Holders, inclusive of the Ares and Whitebox 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the Warrant Agent has received from an Appropriate Officer of the Issuer the certificate, which is attached hereto and made a part hereof as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Accordingly, in consideration of the foregoing and for other good and valuable consideration, the receipt and sufficiency of which are hereby acknowledged, the parties hereto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b/>
          <w:sz w:val="20"/>
          <w:u w:val="single"/>
        </w:rPr>
        <w:t>Definitions</w:t>
      </w:r>
      <w:r>
        <w:rPr>
          <w:rFonts w:ascii="Times New Roman" w:hAnsi="Times New Roman"/>
          <w:sz w:val="20"/>
        </w:rPr>
        <w:t xml:space="preserve">. Capitalized terms used and not otherwise defined herein have the meanings assigned to them in the Creditor Warrant Agreement as amended by this Amendment.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TO THE CREDITOR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b/>
          <w:sz w:val="20"/>
          <w:u w:val="single"/>
        </w:rPr>
        <w:t>Amendments to Creditor Warrant Agreement</w:t>
      </w:r>
      <w:r>
        <w:rPr>
          <w:rFonts w:ascii="Times New Roman" w:hAnsi="Times New Roman"/>
          <w:sz w:val="20"/>
        </w:rPr>
        <w:t xml:space="preserve">. Each of the parties hereto agrees and provides its written consent that, effective on the Amendment Effective Date, the Creditor Warrant Agreement shall be amended to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double-underlined text (indicated textually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as set forth in the pages of the Creditor Warrant Agreement attached as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b/>
          <w:sz w:val="20"/>
          <w:u w:val="single"/>
        </w:rPr>
        <w:t>Representations and Warranties of the Issuer</w:t>
      </w:r>
      <w:r>
        <w:rPr>
          <w:rFonts w:ascii="Times New Roman" w:hAnsi="Times New Roman"/>
          <w:sz w:val="20"/>
        </w:rPr>
        <w:t xml:space="preserve">. The Issuer represents and warrants to the Warrant Agent that, on and as of the 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(a) The execution, delivery and performance by the Issuer of this Amendment have been duly authorized by all necessary corporate and, if required shareholder action, and do not and will not violate the Organizational Documents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(b) This Amendment has been duly executed and delivered by the Issuer and constitutes a legal, valid and binding obligation of the Issuer enforceable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b/>
          <w:sz w:val="20"/>
          <w:u w:val="single"/>
        </w:rPr>
        <w:t>Representations and Warranties of the Consenting Holders</w:t>
      </w:r>
      <w:r>
        <w:rPr>
          <w:rFonts w:ascii="Times New Roman" w:hAnsi="Times New Roman"/>
          <w:sz w:val="20"/>
          <w:u w:val="single"/>
        </w:rPr>
        <w:t xml:space="preserve">. </w:t>
      </w:r>
      <w:r>
        <w:rPr>
          <w:rFonts w:ascii="Times New Roman" w:hAnsi="Times New Roman"/>
          <w:sz w:val="20"/>
        </w:rPr>
        <w:t xml:space="preserve">Each of the Consenting Holders represents and warrants to the Warrant Agent that, on and as of the Amendment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execution, delivery and performance by the Issuer of this Amendment have been duly authorized by all necessary limited liability company or corporate and, if required, member, or shareholder action, and do not and will not violate the Organizational Documents of each such Consenting Holder. </w:t>
      </w:r>
    </w:p>
    <w:p>
      <w:pPr>
        <w:pStyle w:val="TextBody"/>
        <w:bidi w:val="0"/>
        <w:spacing w:before="120" w:after="0"/>
        <w:jc w:val="left"/>
        <w:rPr>
          <w:rFonts w:ascii="Times New Roman" w:hAnsi="Times New Roman"/>
          <w:sz w:val="20"/>
        </w:rPr>
      </w:pPr>
      <w:r>
        <w:rPr>
          <w:rFonts w:ascii="Times New Roman" w:hAnsi="Times New Roman"/>
          <w:sz w:val="20"/>
        </w:rPr>
        <w:t xml:space="preserve">(b) This Amendment has been duly executed and delivered by each Consenting Holder and constitutes a legal, valid and binding obligation of each such Consenting Holder and is enforceable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EFFECTIVENESS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b/>
          <w:sz w:val="20"/>
          <w:u w:val="single"/>
        </w:rPr>
        <w:t>Amendment Effective Date</w:t>
      </w:r>
      <w:r>
        <w:rPr>
          <w:rFonts w:ascii="Times New Roman" w:hAnsi="Times New Roman"/>
          <w:sz w:val="20"/>
        </w:rPr>
        <w:t>. This Amendment shall become effective as of the first date (the “</w:t>
      </w:r>
      <w:r>
        <w:rPr>
          <w:rFonts w:ascii="Times New Roman" w:hAnsi="Times New Roman"/>
          <w:b/>
          <w:sz w:val="20"/>
        </w:rPr>
        <w:t>Amendment Effective Date</w:t>
      </w:r>
      <w:r>
        <w:rPr>
          <w:rFonts w:ascii="Times New Roman" w:hAnsi="Times New Roman"/>
          <w:sz w:val="20"/>
        </w:rPr>
        <w:t xml:space="preserve">”) on which each of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Execution and Delivery of this Amendment</w:t>
      </w:r>
      <w:r>
        <w:rPr>
          <w:rFonts w:ascii="Times New Roman" w:hAnsi="Times New Roman"/>
          <w:sz w:val="20"/>
        </w:rPr>
        <w:t xml:space="preserve">. The Warrant Agent shall have received a counterpart signature page of this Amendment duly executed by the Issuer and by each Consenting Holder sufficient to constitute seventy-five percent of all Holders inclusive of the Ares and Whitebox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b/>
          <w:sz w:val="20"/>
          <w:u w:val="single"/>
        </w:rPr>
        <w:t>Effects of this Amendment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set forth herein, this Amendment shall not by implication or otherwise limit, impair, constitute a waiver of or otherwise affect the rights and remedies of the Holders or the Warrant Agent under the existing Creditor Warrant Agreement and shall not alter, modify, amend or in any way affect any of the terms, conditions, obligations, covenants or agreements contained in the existing Creditor Warrant Agreement or any other provision of the existing Creditor Warrant Agreement, all of which are ratified and affirmed in all respects and shall continue in full force and effect. Except as expressly set forth herein, nothing herein shall be deemed to be a waiver, amendment, modification or other change of, any of the terms, conditions, obligations, covenants or agreements contained in the Creditor Warrant Agreement in similar or different circumstances. </w:t>
      </w:r>
    </w:p>
    <w:p>
      <w:pPr>
        <w:pStyle w:val="TextBody"/>
        <w:bidi w:val="0"/>
        <w:spacing w:before="120" w:after="0"/>
        <w:jc w:val="left"/>
        <w:rPr>
          <w:rFonts w:ascii="Times New Roman" w:hAnsi="Times New Roman"/>
          <w:sz w:val="20"/>
        </w:rPr>
      </w:pPr>
      <w:r>
        <w:rPr>
          <w:rFonts w:ascii="Times New Roman" w:hAnsi="Times New Roman"/>
          <w:sz w:val="20"/>
        </w:rPr>
        <w:t xml:space="preserve">(b) From and after the Amendment Effective Date, each reference in the Creditor Warrant Agreement to “this Agreement”, “hereunder”, “hereof”, “herein”, or words of like import, and each reference to the Creditor Warrant Agreement in any other document shall be deemed a reference to the Creditor Warrant Agreement as amended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b/>
          <w:sz w:val="20"/>
          <w:u w:val="single"/>
        </w:rPr>
        <w:t>Governing Law</w:t>
      </w:r>
      <w:r>
        <w:rPr>
          <w:rFonts w:ascii="Times New Roman" w:hAnsi="Times New Roman"/>
          <w:i/>
          <w:sz w:val="20"/>
        </w:rPr>
        <w:t xml:space="preserve">. </w:t>
      </w:r>
      <w:r>
        <w:rPr>
          <w:rFonts w:ascii="Times New Roman" w:hAnsi="Times New Roman"/>
          <w:sz w:val="20"/>
        </w:rPr>
        <w:t xml:space="preserve">THIS AMENDMENT SHALL BE GOVERNED BY, AND CONSTRUED IN ACCORDANCE WITH,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b/>
          <w:sz w:val="20"/>
          <w:u w:val="single"/>
        </w:rPr>
        <w:t>Expenses</w:t>
      </w:r>
      <w:r>
        <w:rPr>
          <w:rFonts w:ascii="Times New Roman" w:hAnsi="Times New Roman"/>
          <w:b/>
          <w:sz w:val="20"/>
        </w:rPr>
        <w:t>.</w:t>
      </w:r>
      <w:r>
        <w:rPr>
          <w:rFonts w:ascii="Times New Roman" w:hAnsi="Times New Roman"/>
          <w:sz w:val="20"/>
        </w:rPr>
        <w:t xml:space="preserve"> The Issuer agrees to reimburse the Warrant Agent and for all out-of-pocket fees, charges and disbursements of counsel in connection with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5.03 </w:t>
      </w:r>
      <w:r>
        <w:rPr>
          <w:rFonts w:ascii="Times New Roman" w:hAnsi="Times New Roman"/>
          <w:b/>
          <w:sz w:val="20"/>
          <w:u w:val="single"/>
        </w:rPr>
        <w:t>Counterparts</w:t>
      </w:r>
      <w:r>
        <w:rPr>
          <w:rFonts w:ascii="Times New Roman" w:hAnsi="Times New Roman"/>
          <w:sz w:val="20"/>
        </w:rPr>
        <w:t xml:space="preserve">. This Amendment may be executed in counterparts (and by different parties hereto on different counterparts), each of which shall constitute an original, but all of which when taken together shall constitute a single contract. The exchange of copies of this Amendment and of signature pages by facsimile or PDF transmission shall constitute effective execution and delivery of this Amendment as to the parties hereto and may be used in lieu of the original Amendment and signature pages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b/>
          <w:sz w:val="20"/>
          <w:u w:val="single"/>
        </w:rPr>
        <w:t>Headings</w:t>
      </w:r>
      <w:r>
        <w:rPr>
          <w:rFonts w:ascii="Times New Roman" w:hAnsi="Times New Roman"/>
          <w:sz w:val="20"/>
        </w:rPr>
        <w:t xml:space="preserve">. Section headings used herein are for convenience of reference only, are not part of this Amendment and shall not affect the construction of, or be taken into consideration in interpreting,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b/>
          <w:sz w:val="20"/>
          <w:u w:val="single"/>
        </w:rPr>
        <w:t>Direction to Warrant Agent</w:t>
      </w:r>
      <w:r>
        <w:rPr>
          <w:rFonts w:ascii="Times New Roman" w:hAnsi="Times New Roman"/>
          <w:sz w:val="20"/>
        </w:rPr>
        <w:t xml:space="preserve">. Each of the Consenting Holders party hereto hereby (i) authorizes and directs the Warrant Agent to enter into this Amendment and (ii) confirms that it is a Holder under the Creditor Warrant Agreement as of the date hereof.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and delivered by their respective officers thereunto duly authorized as of the date first written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3"/>
        <w:gridCol w:w="109"/>
        <w:gridCol w:w="370"/>
        <w:gridCol w:w="109"/>
        <w:gridCol w:w="657"/>
        <w:gridCol w:w="109"/>
        <w:gridCol w:w="4458"/>
      </w:tblGrid>
      <w:tr>
        <w:trPr/>
        <w:tc>
          <w:tcPr>
            <w:tcW w:w="4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58" w:type="dxa"/>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t>ISSUER:</w:t>
            </w:r>
          </w:p>
        </w:tc>
        <w:tc>
          <w:tcPr>
            <w:tcW w:w="109"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24" w:type="dxa"/>
            <w:gridSpan w:val="3"/>
            <w:tcBorders/>
          </w:tcPr>
          <w:p>
            <w:pPr>
              <w:pStyle w:val="TableContents"/>
              <w:bidi w:val="0"/>
              <w:spacing w:before="0" w:after="283"/>
              <w:jc w:val="left"/>
              <w:rPr/>
            </w:pPr>
            <w:r>
              <w:rPr/>
              <w:t>HORNBECK OFFSHORE SERVICES, INC.</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766" w:type="dxa"/>
            <w:gridSpan w:val="2"/>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O. Harp, Jr.</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58" w:type="dxa"/>
            <w:tcBorders/>
          </w:tcPr>
          <w:p>
            <w:pPr>
              <w:pStyle w:val="TableContents"/>
              <w:bidi w:val="0"/>
              <w:spacing w:before="0" w:after="283"/>
              <w:jc w:val="left"/>
              <w:rPr/>
            </w:pPr>
            <w:r>
              <w:rPr/>
              <w:t>James O. Harp, Jr.</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58" w:type="dxa"/>
            <w:tcBorders/>
          </w:tcPr>
          <w:p>
            <w:pPr>
              <w:pStyle w:val="TableContents"/>
              <w:bidi w:val="0"/>
              <w:spacing w:before="0" w:after="283"/>
              <w:jc w:val="left"/>
              <w:rPr/>
            </w:pPr>
            <w:r>
              <w:rPr/>
              <w:t>Executive Vice President and Chief Financial Officer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5333"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t>WARRANT AGENT:</w:t>
            </w:r>
          </w:p>
        </w:tc>
        <w:tc>
          <w:tcPr>
            <w:tcW w:w="109"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24" w:type="dxa"/>
            <w:gridSpan w:val="3"/>
            <w:tcBorders/>
          </w:tcPr>
          <w:p>
            <w:pPr>
              <w:pStyle w:val="TableContents"/>
              <w:bidi w:val="0"/>
              <w:spacing w:before="0" w:after="283"/>
              <w:jc w:val="left"/>
              <w:rPr/>
            </w:pPr>
            <w:r>
              <w:rPr/>
              <w:t>COMPUTERSHARE INC. AND COMPUTERSHARE TRUST COMPANY, N.A.,</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766" w:type="dxa"/>
            <w:gridSpan w:val="2"/>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Collin Ekeogu</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58" w:type="dxa"/>
            <w:tcBorders/>
          </w:tcPr>
          <w:p>
            <w:pPr>
              <w:pStyle w:val="TableContents"/>
              <w:bidi w:val="0"/>
              <w:spacing w:before="0" w:after="283"/>
              <w:jc w:val="left"/>
              <w:rPr/>
            </w:pPr>
            <w:r>
              <w:rPr/>
              <w:t>Collin Ekeogu</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58" w:type="dxa"/>
            <w:tcBorders/>
          </w:tcPr>
          <w:p>
            <w:pPr>
              <w:pStyle w:val="TableContents"/>
              <w:bidi w:val="0"/>
              <w:spacing w:before="0" w:after="283"/>
              <w:jc w:val="left"/>
              <w:rPr/>
            </w:pPr>
            <w:r>
              <w:rPr/>
              <w:t>Senior Manager, Corporate Actions</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New Creditor Warrant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CONSENTING HOLDER:</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ASSF IV AIV B Holdings III,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ASSF Operating Manager IV, L.P., its manager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Aaron Rosen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Aaron Rosen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Creditor Warrant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pPr>
            <w:r>
              <w:rPr/>
              <w:t>ASOF Holdings 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ASOF Investment Management LLC., its manager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Aaron Rosen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Aaron Rosen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pPr>
            <w:r>
              <w:rPr/>
              <w:t>SA Real Assets 19 Limited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Ares Management LLC, its investment manager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 Margolies</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Greg Margolies</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pPr>
            <w:r>
              <w:rPr/>
              <w:t>Ares Credit Strategies Insurance Dedicated Fund Series Interest of the SALI Multi-Series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Ares Management LLC, its investment manager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 Margolies</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Greg Margolies</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9"/>
        <w:gridCol w:w="60"/>
        <w:gridCol w:w="3363"/>
      </w:tblGrid>
      <w:tr>
        <w:trPr/>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pPr>
            <w:r>
              <w:rPr/>
              <w:t>Whitebox Multi-Strategy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Whitebox Advisors LLC, its investment manager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Luke Harris</w:t>
            </w:r>
          </w:p>
        </w:tc>
      </w:tr>
      <w:tr>
        <w:trPr/>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Luke Harris</w:t>
            </w:r>
          </w:p>
        </w:tc>
      </w:tr>
      <w:tr>
        <w:trPr/>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General Counsel – Corporate Transactions &amp; Litigation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9"/>
        <w:gridCol w:w="60"/>
        <w:gridCol w:w="3363"/>
      </w:tblGrid>
      <w:tr>
        <w:trPr/>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pPr>
            <w:r>
              <w:rPr/>
              <w:t>Pandora Select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Whitebox Advisors LLC, its investment manager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Luke Harris</w:t>
            </w:r>
          </w:p>
        </w:tc>
      </w:tr>
      <w:tr>
        <w:trPr/>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Luke Harris</w:t>
            </w:r>
          </w:p>
        </w:tc>
      </w:tr>
      <w:tr>
        <w:trPr/>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General Counsel – Corporate Transactions &amp; Litigation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9"/>
        <w:gridCol w:w="60"/>
        <w:gridCol w:w="3363"/>
      </w:tblGrid>
      <w:tr>
        <w:trPr/>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pPr>
            <w:r>
              <w:rPr/>
              <w:t>Whitebox Relative Value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Whitebox Advisors LLC, its investment manager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Luke Harris</w:t>
            </w:r>
          </w:p>
        </w:tc>
      </w:tr>
      <w:tr>
        <w:trPr/>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Luke Harris</w:t>
            </w:r>
          </w:p>
        </w:tc>
      </w:tr>
      <w:tr>
        <w:trPr/>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General Counsel – Corporate Transactions &amp; Litigation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9"/>
        <w:gridCol w:w="60"/>
        <w:gridCol w:w="3363"/>
      </w:tblGrid>
      <w:tr>
        <w:trPr/>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pPr>
            <w:r>
              <w:rPr/>
              <w:t>Whitebox Credit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Whitebox Advisors LLC, its investment manager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Luke Harris</w:t>
            </w:r>
          </w:p>
        </w:tc>
      </w:tr>
      <w:tr>
        <w:trPr/>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Luke Harris</w:t>
            </w:r>
          </w:p>
        </w:tc>
      </w:tr>
      <w:tr>
        <w:trPr/>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General Counsel – Corporate Transactions &amp; Litigation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9"/>
        <w:gridCol w:w="60"/>
        <w:gridCol w:w="3363"/>
      </w:tblGrid>
      <w:tr>
        <w:trPr/>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CONSENTING HOLDER:</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Whitebox GT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Whitebox Advisors LLC, its investment manager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Luke Harris</w:t>
            </w:r>
          </w:p>
        </w:tc>
      </w:tr>
      <w:tr>
        <w:trPr/>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Luke Harris</w:t>
            </w:r>
          </w:p>
        </w:tc>
      </w:tr>
      <w:tr>
        <w:trPr/>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General Counsel – Corporate Transactions &amp; Litigation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Sola Ltd</w:t>
            </w:r>
          </w:p>
          <w:p>
            <w:pPr>
              <w:pStyle w:val="TableContents"/>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Solus Alternative Asset Management LP, its Investment Advisor</w:t>
            </w:r>
          </w:p>
          <w:p>
            <w:pPr>
              <w:pStyle w:val="TableContents"/>
              <w:bidi w:val="0"/>
              <w:spacing w:before="0" w:after="20"/>
              <w:jc w:val="left"/>
              <w:rPr/>
            </w:pPr>
            <w:r>
              <w:rPr/>
              <w:t> </w:t>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J. Yeager</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Gordon J. Yeager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pPr>
            <w:r>
              <w:rPr/>
              <w:t>Solus Opportunities Fund 5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Solus Alternative Asset Management LP, its Investment Advisor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J. Yeager</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Gordon J. Yeager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Solus Opportunities Fund 4 LP</w:t>
            </w:r>
          </w:p>
          <w:p>
            <w:pPr>
              <w:pStyle w:val="TableContents"/>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Solus Alternative Asset Management LP, its Investment Advisor</w:t>
            </w:r>
          </w:p>
          <w:p>
            <w:pPr>
              <w:pStyle w:val="TableContents"/>
              <w:bidi w:val="0"/>
              <w:spacing w:before="0" w:after="20"/>
              <w:jc w:val="left"/>
              <w:rPr/>
            </w:pPr>
            <w:r>
              <w:rPr/>
              <w:t> </w:t>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J. Yeager</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Gordon J. Yeager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Solus Long-Term Opportunities Fund Master LP</w:t>
            </w:r>
          </w:p>
          <w:p>
            <w:pPr>
              <w:pStyle w:val="TableContents"/>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Solus Alternative Asset Management LP, its Investment Advisor</w:t>
            </w:r>
          </w:p>
          <w:p>
            <w:pPr>
              <w:pStyle w:val="TableContents"/>
              <w:bidi w:val="0"/>
              <w:spacing w:before="0" w:after="20"/>
              <w:jc w:val="left"/>
              <w:rPr/>
            </w:pPr>
            <w:r>
              <w:rPr/>
              <w:t> </w:t>
            </w:r>
          </w:p>
        </w:tc>
      </w:tr>
      <w:tr>
        <w:trPr>
          <w:trHeight w:val="75"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J. Yeager</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Gordon J. Yeager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CONSENTING HOLDER:</w:t>
            </w:r>
          </w:p>
          <w:p>
            <w:pPr>
              <w:pStyle w:val="TableContents"/>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Ultra NB LLC</w:t>
            </w:r>
          </w:p>
          <w:p>
            <w:pPr>
              <w:pStyle w:val="TableContents"/>
              <w:bidi w:val="0"/>
              <w:spacing w:before="0" w:after="20"/>
              <w:jc w:val="left"/>
              <w:rPr/>
            </w:pPr>
            <w:r>
              <w:rPr/>
              <w:t> </w:t>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By: Solus Alternative Asset Management LP, its Investment Manager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J. Yeager</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Gordon J. Yeager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CONSENTING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Valueworks Limited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Lemonides</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Charles Lemonides</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Managing Member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CONSENTING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Merced Partners Limited Partnership</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Stuart Brown</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Stuart Brown</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CONSENTING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Merced Partners V, L.P.</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Stuart Brown</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Stuart Brown</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CONSENTING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Athilon Capital Corp. LLC</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Stuart Brown</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Stuart Brown</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CONSENTING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solely on behalf of its New York distressed trading desk, and not on behalf of any of its other trading desks, business units, divisions or affiliates</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McGowan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Brian McGowan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Creditor Warrant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CREDITOR WARRANT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CERTIFICATE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0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69"/>
        <w:gridCol w:w="263"/>
        <w:gridCol w:w="94"/>
        <w:gridCol w:w="616"/>
        <w:gridCol w:w="63"/>
      </w:tblGrid>
      <w:tr>
        <w:trPr/>
        <w:tc>
          <w:tcPr>
            <w:tcW w:w="9169"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69"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 Certain Defined Terms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2. Appointment of Warrant Agent</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3. Issuance of Warrants; Form, Execution and Delivery</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4. Transfer or Exchange</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5. Duration and Exercise of Warrants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6. Adjustment of Number of Shares Purchasable or Number of Warrants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7. Cancellation of Warrants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8. Mutilated or Missing Warrant Certificates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9. Reservation of Shares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w:t>
            </w:r>
            <w:r>
              <w:rPr>
                <w:strike/>
                <w:color w:val="FF0000"/>
              </w:rPr>
              <w:t>7</w:t>
            </w:r>
            <w:r>
              <w:rPr>
                <w:color w:val="0000FF"/>
                <w:u w:val="single"/>
                <w:bdr w:val="double" w:sz="2" w:space="1" w:color="000000"/>
              </w:rPr>
              <w:t>6</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10. Legends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11. Notification of Certain Events; Corporate Action</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w:t>
            </w:r>
            <w:r>
              <w:rPr>
                <w:strike/>
                <w:color w:val="FF0000"/>
              </w:rPr>
              <w:t>8</w:t>
            </w:r>
            <w:r>
              <w:rPr>
                <w:color w:val="0000FF"/>
                <w:u w:val="single"/>
                <w:bdr w:val="double" w:sz="2" w:space="1" w:color="000000"/>
              </w:rPr>
              <w:t>7</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12. Warrant Agent</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w:t>
            </w:r>
            <w:r>
              <w:rPr>
                <w:strike/>
                <w:color w:val="FF0000"/>
              </w:rPr>
              <w:t>9</w:t>
            </w:r>
            <w:r>
              <w:rPr>
                <w:color w:val="0000FF"/>
                <w:u w:val="single"/>
                <w:bdr w:val="double" w:sz="2" w:space="1" w:color="000000"/>
              </w:rPr>
              <w:t>8</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13. Severability</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14. Holder Not Deemed a Stockholder</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15. Notices to Company and Warrant Agent</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w:t>
            </w:r>
            <w:r>
              <w:rPr>
                <w:strike/>
                <w:color w:val="FF0000"/>
              </w:rPr>
              <w:t>5</w:t>
            </w:r>
            <w:r>
              <w:rPr>
                <w:color w:val="0000FF"/>
                <w:u w:val="single"/>
                <w:bdr w:val="double" w:sz="2" w:space="1" w:color="000000"/>
              </w:rPr>
              <w:t>4</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16. Supplements and Amendments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17. Termination</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18. Governing Law and Consent to Forum</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19. Waiver of Jury Trial</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20. Benefits of this Agreement</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w:t>
            </w:r>
            <w:r>
              <w:rPr>
                <w:strike/>
                <w:color w:val="FF0000"/>
              </w:rPr>
              <w:t>7</w:t>
            </w:r>
            <w:r>
              <w:rPr>
                <w:color w:val="0000FF"/>
                <w:u w:val="single"/>
                <w:bdr w:val="double" w:sz="2" w:space="1" w:color="000000"/>
              </w:rPr>
              <w:t>6</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21. Counterparts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169" w:type="dxa"/>
            <w:tcBorders/>
            <w:vAlign w:val="center"/>
          </w:tcPr>
          <w:p>
            <w:pPr>
              <w:pStyle w:val="TableContents"/>
              <w:bidi w:val="0"/>
              <w:spacing w:before="0" w:after="283"/>
              <w:jc w:val="left"/>
              <w:rPr>
                <w:sz w:val="4"/>
                <w:szCs w:val="4"/>
              </w:rPr>
            </w:pPr>
            <w:r>
              <w:rPr>
                <w:sz w:val="4"/>
                <w:szCs w:val="4"/>
              </w:rPr>
            </w:r>
          </w:p>
        </w:tc>
        <w:tc>
          <w:tcPr>
            <w:tcW w:w="1036" w:type="dxa"/>
            <w:gridSpan w:val="4"/>
            <w:tcBorders/>
            <w:vAlign w:val="center"/>
          </w:tcPr>
          <w:p>
            <w:pPr>
              <w:pStyle w:val="TableContents"/>
              <w:bidi w:val="0"/>
              <w:spacing w:before="0" w:after="283"/>
              <w:jc w:val="left"/>
              <w:rPr>
                <w:sz w:val="4"/>
                <w:szCs w:val="4"/>
              </w:rPr>
            </w:pPr>
            <w:r>
              <w:rPr>
                <w:sz w:val="4"/>
                <w:szCs w:val="4"/>
              </w:rPr>
            </w:r>
          </w:p>
        </w:tc>
      </w:tr>
      <w:tr>
        <w:trPr/>
        <w:tc>
          <w:tcPr>
            <w:tcW w:w="9169" w:type="dxa"/>
            <w:tcBorders/>
          </w:tcPr>
          <w:p>
            <w:pPr>
              <w:pStyle w:val="TableContents"/>
              <w:bidi w:val="0"/>
              <w:spacing w:before="0" w:after="0"/>
              <w:jc w:val="left"/>
              <w:rPr>
                <w:rFonts w:ascii="Times New Roman" w:hAnsi="Times New Roman"/>
                <w:sz w:val="20"/>
              </w:rPr>
            </w:pPr>
            <w:r>
              <w:rPr>
                <w:rFonts w:ascii="Times New Roman" w:hAnsi="Times New Roman"/>
                <w:sz w:val="20"/>
              </w:rPr>
              <w:t>SECTION 22. Headings</w:t>
            </w:r>
          </w:p>
        </w:tc>
        <w:tc>
          <w:tcPr>
            <w:tcW w:w="26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544"/>
        <w:gridCol w:w="155"/>
        <w:gridCol w:w="60"/>
        <w:gridCol w:w="384"/>
        <w:gridCol w:w="62"/>
      </w:tblGrid>
      <w:tr>
        <w:trPr/>
        <w:tc>
          <w:tcPr>
            <w:tcW w:w="954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rFonts w:ascii="Times New Roman" w:hAnsi="Times New Roman"/>
                <w:sz w:val="20"/>
              </w:rPr>
            </w:pPr>
            <w:r>
              <w:rPr>
                <w:rFonts w:ascii="Times New Roman" w:hAnsi="Times New Roman"/>
                <w:sz w:val="20"/>
              </w:rPr>
              <w:t>SECTION 23. Confidentiality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rFonts w:ascii="Times New Roman" w:hAnsi="Times New Roman"/>
                <w:sz w:val="20"/>
              </w:rPr>
            </w:pPr>
            <w:r>
              <w:rPr>
                <w:rFonts w:ascii="Times New Roman" w:hAnsi="Times New Roman"/>
                <w:sz w:val="20"/>
              </w:rPr>
              <w:t>SECTION 24. Representations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rFonts w:ascii="Times New Roman" w:hAnsi="Times New Roman"/>
                <w:sz w:val="20"/>
              </w:rPr>
            </w:pPr>
            <w:r>
              <w:rPr>
                <w:rFonts w:ascii="Times New Roman" w:hAnsi="Times New Roman"/>
                <w:sz w:val="20"/>
              </w:rPr>
              <w:t>SECTION 25. Entire Agreement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3</w:t>
            </w:r>
            <w:r>
              <w:rPr>
                <w:strike/>
                <w:color w:val="FF0000"/>
              </w:rPr>
              <w:t>8</w:t>
            </w:r>
            <w:r>
              <w:rPr>
                <w:color w:val="0000FF"/>
                <w:u w:val="single"/>
                <w:bdr w:val="double" w:sz="2" w:space="1" w:color="000000"/>
              </w:rPr>
              <w:t>7</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rFonts w:ascii="Times New Roman" w:hAnsi="Times New Roman"/>
                <w:sz w:val="20"/>
              </w:rPr>
            </w:pPr>
            <w:r>
              <w:rPr>
                <w:rFonts w:ascii="Times New Roman" w:hAnsi="Times New Roman"/>
                <w:sz w:val="20"/>
              </w:rPr>
              <w:t>SECTION 26. No Suspension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3</w:t>
            </w:r>
            <w:r>
              <w:rPr>
                <w:strike/>
                <w:color w:val="FF0000"/>
              </w:rPr>
              <w:t>8</w:t>
            </w:r>
            <w:r>
              <w:rPr>
                <w:color w:val="0000FF"/>
                <w:u w:val="single"/>
                <w:bdr w:val="double" w:sz="2" w:space="1" w:color="000000"/>
              </w:rPr>
              <w:t>7</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rFonts w:ascii="Times New Roman" w:hAnsi="Times New Roman"/>
                <w:sz w:val="20"/>
              </w:rPr>
            </w:pPr>
            <w:r>
              <w:rPr>
                <w:rFonts w:ascii="Times New Roman" w:hAnsi="Times New Roman"/>
                <w:sz w:val="20"/>
              </w:rPr>
              <w:t>SECTION 27. Withholding; Adjustments Relating to Withholding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3</w:t>
            </w:r>
            <w:r>
              <w:rPr>
                <w:strike/>
                <w:color w:val="FF0000"/>
              </w:rPr>
              <w:t>8</w:t>
            </w:r>
            <w:r>
              <w:rPr>
                <w:color w:val="0000FF"/>
                <w:u w:val="single"/>
                <w:bdr w:val="double" w:sz="2" w:space="1" w:color="000000"/>
              </w:rPr>
              <w:t>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6"/>
        <w:gridCol w:w="123"/>
        <w:gridCol w:w="8856"/>
      </w:tblGrid>
      <w:tr>
        <w:trPr/>
        <w:tc>
          <w:tcPr>
            <w:tcW w:w="122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856" w:type="dxa"/>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8856" w:type="dxa"/>
            <w:tcBorders/>
          </w:tcPr>
          <w:p>
            <w:pPr>
              <w:pStyle w:val="TableContents"/>
              <w:bidi w:val="0"/>
              <w:spacing w:before="0" w:after="283"/>
              <w:jc w:val="left"/>
              <w:rPr/>
            </w:pPr>
            <w:r>
              <w:rPr/>
              <w:t>Warrant Allocation Schedule</w:t>
            </w:r>
          </w:p>
        </w:tc>
      </w:tr>
      <w:tr>
        <w:trPr/>
        <w:tc>
          <w:tcPr>
            <w:tcW w:w="1226" w:type="dxa"/>
            <w:tcBorders/>
          </w:tcPr>
          <w:p>
            <w:pPr>
              <w:pStyle w:val="TableContents"/>
              <w:bidi w:val="0"/>
              <w:spacing w:before="0" w:after="283"/>
              <w:jc w:val="left"/>
              <w:rPr/>
            </w:pPr>
            <w:r>
              <w:rPr/>
              <w:t>Exhibit B-1</w:t>
            </w:r>
          </w:p>
        </w:tc>
        <w:tc>
          <w:tcPr>
            <w:tcW w:w="123" w:type="dxa"/>
            <w:tcBorders/>
            <w:vAlign w:val="bottom"/>
          </w:tcPr>
          <w:p>
            <w:pPr>
              <w:pStyle w:val="TableContents"/>
              <w:bidi w:val="0"/>
              <w:spacing w:before="0" w:after="283"/>
              <w:jc w:val="left"/>
              <w:rPr/>
            </w:pPr>
            <w:r>
              <w:rPr/>
              <w:t>  </w:t>
            </w:r>
          </w:p>
        </w:tc>
        <w:tc>
          <w:tcPr>
            <w:tcW w:w="8856" w:type="dxa"/>
            <w:tcBorders/>
          </w:tcPr>
          <w:p>
            <w:pPr>
              <w:pStyle w:val="TableContents"/>
              <w:bidi w:val="0"/>
              <w:spacing w:before="0" w:after="283"/>
              <w:jc w:val="left"/>
              <w:rPr/>
            </w:pPr>
            <w:r>
              <w:rPr/>
              <w:t>Form of Face of Global Creditor Warrant Certificate</w:t>
            </w:r>
          </w:p>
        </w:tc>
      </w:tr>
      <w:tr>
        <w:trPr/>
        <w:tc>
          <w:tcPr>
            <w:tcW w:w="1226" w:type="dxa"/>
            <w:tcBorders/>
          </w:tcPr>
          <w:p>
            <w:pPr>
              <w:pStyle w:val="TableContents"/>
              <w:bidi w:val="0"/>
              <w:spacing w:before="0" w:after="283"/>
              <w:jc w:val="left"/>
              <w:rPr/>
            </w:pPr>
            <w:r>
              <w:rPr/>
              <w:t>Exhibit B-2</w:t>
            </w:r>
          </w:p>
        </w:tc>
        <w:tc>
          <w:tcPr>
            <w:tcW w:w="123" w:type="dxa"/>
            <w:tcBorders/>
            <w:vAlign w:val="bottom"/>
          </w:tcPr>
          <w:p>
            <w:pPr>
              <w:pStyle w:val="TableContents"/>
              <w:bidi w:val="0"/>
              <w:spacing w:before="0" w:after="283"/>
              <w:jc w:val="left"/>
              <w:rPr/>
            </w:pPr>
            <w:r>
              <w:rPr/>
              <w:t>  </w:t>
            </w:r>
          </w:p>
        </w:tc>
        <w:tc>
          <w:tcPr>
            <w:tcW w:w="8856" w:type="dxa"/>
            <w:tcBorders/>
          </w:tcPr>
          <w:p>
            <w:pPr>
              <w:pStyle w:val="TableContents"/>
              <w:bidi w:val="0"/>
              <w:spacing w:before="0" w:after="283"/>
              <w:jc w:val="left"/>
              <w:rPr/>
            </w:pPr>
            <w:r>
              <w:rPr/>
              <w:t>Form of Face of Individual Warrant Certificate</w:t>
            </w:r>
          </w:p>
        </w:tc>
      </w:tr>
      <w:tr>
        <w:trPr/>
        <w:tc>
          <w:tcPr>
            <w:tcW w:w="1226" w:type="dxa"/>
            <w:tcBorders/>
          </w:tcPr>
          <w:p>
            <w:pPr>
              <w:pStyle w:val="TableContents"/>
              <w:bidi w:val="0"/>
              <w:spacing w:before="0" w:after="283"/>
              <w:jc w:val="left"/>
              <w:rPr/>
            </w:pPr>
            <w:r>
              <w:rPr/>
              <w:t>Exhibit B-3</w:t>
            </w:r>
          </w:p>
        </w:tc>
        <w:tc>
          <w:tcPr>
            <w:tcW w:w="123" w:type="dxa"/>
            <w:tcBorders/>
            <w:vAlign w:val="bottom"/>
          </w:tcPr>
          <w:p>
            <w:pPr>
              <w:pStyle w:val="TableContents"/>
              <w:bidi w:val="0"/>
              <w:spacing w:before="0" w:after="283"/>
              <w:jc w:val="left"/>
              <w:rPr/>
            </w:pPr>
            <w:r>
              <w:rPr/>
              <w:t>  </w:t>
            </w:r>
          </w:p>
        </w:tc>
        <w:tc>
          <w:tcPr>
            <w:tcW w:w="8856" w:type="dxa"/>
            <w:tcBorders/>
          </w:tcPr>
          <w:p>
            <w:pPr>
              <w:pStyle w:val="TableContents"/>
              <w:bidi w:val="0"/>
              <w:spacing w:before="0" w:after="283"/>
              <w:jc w:val="left"/>
              <w:rPr/>
            </w:pPr>
            <w:r>
              <w:rPr/>
              <w:t>Form of Election to Exercise Warrant for Holders of Direct Registration Warrants</w:t>
            </w:r>
          </w:p>
        </w:tc>
      </w:tr>
      <w:tr>
        <w:trPr/>
        <w:tc>
          <w:tcPr>
            <w:tcW w:w="1226"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8856" w:type="dxa"/>
            <w:tcBorders/>
          </w:tcPr>
          <w:p>
            <w:pPr>
              <w:pStyle w:val="TableContents"/>
              <w:bidi w:val="0"/>
              <w:spacing w:before="0" w:after="283"/>
              <w:jc w:val="left"/>
              <w:rPr/>
            </w:pPr>
            <w:r>
              <w:rPr/>
              <w:t>Form of Assignment</w:t>
            </w:r>
          </w:p>
        </w:tc>
      </w:tr>
      <w:tr>
        <w:trPr/>
        <w:tc>
          <w:tcPr>
            <w:tcW w:w="1226" w:type="dxa"/>
            <w:tcBorders/>
          </w:tcPr>
          <w:p>
            <w:pPr>
              <w:pStyle w:val="TableContents"/>
              <w:bidi w:val="0"/>
              <w:spacing w:before="0" w:after="283"/>
              <w:jc w:val="left"/>
              <w:rPr/>
            </w:pPr>
            <w:r>
              <w:rPr/>
              <w:t>Exhibit D</w:t>
            </w:r>
          </w:p>
        </w:tc>
        <w:tc>
          <w:tcPr>
            <w:tcW w:w="123" w:type="dxa"/>
            <w:tcBorders/>
            <w:vAlign w:val="bottom"/>
          </w:tcPr>
          <w:p>
            <w:pPr>
              <w:pStyle w:val="TableContents"/>
              <w:bidi w:val="0"/>
              <w:spacing w:before="0" w:after="283"/>
              <w:jc w:val="left"/>
              <w:rPr/>
            </w:pPr>
            <w:r>
              <w:rPr/>
              <w:t>  </w:t>
            </w:r>
          </w:p>
        </w:tc>
        <w:tc>
          <w:tcPr>
            <w:tcW w:w="8856" w:type="dxa"/>
            <w:tcBorders/>
          </w:tcPr>
          <w:p>
            <w:pPr>
              <w:pStyle w:val="TableContents"/>
              <w:bidi w:val="0"/>
              <w:spacing w:before="0" w:after="283"/>
              <w:jc w:val="left"/>
              <w:rPr/>
            </w:pPr>
            <w:r>
              <w:rPr/>
              <w:t>Warrant Summary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 any Warrant Shares upon exercise or conversion of any Warrant unless such Person is or becomes a party to the Securityholders Agreement by executing a joinder thereto, if the Securityholders Agreement is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Adjustment of Number of Shares Purchasable or Number of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Below Market Issuances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If the Company at any time or from time to time after the date hereof shall grant, issue or sell (whether directly or by assumption in a merger or otherwise) any additional shares of Common Stock, Options or Convertible Securities or shall fix a record date for the determination of holders of any Equity Securities to receive any additional shares of Common Stock,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such event, including upon the exercise of such Options or, in the case of Convertible Securities, the conversion or exchange of such Convertible Securities, shall be deemed to be additional Common Stock issued as of the time of such issue or, in case such a record date shall have been fixed, as of 5:00 PM (New York City time) on such record date;</w:t>
      </w:r>
      <w:r>
        <w:rPr>
          <w:rFonts w:ascii="Times New Roman" w:hAnsi="Times New Roman"/>
          <w:sz w:val="20"/>
          <w:u w:val="single"/>
        </w:rPr>
        <w:t xml:space="preserve"> provided</w:t>
      </w:r>
      <w:r>
        <w:rPr>
          <w:rFonts w:ascii="Times New Roman" w:hAnsi="Times New Roman"/>
          <w:sz w:val="20"/>
        </w:rPr>
        <w:t>, that additional Common Stock shall not be deemed to have been issued unless the consideration per share of such additional Common Stock would be less than the Fair Market Value of each such share of Common Stock as of such date and immediately prior to such issuance, or such record date, as the case may be;</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in any such case in which additional Common Stock is deemed to be issued, no further adjustments shall be made upon the subsequent issue of Convertible Securities or Common Stock upon the exercise of Options or the conversion or exchange of Convertible Securities.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trike/>
          <w:color w:val="FF0000"/>
          <w:sz w:val="20"/>
        </w:rPr>
        <w:t>If</w:t>
      </w:r>
      <w:r>
        <w:rPr>
          <w:rFonts w:ascii="Times New Roman" w:hAnsi="Times New Roman"/>
          <w:color w:val="0000FF"/>
          <w:sz w:val="20"/>
          <w:u w:val="single"/>
          <w:bdr w:val="double" w:sz="2" w:space="1" w:color="000000"/>
        </w:rPr>
        <w:t>After the date hereof, the Company shall not revise</w:t>
      </w:r>
      <w:r>
        <w:rPr>
          <w:rFonts w:ascii="Times New Roman" w:hAnsi="Times New Roman"/>
          <w:sz w:val="20"/>
        </w:rPr>
        <w:t xml:space="preserve"> the terms of any Option or Convertible Security, </w:t>
      </w:r>
      <w:r>
        <w:rPr>
          <w:rFonts w:ascii="Times New Roman" w:hAnsi="Times New Roman"/>
          <w:strike/>
          <w:color w:val="FF0000"/>
          <w:sz w:val="20"/>
        </w:rPr>
        <w:t xml:space="preserve">the issuance of which resulted in an adjustment pursuant to the terms of this </w:t>
      </w:r>
      <w:r>
        <w:rPr>
          <w:rFonts w:ascii="Times New Roman" w:hAnsi="Times New Roman"/>
          <w:strike/>
          <w:color w:val="FF0000"/>
          <w:sz w:val="20"/>
          <w:u w:val="single"/>
        </w:rPr>
        <w:t>Section 6(a)</w:t>
      </w:r>
      <w:r>
        <w:rPr>
          <w:rFonts w:ascii="Times New Roman" w:hAnsi="Times New Roman"/>
          <w:strike/>
          <w:color w:val="FF0000"/>
          <w:sz w:val="20"/>
        </w:rPr>
        <w:t>, are revised (either automatically, pursuant to the provisions contained therein, or as a result of an amendment to such terms) to provide for either (i) any</w:t>
      </w:r>
      <w:r>
        <w:rPr>
          <w:rFonts w:ascii="Times New Roman" w:hAnsi="Times New Roman"/>
          <w:color w:val="0000FF"/>
          <w:sz w:val="20"/>
          <w:u w:val="single"/>
          <w:bdr w:val="double" w:sz="2" w:space="1" w:color="000000"/>
        </w:rPr>
        <w:t>whether now existing or issued subsequent to the date hereof, to (i) provide for an</w:t>
      </w:r>
      <w:r>
        <w:rPr>
          <w:rFonts w:ascii="Times New Roman" w:hAnsi="Times New Roman"/>
          <w:sz w:val="20"/>
        </w:rPr>
        <w:t xml:space="preserve"> increase or decrease in the number of shares of Common Stock issuable upon the exercise, conversion or exchange of any such Option or Convertible Security or (ii) </w:t>
      </w:r>
      <w:r>
        <w:rPr>
          <w:rFonts w:ascii="Times New Roman" w:hAnsi="Times New Roman"/>
          <w:strike/>
          <w:color w:val="FF0000"/>
          <w:sz w:val="20"/>
        </w:rPr>
        <w:t>any</w:t>
      </w:r>
      <w:r>
        <w:rPr>
          <w:rFonts w:ascii="Times New Roman" w:hAnsi="Times New Roman"/>
          <w:color w:val="0000FF"/>
          <w:sz w:val="20"/>
          <w:u w:val="single"/>
          <w:bdr w:val="double" w:sz="2" w:space="1" w:color="000000"/>
        </w:rPr>
        <w:t>decrease or</w:t>
      </w:r>
      <w:r>
        <w:rPr>
          <w:rFonts w:ascii="Times New Roman" w:hAnsi="Times New Roman"/>
          <w:sz w:val="20"/>
        </w:rPr>
        <w:t xml:space="preserve"> increase </w:t>
      </w:r>
      <w:r>
        <w:rPr>
          <w:rFonts w:ascii="Times New Roman" w:hAnsi="Times New Roman"/>
          <w:strike/>
          <w:color w:val="FF0000"/>
          <w:sz w:val="20"/>
        </w:rPr>
        <w:t xml:space="preserve">or decrease in </w:t>
      </w:r>
      <w:r>
        <w:rPr>
          <w:rFonts w:ascii="Times New Roman" w:hAnsi="Times New Roman"/>
          <w:sz w:val="20"/>
        </w:rPr>
        <w:t>the consideration payable to the Company upon such exercise, conversion or exchange</w:t>
      </w:r>
      <w:r>
        <w:rPr>
          <w:rFonts w:ascii="Times New Roman" w:hAnsi="Times New Roman"/>
          <w:strike/>
          <w:color w:val="FF0000"/>
          <w:sz w:val="20"/>
        </w:rPr>
        <w:t>, then, effective upon such increase or decrease becoming effective, the number of Warrant Shares issuable upon exercise or conversion of any Warrant computed upon the original issue of such Option or Convertible Security (or upon the occurrence of a record date with respect thereto) shall be readjusted to such number of Warrant Shares issuable upon exercise or conversion of any Warrant as would have been obtained had such revised terms been in effect upon the original date of issuance of</w:t>
      </w:r>
      <w:r>
        <w:rPr>
          <w:rFonts w:ascii="Times New Roman" w:hAnsi="Times New Roman"/>
          <w:color w:val="0000FF"/>
          <w:sz w:val="20"/>
          <w:u w:val="single"/>
          <w:bdr w:val="double" w:sz="2" w:space="1" w:color="000000"/>
        </w:rPr>
        <w:t xml:space="preserve"> of any</w:t>
      </w:r>
      <w:r>
        <w:rPr>
          <w:rFonts w:ascii="Times New Roman" w:hAnsi="Times New Roman"/>
          <w:sz w:val="20"/>
        </w:rPr>
        <w:t xml:space="preserve"> such Option or Convertible Security. </w:t>
      </w:r>
      <w:r>
        <w:rPr>
          <w:rFonts w:ascii="Times New Roman" w:hAnsi="Times New Roman"/>
          <w:color w:val="0000FF"/>
          <w:sz w:val="20"/>
          <w:u w:val="single"/>
          <w:bdr w:val="double" w:sz="2" w:space="1" w:color="000000"/>
        </w:rPr>
        <w:t xml:space="preserve">Any action taken in violation of this Section 6(a)(ii) shall be null and void </w:t>
      </w:r>
      <w:r>
        <w:rPr>
          <w:rFonts w:ascii="Times New Roman" w:hAnsi="Times New Roman"/>
          <w:i/>
          <w:color w:val="0000FF"/>
          <w:sz w:val="20"/>
          <w:u w:val="single"/>
          <w:bdr w:val="double" w:sz="2" w:space="1" w:color="000000"/>
        </w:rPr>
        <w:t>ab initio</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(iii) If the terms of any Option or Convertible Security, the issuance of which did not result in an adjustment to the number of Warrant Shares issuable upon exercise or conversion of any Warrant pursuant to the terms of this </w:t>
      </w:r>
      <w:r>
        <w:rPr>
          <w:rFonts w:ascii="Times New Roman" w:hAnsi="Times New Roman"/>
          <w:strike/>
          <w:color w:val="FF0000"/>
          <w:sz w:val="20"/>
          <w:u w:val="single"/>
        </w:rPr>
        <w:t>Section 6(a)</w:t>
      </w:r>
      <w:r>
        <w:rPr>
          <w:rFonts w:ascii="Times New Roman" w:hAnsi="Times New Roman"/>
          <w:strike/>
          <w:color w:val="FF0000"/>
          <w:sz w:val="20"/>
        </w:rPr>
        <w:t xml:space="preserve"> (either because the consideration per additional Common Stock subject thereto was equal to or greater than the-then Fair Market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Value of each such share of Common Stock), are revised after the date hereof (either automatically, pursuant to the provisions contained therein, or as a result of an amendment to such terms) to provide for either (i) any increase or decrease in the number of shares of Common Stock issuable upon the exercise, conversion or exchange of any such Option or Convertible Security or (ii) any increase or decrease in the consideration payable to the Company upon such exercise, conversion or exchange, then such Option or Convertible Security, as so amended, and the additional Common Stock subject thereto shall be deemed to have been issued effective upon such increase or decrease becoming effective.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(iii)</w:t>
      </w:r>
      <w:r>
        <w:rPr>
          <w:rFonts w:ascii="Times New Roman" w:hAnsi="Times New Roman"/>
          <w:sz w:val="20"/>
        </w:rPr>
        <w:t xml:space="preserve"> </w:t>
      </w:r>
      <w:r>
        <w:rPr>
          <w:rFonts w:ascii="Times New Roman" w:hAnsi="Times New Roman"/>
          <w:color w:val="0000FF"/>
          <w:sz w:val="20"/>
          <w:u w:val="single"/>
          <w:bdr w:val="double" w:sz="2" w:space="1" w:color="000000"/>
        </w:rPr>
        <w:t>Not Used.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Upon the expiration or termination of any unexercised Option or unconverted or unexchanged Convertible Security which resulted (either upon its original issuance or upon a revision of its terms) in an adjustment to the number of Warrant Shares issuable upon exercise or conversion of any Warrant pursuant to the terms of this</w:t>
      </w:r>
      <w:r>
        <w:rPr>
          <w:rFonts w:ascii="Times New Roman" w:hAnsi="Times New Roman"/>
          <w:sz w:val="20"/>
          <w:u w:val="single"/>
        </w:rPr>
        <w:t xml:space="preserve"> Section 6(a)</w:t>
      </w:r>
      <w:r>
        <w:rPr>
          <w:rFonts w:ascii="Times New Roman" w:hAnsi="Times New Roman"/>
          <w:sz w:val="20"/>
        </w:rPr>
        <w:t xml:space="preserve">, the number of Warrant Shares issuable upon exercise or conversion of any Warrant shall be readjusted to such number of Warrant Shares issuable upon exercise or conversion of any Warrant as would have been obtained had such Option or Convertible Security never been issued. </w:t>
      </w:r>
    </w:p>
    <w:p>
      <w:pPr>
        <w:pStyle w:val="TextBody"/>
        <w:bidi w:val="0"/>
        <w:spacing w:before="120" w:after="0"/>
        <w:jc w:val="left"/>
        <w:rPr>
          <w:rFonts w:ascii="Times New Roman" w:hAnsi="Times New Roman"/>
          <w:sz w:val="20"/>
        </w:rPr>
      </w:pPr>
      <w:r>
        <w:rPr>
          <w:rFonts w:ascii="Times New Roman" w:hAnsi="Times New Roman"/>
          <w:sz w:val="20"/>
        </w:rPr>
        <w:t xml:space="preserve">(v) Except as provided in </w:t>
      </w:r>
      <w:r>
        <w:rPr>
          <w:rFonts w:ascii="Times New Roman" w:hAnsi="Times New Roman"/>
          <w:sz w:val="20"/>
          <w:u w:val="single"/>
        </w:rPr>
        <w:t>Section 6(a)(vii)</w:t>
      </w:r>
      <w:r>
        <w:rPr>
          <w:rFonts w:ascii="Times New Roman" w:hAnsi="Times New Roman"/>
          <w:sz w:val="20"/>
        </w:rPr>
        <w:t xml:space="preserve"> and except in the case of any event described in</w:t>
      </w:r>
      <w:r>
        <w:rPr>
          <w:rFonts w:ascii="Times New Roman" w:hAnsi="Times New Roman"/>
          <w:sz w:val="20"/>
          <w:u w:val="single"/>
        </w:rPr>
        <w:t xml:space="preserve"> Section 6(b)</w:t>
      </w:r>
      <w:r>
        <w:rPr>
          <w:rFonts w:ascii="Times New Roman" w:hAnsi="Times New Roman"/>
          <w:sz w:val="20"/>
        </w:rPr>
        <w:t>,</w:t>
      </w:r>
      <w:r>
        <w:rPr>
          <w:rFonts w:ascii="Times New Roman" w:hAnsi="Times New Roman"/>
          <w:sz w:val="20"/>
          <w:u w:val="single"/>
        </w:rPr>
        <w:t xml:space="preserve"> Section 6(c)</w:t>
      </w:r>
      <w:r>
        <w:rPr>
          <w:rFonts w:ascii="Times New Roman" w:hAnsi="Times New Roman"/>
          <w:sz w:val="20"/>
        </w:rPr>
        <w:t>,</w:t>
      </w:r>
      <w:r>
        <w:rPr>
          <w:rFonts w:ascii="Times New Roman" w:hAnsi="Times New Roman"/>
          <w:sz w:val="20"/>
          <w:u w:val="single"/>
        </w:rPr>
        <w:t xml:space="preserve"> Section 6(d)</w:t>
      </w:r>
      <w:r>
        <w:rPr>
          <w:rFonts w:ascii="Times New Roman" w:hAnsi="Times New Roman"/>
          <w:sz w:val="20"/>
        </w:rPr>
        <w:t xml:space="preserve"> or</w:t>
      </w:r>
      <w:r>
        <w:rPr>
          <w:rFonts w:ascii="Times New Roman" w:hAnsi="Times New Roman"/>
          <w:sz w:val="20"/>
          <w:u w:val="single"/>
        </w:rPr>
        <w:t xml:space="preserve"> Section 6(e)</w:t>
      </w:r>
      <w:r>
        <w:rPr>
          <w:rFonts w:ascii="Times New Roman" w:hAnsi="Times New Roman"/>
          <w:sz w:val="20"/>
        </w:rPr>
        <w:t>, in the event the Company shall at any time after the date hereof grant, sell or issue additional Common Stock (including additional Common Stock deemed to be issued pursuant to</w:t>
      </w:r>
      <w:r>
        <w:rPr>
          <w:rFonts w:ascii="Times New Roman" w:hAnsi="Times New Roman"/>
          <w:sz w:val="20"/>
          <w:u w:val="single"/>
        </w:rPr>
        <w:t xml:space="preserve"> Section 6(a)(i)</w:t>
      </w:r>
      <w:r>
        <w:rPr>
          <w:rFonts w:ascii="Times New Roman" w:hAnsi="Times New Roman"/>
          <w:sz w:val="20"/>
        </w:rPr>
        <w:t xml:space="preserve">) without consideration or for consideration per share of Common Stock less than the Fair Market Value of each such share of Common Stock, then the number of Warrant Shares issuable upon exercise or conversion of any Warrant shall be increased pursuant to the formula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1633220" cy="387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65"/>
                    <a:stretch>
                      <a:fillRect/>
                    </a:stretch>
                  </pic:blipFill>
                  <pic:spPr bwMode="auto">
                    <a:xfrm>
                      <a:off x="0" y="0"/>
                      <a:ext cx="1633220" cy="3873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Ub = The number of Warrant Shares issuable for each Warrant before the adjustment </w:t>
      </w:r>
    </w:p>
    <w:p>
      <w:pPr>
        <w:pStyle w:val="TextBody"/>
        <w:bidi w:val="0"/>
        <w:spacing w:before="120" w:after="0"/>
        <w:jc w:val="left"/>
        <w:rPr>
          <w:rFonts w:ascii="Times New Roman" w:hAnsi="Times New Roman"/>
          <w:sz w:val="20"/>
        </w:rPr>
      </w:pPr>
      <w:r>
        <w:rPr>
          <w:rFonts w:ascii="Times New Roman" w:hAnsi="Times New Roman"/>
          <w:sz w:val="20"/>
        </w:rPr>
        <w:t xml:space="preserve">Ua = The number of Warrant Shares issuable for each Warrant after the adjustment </w:t>
      </w:r>
    </w:p>
    <w:p>
      <w:pPr>
        <w:pStyle w:val="TextBody"/>
        <w:bidi w:val="0"/>
        <w:spacing w:before="120" w:after="0"/>
        <w:jc w:val="left"/>
        <w:rPr>
          <w:rFonts w:ascii="Times New Roman" w:hAnsi="Times New Roman"/>
          <w:sz w:val="20"/>
        </w:rPr>
      </w:pPr>
      <w:r>
        <w:rPr>
          <w:rFonts w:ascii="Times New Roman" w:hAnsi="Times New Roman"/>
          <w:sz w:val="20"/>
        </w:rPr>
        <w:t xml:space="preserve">Oa = Number of shares of Common Stock outstanding immediately after the transaction in question on a Fully Diluted Basis </w:t>
      </w:r>
    </w:p>
    <w:p>
      <w:pPr>
        <w:pStyle w:val="TextBody"/>
        <w:bidi w:val="0"/>
        <w:spacing w:before="120" w:after="0"/>
        <w:jc w:val="left"/>
        <w:rPr>
          <w:rFonts w:ascii="Times New Roman" w:hAnsi="Times New Roman"/>
          <w:sz w:val="20"/>
        </w:rPr>
      </w:pPr>
      <w:r>
        <w:rPr>
          <w:rFonts w:ascii="Times New Roman" w:hAnsi="Times New Roman"/>
          <w:sz w:val="20"/>
        </w:rPr>
        <w:t xml:space="preserve">Ob = Number of shares of Common Stock outstanding immediately before the transaction in question on a Fully Diluted Basis </w:t>
      </w:r>
    </w:p>
    <w:p>
      <w:pPr>
        <w:pStyle w:val="TextBody"/>
        <w:bidi w:val="0"/>
        <w:spacing w:before="120" w:after="0"/>
        <w:jc w:val="left"/>
        <w:rPr>
          <w:rFonts w:ascii="Times New Roman" w:hAnsi="Times New Roman"/>
          <w:sz w:val="20"/>
        </w:rPr>
      </w:pPr>
      <w:r>
        <w:rPr>
          <w:rFonts w:ascii="Times New Roman" w:hAnsi="Times New Roman"/>
          <w:sz w:val="20"/>
        </w:rPr>
        <w:t xml:space="preserve">Y = Number of shares of Common Stock equal to the aggregate offering price of the shares of Common Stock being issued, </w:t>
      </w:r>
      <w:r>
        <w:rPr>
          <w:rFonts w:ascii="Times New Roman" w:hAnsi="Times New Roman"/>
          <w:i/>
          <w:sz w:val="20"/>
        </w:rPr>
        <w:t>divided by</w:t>
      </w:r>
      <w:r>
        <w:rPr>
          <w:rFonts w:ascii="Times New Roman" w:hAnsi="Times New Roman"/>
          <w:sz w:val="20"/>
        </w:rPr>
        <w:t xml:space="preserve"> the Fair Market Value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right"/>
        <w:rPr>
          <w:rFonts w:ascii="Times New Roman" w:hAnsi="Times New Roman"/>
          <w:b/>
          <w:sz w:val="20"/>
        </w:rPr>
      </w:pPr>
      <w:bookmarkStart w:id="38" w:name="d65571dex1022.htm"/>
      <w:bookmarkStart w:id="39" w:name="ksd65571dex1022"/>
      <w:bookmarkEnd w:id="38"/>
      <w:bookmarkEnd w:id="39"/>
      <w:r>
        <w:rPr>
          <w:rFonts w:ascii="Times New Roman" w:hAnsi="Times New Roman"/>
          <w:b/>
          <w:sz w:val="20"/>
        </w:rPr>
        <w:t xml:space="preserve">Exhibit 10.22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2020 MANAGEMENT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HORNBECK OFFSHORE SERVICES, INC.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SECOND AMENDMENT TO THE 2020 MANAGEMENT INCENTIVE PLAN OF HORNBECK OFFSHORE SERVICES, INC.</w:t>
      </w:r>
      <w:r>
        <w:rPr>
          <w:rFonts w:ascii="Times New Roman" w:hAnsi="Times New Roman"/>
          <w:sz w:val="20"/>
        </w:rPr>
        <w:t xml:space="preserve"> (this “</w:t>
      </w:r>
      <w:r>
        <w:rPr>
          <w:rFonts w:ascii="Times New Roman" w:hAnsi="Times New Roman"/>
          <w:b/>
          <w:i/>
          <w:sz w:val="20"/>
        </w:rPr>
        <w:t>Amendment</w:t>
      </w:r>
      <w:r>
        <w:rPr>
          <w:rFonts w:ascii="Times New Roman" w:hAnsi="Times New Roman"/>
          <w:sz w:val="20"/>
        </w:rPr>
        <w:t>”) is made effective as of the 18th day of March, 2025 (the “</w:t>
      </w:r>
      <w:r>
        <w:rPr>
          <w:rFonts w:ascii="Times New Roman" w:hAnsi="Times New Roman"/>
          <w:b/>
          <w:i/>
          <w:sz w:val="20"/>
        </w:rPr>
        <w:t>Second Amendment Effective Date</w:t>
      </w:r>
      <w:r>
        <w:rPr>
          <w:rFonts w:ascii="Times New Roman" w:hAnsi="Times New Roman"/>
          <w:sz w:val="20"/>
        </w:rPr>
        <w:t>”) by the Board of Directors (the “</w:t>
      </w:r>
      <w:r>
        <w:rPr>
          <w:rFonts w:ascii="Times New Roman" w:hAnsi="Times New Roman"/>
          <w:b/>
          <w:i/>
          <w:sz w:val="20"/>
        </w:rPr>
        <w:t>Board</w:t>
      </w:r>
      <w:r>
        <w:rPr>
          <w:rFonts w:ascii="Times New Roman" w:hAnsi="Times New Roman"/>
          <w:sz w:val="20"/>
        </w:rPr>
        <w:t>”) of Hornbeck Offshore Services, Inc. (the “</w:t>
      </w:r>
      <w:r>
        <w:rPr>
          <w:rFonts w:ascii="Times New Roman" w:hAnsi="Times New Roman"/>
          <w:b/>
          <w:i/>
          <w:sz w:val="20"/>
        </w:rPr>
        <w:t>Company</w:t>
      </w:r>
      <w:r>
        <w:rPr>
          <w:rFonts w:ascii="Times New Roman" w:hAnsi="Times New Roman"/>
          <w:sz w:val="20"/>
        </w:rPr>
        <w:t xml:space="preserve">”). Capitalized terms used but not defined herein shall have the meanings assigned to such terms in the Plan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sponsors the 2020 Management Incentive Plan of Hornbeck Offshore Services, Inc., as amended by that certain First Amendment to the 2020 Management Incentive Plan of Hornbeck Offshore Services, Inc. (the “</w:t>
      </w:r>
      <w:r>
        <w:rPr>
          <w:rFonts w:ascii="Times New Roman" w:hAnsi="Times New Roman"/>
          <w:b/>
          <w:i/>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13.6 of the Plan, the Board may at any time amend the provisions of the Plan;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amendment shall adversely affect the rights of any Participant with respect to Awards previously granted under the Plan without such Participant’s express written consent, and (ii) the Board may not, at any time, alter, amend, suspend, discontinue, waive, or terminate Section 2.2(a) or Section 2.2(c), or the terms of any Emergence Award, in a way that adversely affects the rights of any MIP Participant who would otherwise be eligible to benefit from such section, without such Participant’s written consent;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desires to amend the Plan to (i) allow for shares of Common Stock used to pay the exercise price or withholding taxes related to an outstanding Award and shares of Common Stock previously subject to an Award that were repurchased by the Company to be available again for granting Awards to Participants, and (ii) in light of the amendments contemplated by the immediately preceding clause (i) with respect to the share reserve under the Plan, clarify Section 2.2(c) of the Plan;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determined that this Amendment does not (i) adversely affect the rights of any Participant with respect to Awards previously granted under the Plan, or (ii) alter, amend, suspend, discontinue, waive, or terminate Section 2.2(a) or Section 2.2(c), or the terms of any Emergence Award, in a way that adversely affects the rights of any MIP Participant who would otherwise be eligible to benefit from such section, and thus does not require any Participant’s written consent.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Board hereby amends the Plan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sentence of Section 2.1 of the Plan is hereby deleted in its entirety and replaced with the following: </w:t>
            </w:r>
          </w:p>
        </w:tc>
      </w:tr>
    </w:tbl>
    <w:p>
      <w:pPr>
        <w:pStyle w:val="TextBody"/>
        <w:bidi w:val="0"/>
        <w:spacing w:before="120" w:after="0"/>
        <w:jc w:val="left"/>
        <w:rPr>
          <w:rFonts w:ascii="Times New Roman" w:hAnsi="Times New Roman"/>
          <w:sz w:val="20"/>
        </w:rPr>
      </w:pPr>
      <w:r>
        <w:rPr>
          <w:rFonts w:ascii="Times New Roman" w:hAnsi="Times New Roman"/>
          <w:sz w:val="20"/>
        </w:rPr>
        <w:t>In addition, the following shares of Common Stock shall again be made available for granting of Awards to Participants under the Plan: (a) shares of Common Stock used to pay the exercise price or withholding taxes related to an outstanding Award and (b) shares of Common Stock previously subject to an Award that were repurchased by the Company (collectively, “</w:t>
      </w:r>
      <w:r>
        <w:rPr>
          <w:rFonts w:ascii="Times New Roman" w:hAnsi="Times New Roman"/>
          <w:sz w:val="20"/>
          <w:u w:val="single"/>
        </w:rPr>
        <w:t xml:space="preserve">Recycled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Shares</w:t>
      </w:r>
      <w:r>
        <w:rPr>
          <w:rFonts w:ascii="Times New Roman" w:hAnsi="Times New Roman"/>
          <w:sz w:val="20"/>
        </w:rPr>
        <w:t xml:space="preserve">”). Recycled Shares may be used for grants of Awards to either MIP Participants or non-employee directors of the Company or any of its Affiliates on terms and conditions, and at such times, as are determined by the Board in its discretion, and the Recycled Shares shall not be part of the MIP Reserve for purposes of Section 2.2. For clarity, as a result of the two immediately preceding sentences, 311,656 shares of Common Stock that were previously subject to an Award and either (a) used to pay the exercise price or withholding taxes related to such Award or (b) repurchased by the Company prior to the Second Amendment Effective Date are “Recycled Shares” that shall be made available for granting of Awards as of the Second Amendment Effective Date to either MIP Participants or non-employee directors of the Company or any of its Affiliates on terms and conditions, and at such times, as are determined by the Board in its discretion, and such Recycled Shares shall not be part of the MIP Reserve for purposes of Section 2.2. </w:t>
      </w:r>
    </w:p>
    <w:p>
      <w:pPr>
        <w:pStyle w:val="TextBody"/>
        <w:bidi w:val="0"/>
        <w:spacing w:before="240" w:after="0"/>
        <w:jc w:val="left"/>
        <w:rPr>
          <w:rFonts w:ascii="Times New Roman" w:hAnsi="Times New Roman"/>
          <w:sz w:val="20"/>
        </w:rPr>
      </w:pPr>
      <w:r>
        <w:rPr>
          <w:rFonts w:ascii="Times New Roman" w:hAnsi="Times New Roman"/>
          <w:sz w:val="20"/>
        </w:rPr>
        <w:t xml:space="preserve">For clarity, a redline showing the changes to Section 2.1 of the Plan as a result of this Amendment is attached hereto as </w:t>
      </w:r>
      <w:r>
        <w:rPr>
          <w:rFonts w:ascii="Times New Roman" w:hAnsi="Times New Roman"/>
          <w:sz w:val="20"/>
          <w:u w:val="single"/>
        </w:rPr>
        <w:t>Appendix A</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2.2(c) of the Plan shall be amended and restated in its entirety as follows: </w:t>
            </w:r>
          </w:p>
        </w:tc>
      </w:tr>
    </w:tbl>
    <w:p>
      <w:pPr>
        <w:pStyle w:val="TextBody"/>
        <w:bidi w:val="0"/>
        <w:spacing w:before="120" w:after="0"/>
        <w:jc w:val="left"/>
        <w:rPr>
          <w:rFonts w:ascii="Times New Roman" w:hAnsi="Times New Roman"/>
          <w:sz w:val="20"/>
        </w:rPr>
      </w:pPr>
      <w:r>
        <w:rPr>
          <w:rFonts w:ascii="Times New Roman" w:hAnsi="Times New Roman"/>
          <w:sz w:val="20"/>
        </w:rPr>
        <w:t>As of immediately prior to a Change of Control (and prior to the granting of any Special RSUs (as defined below)), if (i) the Unused MIP Reserve Share Number is greater than 0, and (ii) the TEV in connection with such Change of Control is at least $1 billion, then the Board shall make a special RSU grant to MIP Participants who remain in a Service relationship with the Company or its Affiliates at the time of such Change of Control (such grants, the “</w:t>
      </w:r>
      <w:r>
        <w:rPr>
          <w:rFonts w:ascii="Times New Roman" w:hAnsi="Times New Roman"/>
          <w:sz w:val="20"/>
          <w:u w:val="single"/>
        </w:rPr>
        <w:t>Special RSUs</w:t>
      </w:r>
      <w:r>
        <w:rPr>
          <w:rFonts w:ascii="Times New Roman" w:hAnsi="Times New Roman"/>
          <w:sz w:val="20"/>
        </w:rPr>
        <w:t>”). The Special RSUs shall be fully vested upon grant. The amount of shares of Common Stock subject to the Special RSUs granted shall be the lesser of (A) twenty percent (20%) of the MIP Reserve (i.e., 412,602 shares of Common Stock), and (B) the Unused MIP Reserve Share Number. For purposes of this Section 2.2(c), the “</w:t>
      </w:r>
      <w:r>
        <w:rPr>
          <w:rFonts w:ascii="Times New Roman" w:hAnsi="Times New Roman"/>
          <w:sz w:val="20"/>
          <w:u w:val="single"/>
        </w:rPr>
        <w:t>Unused MIP Reserve Share Number</w:t>
      </w:r>
      <w:r>
        <w:rPr>
          <w:rFonts w:ascii="Times New Roman" w:hAnsi="Times New Roman"/>
          <w:sz w:val="20"/>
        </w:rPr>
        <w:t xml:space="preserve">” shall equal (A) 2,063,011 shares of Common Stock, </w:t>
      </w:r>
      <w:r>
        <w:rPr>
          <w:rFonts w:ascii="Times New Roman" w:hAnsi="Times New Roman"/>
          <w:i/>
          <w:sz w:val="20"/>
        </w:rPr>
        <w:t>minus</w:t>
      </w:r>
      <w:r>
        <w:rPr>
          <w:rFonts w:ascii="Times New Roman" w:hAnsi="Times New Roman"/>
          <w:sz w:val="20"/>
        </w:rPr>
        <w:t xml:space="preserve"> (B) the number of shares of Common Stock equal to the sum (without duplication) of (1) shares of Common Stock that are subject to an Award granted to a MIP Participant that is outstanding as of immediately prior to a Change of Control and (2) shares of Common Stock that were subject to an Award granted to a MIP Participant that vested prior to a Change of Control and were not forfeited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For clarity, a redline showing the changes to Section 2.2(c) of the Plan as a result of this Amendment is attached hereto as </w:t>
      </w:r>
      <w:r>
        <w:rPr>
          <w:rFonts w:ascii="Times New Roman" w:hAnsi="Times New Roman"/>
          <w:sz w:val="20"/>
          <w:u w:val="single"/>
        </w:rPr>
        <w:t>Appendix B</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amended above, the Plan will remain in full force and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240" w:after="0"/>
        <w:jc w:val="center"/>
        <w:rPr>
          <w:rFonts w:ascii="Times New Roman" w:hAnsi="Times New Roman"/>
          <w:b/>
          <w:sz w:val="20"/>
        </w:rPr>
      </w:pPr>
      <w:r>
        <w:rPr>
          <w:rFonts w:ascii="Times New Roman" w:hAnsi="Times New Roman"/>
          <w:b/>
          <w:sz w:val="20"/>
        </w:rPr>
        <w:t xml:space="preserve">Redline Showing Changes to Section 2.1 of the Plan </w:t>
      </w:r>
    </w:p>
    <w:p>
      <w:pPr>
        <w:pStyle w:val="TextBody"/>
        <w:bidi w:val="0"/>
        <w:spacing w:before="240" w:after="0"/>
        <w:jc w:val="left"/>
        <w:rPr>
          <w:rFonts w:ascii="Times New Roman" w:hAnsi="Times New Roman"/>
          <w:sz w:val="20"/>
        </w:rPr>
      </w:pPr>
      <w:r>
        <w:rPr>
          <w:rFonts w:ascii="Times New Roman" w:hAnsi="Times New Roman"/>
          <w:b/>
          <w:sz w:val="20"/>
        </w:rPr>
        <w:t>2.1 Shares Subject to the Plan</w:t>
      </w:r>
      <w:r>
        <w:rPr>
          <w:rFonts w:ascii="Times New Roman" w:hAnsi="Times New Roman"/>
          <w:sz w:val="20"/>
        </w:rPr>
        <w:t xml:space="preserve">. Subject to the provisions of Article XI, the aggregate number of shares of Common Stock that may be issued or used for reference purposes with respect to which Awards may be granted under the Plan shall be equal to 2,198,044 shares of the Company’s Common Stock, with 2,063,011 of such shares of Common Stock to be reserved for grant of Awards exclusively to MIP Participants (the “MIP Reserve”) and 135,033 of such shares of Common stock to be reserved for grant of Awards to non-employee directors of the Company or any of its Affiliates. Such shares of Common Stock may, in the discretion of the Board, consist either in whole or in part of authorized but unissued shares of Common Stock or shares of Common Stock held in the treasury of the Company. Subject to the provisions of Section 13.6, any share of Common Stock underlying an Award granted under the Plan which for any reason expires, is canceled, is forfeited, or is terminated unexercised, shall again become available for the granting of Awards under the Plan (in each case with respect to any portion of the Award for which no value was received by Participant). </w:t>
      </w:r>
      <w:r>
        <w:rPr>
          <w:rFonts w:ascii="Times New Roman" w:hAnsi="Times New Roman"/>
          <w:strike/>
          <w:color w:val="FF0000"/>
          <w:sz w:val="20"/>
        </w:rPr>
        <w:t>For the avoidance of doubt</w:t>
      </w:r>
      <w:r>
        <w:rPr>
          <w:rFonts w:ascii="Times New Roman" w:hAnsi="Times New Roman"/>
          <w:color w:val="0000FF"/>
          <w:sz w:val="20"/>
          <w:u w:val="single"/>
          <w:bdr w:val="double" w:sz="2" w:space="1" w:color="000000"/>
        </w:rPr>
        <w:t>In addition</w:t>
      </w:r>
      <w:r>
        <w:rPr>
          <w:rFonts w:ascii="Times New Roman" w:hAnsi="Times New Roman"/>
          <w:sz w:val="20"/>
        </w:rPr>
        <w:t xml:space="preserve">, the following shares </w:t>
      </w:r>
      <w:r>
        <w:rPr>
          <w:rFonts w:ascii="Times New Roman" w:hAnsi="Times New Roman"/>
          <w:color w:val="0000FF"/>
          <w:sz w:val="20"/>
          <w:u w:val="single"/>
          <w:bdr w:val="double" w:sz="2" w:space="1" w:color="000000"/>
        </w:rPr>
        <w:t>of Common Stock</w:t>
      </w:r>
      <w:r>
        <w:rPr>
          <w:rFonts w:ascii="Times New Roman" w:hAnsi="Times New Roman"/>
          <w:sz w:val="20"/>
        </w:rPr>
        <w:t xml:space="preserve"> shall </w:t>
      </w:r>
      <w:r>
        <w:rPr>
          <w:rFonts w:ascii="Times New Roman" w:hAnsi="Times New Roman"/>
          <w:strike/>
          <w:color w:val="FF0000"/>
          <w:sz w:val="20"/>
        </w:rPr>
        <w:t xml:space="preserve">not </w:t>
      </w:r>
      <w:r>
        <w:rPr>
          <w:rFonts w:ascii="Times New Roman" w:hAnsi="Times New Roman"/>
          <w:sz w:val="20"/>
        </w:rPr>
        <w:t xml:space="preserve">again be made available for </w:t>
      </w:r>
      <w:r>
        <w:rPr>
          <w:rFonts w:ascii="Times New Roman" w:hAnsi="Times New Roman"/>
          <w:strike/>
          <w:color w:val="FF0000"/>
          <w:sz w:val="20"/>
        </w:rPr>
        <w:t>delivery</w:t>
      </w:r>
      <w:r>
        <w:rPr>
          <w:rFonts w:ascii="Times New Roman" w:hAnsi="Times New Roman"/>
          <w:color w:val="0000FF"/>
          <w:sz w:val="20"/>
          <w:u w:val="single"/>
          <w:bdr w:val="double" w:sz="2" w:space="1" w:color="000000"/>
        </w:rPr>
        <w:t>granting of Awards</w:t>
      </w:r>
      <w:r>
        <w:rPr>
          <w:rFonts w:ascii="Times New Roman" w:hAnsi="Times New Roman"/>
          <w:sz w:val="20"/>
        </w:rPr>
        <w:t xml:space="preserve"> to Participants under the Plan: (a) shares </w:t>
      </w:r>
      <w:r>
        <w:rPr>
          <w:rFonts w:ascii="Times New Roman" w:hAnsi="Times New Roman"/>
          <w:color w:val="0000FF"/>
          <w:sz w:val="20"/>
          <w:u w:val="single"/>
          <w:bdr w:val="double" w:sz="2" w:space="1" w:color="000000"/>
        </w:rPr>
        <w:t>of Common Stock</w:t>
      </w:r>
      <w:r>
        <w:rPr>
          <w:rFonts w:ascii="Times New Roman" w:hAnsi="Times New Roman"/>
          <w:sz w:val="20"/>
        </w:rPr>
        <w:t xml:space="preserve"> used to pay the exercise price or withholding taxes related to an outstanding Award and (b) shares </w:t>
      </w:r>
      <w:r>
        <w:rPr>
          <w:rFonts w:ascii="Times New Roman" w:hAnsi="Times New Roman"/>
          <w:color w:val="0000FF"/>
          <w:sz w:val="20"/>
          <w:u w:val="single"/>
          <w:bdr w:val="double" w:sz="2" w:space="1" w:color="000000"/>
        </w:rPr>
        <w:t>of Common Stock previously subject to an Award that were</w:t>
      </w:r>
      <w:r>
        <w:rPr>
          <w:rFonts w:ascii="Times New Roman" w:hAnsi="Times New Roman"/>
          <w:sz w:val="20"/>
        </w:rPr>
        <w:t xml:space="preserve"> repurchased by the Company</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(collectively, “Recycled Shares”), Recycled Shares may be used for grants of Awards to either MIP Participants or non-employee directors of the Company or any of its Affiliates on terms and conditions, and at such times, as are determined by the Board in its discretion, and the Recycled Shares shall not be part of the MIP Reserve for purposes of Section 2.2. For clarity, as a result of the two immediately preceding sentences, 311,656 shares of Common Stock that were previously subject to an Award and either (a) used to pay the exercise price or withholding taxes related to such Award or (b) repurchased by the Company prior to the Second Amendment Effective Date are “Recycled Shares” that shall be made available for granting of Awards as of the Second Amendment Effective Date to either MIP Participants or non-employee directors of the Company or any of its Affiliates on terms and conditions, and at such times. as are determined by the Board in its discretion, and such Recycled Shares shall not be part of the MIP Reserve for purposes of Section 2.2.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B </w:t>
      </w:r>
    </w:p>
    <w:p>
      <w:pPr>
        <w:pStyle w:val="TextBody"/>
        <w:bidi w:val="0"/>
        <w:spacing w:before="240" w:after="0"/>
        <w:jc w:val="center"/>
        <w:rPr>
          <w:rFonts w:ascii="Times New Roman" w:hAnsi="Times New Roman"/>
          <w:b/>
          <w:sz w:val="20"/>
        </w:rPr>
      </w:pPr>
      <w:r>
        <w:rPr>
          <w:rFonts w:ascii="Times New Roman" w:hAnsi="Times New Roman"/>
          <w:b/>
          <w:sz w:val="20"/>
        </w:rPr>
        <w:t xml:space="preserve">Redline Showing Changes to Section 2.2(c) of the Plan </w:t>
      </w:r>
    </w:p>
    <w:p>
      <w:pPr>
        <w:pStyle w:val="TextBody"/>
        <w:bidi w:val="0"/>
        <w:spacing w:before="240" w:after="0"/>
        <w:jc w:val="left"/>
        <w:rPr>
          <w:rFonts w:ascii="Times New Roman" w:hAnsi="Times New Roman"/>
          <w:sz w:val="20"/>
        </w:rPr>
      </w:pPr>
      <w:r>
        <w:rPr>
          <w:rFonts w:ascii="Times New Roman" w:hAnsi="Times New Roman"/>
          <w:sz w:val="20"/>
        </w:rPr>
        <w:t>As of immediately prior to a Change of Control</w:t>
      </w:r>
      <w:r>
        <w:rPr>
          <w:rFonts w:ascii="Times New Roman" w:hAnsi="Times New Roman"/>
          <w:color w:val="0000FF"/>
          <w:sz w:val="20"/>
          <w:u w:val="single"/>
          <w:bdr w:val="double" w:sz="2" w:space="1" w:color="000000"/>
        </w:rPr>
        <w:t xml:space="preserve"> (and prior to the granting of any Special RSUs (as defined below))</w:t>
      </w:r>
      <w:r>
        <w:rPr>
          <w:rFonts w:ascii="Times New Roman" w:hAnsi="Times New Roman"/>
          <w:sz w:val="20"/>
        </w:rPr>
        <w:t xml:space="preserve">, if (i) the </w:t>
      </w:r>
      <w:r>
        <w:rPr>
          <w:rFonts w:ascii="Times New Roman" w:hAnsi="Times New Roman"/>
          <w:strike/>
          <w:color w:val="FF0000"/>
          <w:sz w:val="20"/>
        </w:rPr>
        <w:t>Remaining</w:t>
      </w:r>
      <w:r>
        <w:rPr>
          <w:rFonts w:ascii="Times New Roman" w:hAnsi="Times New Roman"/>
          <w:color w:val="0000FF"/>
          <w:sz w:val="20"/>
          <w:u w:val="single"/>
          <w:bdr w:val="double" w:sz="2" w:space="1" w:color="000000"/>
        </w:rPr>
        <w:t xml:space="preserve">Unused </w:t>
      </w:r>
      <w:r>
        <w:rPr>
          <w:rFonts w:ascii="Times New Roman" w:hAnsi="Times New Roman"/>
          <w:sz w:val="20"/>
        </w:rPr>
        <w:t xml:space="preserve">MIP </w:t>
      </w:r>
      <w:r>
        <w:rPr>
          <w:rFonts w:ascii="Times New Roman" w:hAnsi="Times New Roman"/>
          <w:strike/>
          <w:color w:val="FF0000"/>
          <w:sz w:val="20"/>
        </w:rPr>
        <w:t xml:space="preserve">Share </w:t>
      </w:r>
      <w:r>
        <w:rPr>
          <w:rFonts w:ascii="Times New Roman" w:hAnsi="Times New Roman"/>
          <w:sz w:val="20"/>
        </w:rPr>
        <w:t xml:space="preserve">Reserve </w:t>
      </w:r>
      <w:r>
        <w:rPr>
          <w:rFonts w:ascii="Times New Roman" w:hAnsi="Times New Roman"/>
          <w:strike/>
          <w:color w:val="FF0000"/>
          <w:sz w:val="20"/>
        </w:rPr>
        <w:t>has not been fully</w:t>
      </w:r>
      <w:r>
        <w:rPr>
          <w:rFonts w:ascii="Times New Roman" w:hAnsi="Times New Roman"/>
          <w:color w:val="0000FF"/>
          <w:sz w:val="20"/>
          <w:u w:val="single"/>
          <w:bdr w:val="double" w:sz="2" w:space="1" w:color="000000"/>
        </w:rPr>
        <w:t>Share Number is</w:t>
      </w:r>
      <w:r>
        <w:rPr>
          <w:rFonts w:ascii="Times New Roman" w:hAnsi="Times New Roman"/>
          <w:sz w:val="20"/>
        </w:rPr>
        <w:t xml:space="preserve"> gr</w:t>
      </w:r>
      <w:r>
        <w:rPr>
          <w:rFonts w:ascii="Times New Roman" w:hAnsi="Times New Roman"/>
          <w:color w:val="0000FF"/>
          <w:sz w:val="20"/>
          <w:u w:val="single"/>
          <w:bdr w:val="double" w:sz="2" w:space="1" w:color="000000"/>
        </w:rPr>
        <w:t>e</w:t>
      </w:r>
      <w:r>
        <w:rPr>
          <w:rFonts w:ascii="Times New Roman" w:hAnsi="Times New Roman"/>
          <w:sz w:val="20"/>
        </w:rPr>
        <w:t>a</w:t>
      </w:r>
      <w:r>
        <w:rPr>
          <w:rFonts w:ascii="Times New Roman" w:hAnsi="Times New Roman"/>
          <w:strike/>
          <w:color w:val="FF0000"/>
          <w:sz w:val="20"/>
        </w:rPr>
        <w:t>n</w:t>
      </w:r>
      <w:r>
        <w:rPr>
          <w:rFonts w:ascii="Times New Roman" w:hAnsi="Times New Roman"/>
          <w:sz w:val="20"/>
        </w:rPr>
        <w:t>te</w:t>
      </w:r>
      <w:r>
        <w:rPr>
          <w:rFonts w:ascii="Times New Roman" w:hAnsi="Times New Roman"/>
          <w:strike/>
          <w:color w:val="FF0000"/>
          <w:sz w:val="20"/>
        </w:rPr>
        <w:t>d</w:t>
      </w:r>
      <w:r>
        <w:rPr>
          <w:rFonts w:ascii="Times New Roman" w:hAnsi="Times New Roman"/>
          <w:color w:val="0000FF"/>
          <w:sz w:val="20"/>
          <w:u w:val="single"/>
          <w:bdr w:val="double" w:sz="2" w:space="1" w:color="000000"/>
        </w:rPr>
        <w:t>r than 0</w:t>
      </w:r>
      <w:r>
        <w:rPr>
          <w:rFonts w:ascii="Times New Roman" w:hAnsi="Times New Roman"/>
          <w:sz w:val="20"/>
        </w:rPr>
        <w:t xml:space="preserve">, and (ii) the TEV in connection with such Change of Control is at least $1 billion, then the Board shall make a special RSU grant to </w:t>
      </w:r>
      <w:r>
        <w:rPr>
          <w:rFonts w:ascii="Times New Roman" w:hAnsi="Times New Roman"/>
          <w:color w:val="0000FF"/>
          <w:sz w:val="20"/>
          <w:u w:val="single"/>
          <w:bdr w:val="double" w:sz="2" w:space="1" w:color="000000"/>
        </w:rPr>
        <w:t xml:space="preserve">MIP </w:t>
      </w:r>
      <w:r>
        <w:rPr>
          <w:rFonts w:ascii="Times New Roman" w:hAnsi="Times New Roman"/>
          <w:sz w:val="20"/>
        </w:rPr>
        <w:t>Participants who remain in a Service relationship with the Company or its Affiliates at the time of such Change of Control (such grants, the “</w:t>
      </w:r>
      <w:r>
        <w:rPr>
          <w:rFonts w:ascii="Times New Roman" w:hAnsi="Times New Roman"/>
          <w:sz w:val="20"/>
          <w:u w:val="single"/>
        </w:rPr>
        <w:t>Special RSUs</w:t>
      </w:r>
      <w:r>
        <w:rPr>
          <w:rFonts w:ascii="Times New Roman" w:hAnsi="Times New Roman"/>
          <w:sz w:val="20"/>
        </w:rPr>
        <w:t xml:space="preserve">”). The Special RSUs shall be fully vested upon grant. The amount of shares </w:t>
      </w:r>
      <w:r>
        <w:rPr>
          <w:rFonts w:ascii="Times New Roman" w:hAnsi="Times New Roman"/>
          <w:color w:val="0000FF"/>
          <w:sz w:val="20"/>
          <w:u w:val="single"/>
          <w:bdr w:val="double" w:sz="2" w:space="1" w:color="000000"/>
        </w:rPr>
        <w:t xml:space="preserve">of Common Stock </w:t>
      </w:r>
      <w:r>
        <w:rPr>
          <w:rFonts w:ascii="Times New Roman" w:hAnsi="Times New Roman"/>
          <w:sz w:val="20"/>
        </w:rPr>
        <w:t xml:space="preserve">subject to the Special RSUs granted shall be the lesser of (A) twenty percent (20%) of the MIP Reserve (i.e., 412,602 </w:t>
      </w:r>
      <w:r>
        <w:rPr>
          <w:rFonts w:ascii="Times New Roman" w:hAnsi="Times New Roman"/>
          <w:strike/>
          <w:color w:val="FF0000"/>
          <w:sz w:val="20"/>
        </w:rPr>
        <w:t>S</w:t>
      </w:r>
      <w:r>
        <w:rPr>
          <w:rFonts w:ascii="Times New Roman" w:hAnsi="Times New Roman"/>
          <w:color w:val="0000FF"/>
          <w:sz w:val="20"/>
          <w:u w:val="single"/>
          <w:bdr w:val="double" w:sz="2" w:space="1" w:color="000000"/>
        </w:rPr>
        <w:t>s</w:t>
      </w:r>
      <w:r>
        <w:rPr>
          <w:rFonts w:ascii="Times New Roman" w:hAnsi="Times New Roman"/>
          <w:sz w:val="20"/>
        </w:rPr>
        <w:t>hares</w:t>
      </w:r>
      <w:r>
        <w:rPr>
          <w:rFonts w:ascii="Times New Roman" w:hAnsi="Times New Roman"/>
          <w:color w:val="0000FF"/>
          <w:sz w:val="20"/>
          <w:u w:val="single"/>
          <w:bdr w:val="double" w:sz="2" w:space="1" w:color="000000"/>
        </w:rPr>
        <w:t xml:space="preserve"> of Common Stock</w:t>
      </w:r>
      <w:r>
        <w:rPr>
          <w:rFonts w:ascii="Times New Roman" w:hAnsi="Times New Roman"/>
          <w:sz w:val="20"/>
        </w:rPr>
        <w:t xml:space="preserve">), and (B) </w:t>
      </w:r>
      <w:r>
        <w:rPr>
          <w:rFonts w:ascii="Times New Roman" w:hAnsi="Times New Roman"/>
          <w:strike/>
          <w:color w:val="FF0000"/>
          <w:sz w:val="20"/>
        </w:rPr>
        <w:t>one hundred percent (100%) of the Remaining MIP Share Reserve as of the time of the</w:t>
      </w:r>
      <w:r>
        <w:rPr>
          <w:rFonts w:ascii="Times New Roman" w:hAnsi="Times New Roman"/>
          <w:color w:val="0000FF"/>
          <w:sz w:val="20"/>
          <w:u w:val="single"/>
          <w:bdr w:val="double" w:sz="2" w:space="1" w:color="000000"/>
        </w:rPr>
        <w:t xml:space="preserve">the Unused MIP Reserve Share Number, For purposes of this Section 2.2(c) the “Unused MIP Reserve Share Number” shall equal (A) 2,063,011 shares of Common Stock, </w:t>
      </w:r>
      <w:r>
        <w:rPr>
          <w:rFonts w:ascii="Times New Roman" w:hAnsi="Times New Roman"/>
          <w:i/>
          <w:color w:val="0000FF"/>
          <w:sz w:val="20"/>
          <w:u w:val="single"/>
          <w:bdr w:val="double" w:sz="2" w:space="1" w:color="000000"/>
        </w:rPr>
        <w:t>minus</w:t>
      </w:r>
      <w:r>
        <w:rPr>
          <w:rFonts w:ascii="Times New Roman" w:hAnsi="Times New Roman"/>
          <w:color w:val="0000FF"/>
          <w:sz w:val="20"/>
          <w:u w:val="single"/>
          <w:bdr w:val="double" w:sz="2" w:space="1" w:color="000000"/>
        </w:rPr>
        <w:t xml:space="preserve"> (B) the number of shares of Common Stock equal to the sum (without duplication) of (1) shares of Common Stock that are subject to an Award granted to a MIP Participant that is outstanding as of immediately prior to a</w:t>
      </w:r>
      <w:r>
        <w:rPr>
          <w:rFonts w:ascii="Times New Roman" w:hAnsi="Times New Roman"/>
          <w:sz w:val="20"/>
        </w:rPr>
        <w:t xml:space="preserve"> Change of Control</w:t>
      </w:r>
      <w:r>
        <w:rPr>
          <w:rFonts w:ascii="Times New Roman" w:hAnsi="Times New Roman"/>
          <w:color w:val="0000FF"/>
          <w:sz w:val="20"/>
          <w:u w:val="single"/>
          <w:bdr w:val="double" w:sz="2" w:space="1" w:color="000000"/>
        </w:rPr>
        <w:t xml:space="preserve"> and (2) shares of Common Stock that were subject to an Award granted to a MIP Participant that vested prior to a Change of Control and were not forfeited for no consideration</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0" w:name="d65571dex1023.htm"/>
      <w:bookmarkStart w:id="41" w:name="ksd65571dex1023"/>
      <w:bookmarkEnd w:id="40"/>
      <w:bookmarkEnd w:id="41"/>
      <w:r>
        <w:rPr>
          <w:rFonts w:ascii="Times New Roman" w:hAnsi="Times New Roman"/>
          <w:b/>
          <w:sz w:val="20"/>
        </w:rPr>
        <w:t xml:space="preserve">Exhibit 10.23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HORNBECK OFFSHORE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CASH LONG TERM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This plan is the Hornbeck Offshore Services, Inc. 2025 Cash Long Term Incentive Plan (the “</w:t>
      </w:r>
      <w:r>
        <w:rPr>
          <w:rFonts w:ascii="Times New Roman" w:hAnsi="Times New Roman"/>
          <w:sz w:val="20"/>
          <w:u w:val="single"/>
        </w:rPr>
        <w:t>Plan</w:t>
      </w:r>
      <w:r>
        <w:rPr>
          <w:rFonts w:ascii="Times New Roman" w:hAnsi="Times New Roman"/>
          <w:sz w:val="20"/>
        </w:rPr>
        <w:t>”). The Plan is effective as of April 1, 2025, the date on which the Board adopted the Plan. The purpose of the Plan is to enable Hornbeck Offshore Services, Inc. a Delaware corporation (the “</w:t>
      </w:r>
      <w:r>
        <w:rPr>
          <w:rFonts w:ascii="Times New Roman" w:hAnsi="Times New Roman"/>
          <w:sz w:val="20"/>
          <w:u w:val="single"/>
        </w:rPr>
        <w:t>Company</w:t>
      </w:r>
      <w:r>
        <w:rPr>
          <w:rFonts w:ascii="Times New Roman" w:hAnsi="Times New Roman"/>
          <w:sz w:val="20"/>
        </w:rPr>
        <w:t xml:space="preserve">”), and its Affiliates, to incentivize and reward key executives and other service providers of the Company and its Affiliates.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General</w:t>
      </w:r>
      <w:r>
        <w:rPr>
          <w:rFonts w:ascii="Times New Roman" w:hAnsi="Times New Roman"/>
          <w:sz w:val="20"/>
        </w:rPr>
        <w:t xml:space="preserve">. The Plan shall be administered by the Board or any committee thereof designated by the Board from time to time. The Board shall have the responsibility, in its sole discretion, to control, operate, construe, interpret, manage, and administer the Plan and shall have all the discretionary authority that may be necessary or helpful to enable it to discharge its responsibilities with respect to the Plan. The Board is empowered to correct any defect, supply any omission, or reconcile any inconsistency in the Plan or in any Award Notice in the manner and to the extent the Board shall deem it desirable to carry it into effect. Determinations made by the Board under the Plan need not be uniform and may be made selectively among eligible individuals under the Plan, whether or not such individuals are similarly situated. All determinations and interpretations made by the Board shall be final, binding, and conclusive on all Participants and their heirs, successors, and legal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Participation</w:t>
      </w:r>
      <w:r>
        <w:rPr>
          <w:rFonts w:ascii="Times New Roman" w:hAnsi="Times New Roman"/>
          <w:sz w:val="20"/>
        </w:rPr>
        <w:t xml:space="preserve">. The Board shall determine the Participants to whom Awards under the Plan shall be granted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Grant of Awards</w:t>
      </w:r>
      <w:r>
        <w:rPr>
          <w:rFonts w:ascii="Times New Roman" w:hAnsi="Times New Roman"/>
          <w:sz w:val="20"/>
        </w:rPr>
        <w:t xml:space="preserve">. Awards granted under the Plan shall contain the Participant’s LTIP Pool Percentage and shall represent the right to receive Cash LTIP Payments (as defined below), subject to the terms and conditions of the Plan and the applicable Award Notice. The Board shall determine the LTIP Pool Percentage for each Award in its sole discretion. The Board may, but is not obligated to, reallocate the LTIP Pool Percentage of a forfeited Award.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CASH LTIP PAYMENTS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Cash LTIP Payments</w:t>
      </w:r>
      <w:r>
        <w:rPr>
          <w:rFonts w:ascii="Times New Roman" w:hAnsi="Times New Roman"/>
          <w:sz w:val="20"/>
        </w:rPr>
        <w:t xml:space="preserve">. Subject to the provisions of this </w:t>
      </w:r>
      <w:r>
        <w:rPr>
          <w:rFonts w:ascii="Times New Roman" w:hAnsi="Times New Roman"/>
          <w:sz w:val="20"/>
          <w:u w:val="single"/>
        </w:rPr>
        <w:t>Article III</w:t>
      </w:r>
      <w:r>
        <w:rPr>
          <w:rFonts w:ascii="Times New Roman" w:hAnsi="Times New Roman"/>
          <w:sz w:val="20"/>
        </w:rPr>
        <w:t xml:space="preserve"> and the Participant’s Award Notice, including the Participant’s continuous employment or service to the Company Group through the Capital Return Event, after each Capital Return Event, each Participant holding an outstanding Award as of the date of such Capital Return Event shall receive a cash payment equal to (a) the Incremental LTIP Pool Amount as a result of the Capital Return Event (as determined in accordance with </w:t>
      </w:r>
      <w:r>
        <w:rPr>
          <w:rFonts w:ascii="Times New Roman" w:hAnsi="Times New Roman"/>
          <w:sz w:val="20"/>
          <w:u w:val="single"/>
        </w:rPr>
        <w:t>Section 3.2</w:t>
      </w:r>
      <w:r>
        <w:rPr>
          <w:rFonts w:ascii="Times New Roman" w:hAnsi="Times New Roman"/>
          <w:sz w:val="20"/>
        </w:rPr>
        <w:t xml:space="preserve">), </w:t>
      </w:r>
      <w:r>
        <w:rPr>
          <w:rFonts w:ascii="Times New Roman" w:hAnsi="Times New Roman"/>
          <w:i/>
          <w:sz w:val="20"/>
        </w:rPr>
        <w:t>multiplied by</w:t>
      </w:r>
      <w:r>
        <w:rPr>
          <w:rFonts w:ascii="Times New Roman" w:hAnsi="Times New Roman"/>
          <w:sz w:val="20"/>
        </w:rPr>
        <w:t xml:space="preserve"> (b) the Participant’s LTIP Pool Percentage (such payment, a “</w:t>
      </w:r>
      <w:r>
        <w:rPr>
          <w:rFonts w:ascii="Times New Roman" w:hAnsi="Times New Roman"/>
          <w:sz w:val="20"/>
          <w:u w:val="single"/>
        </w:rPr>
        <w:t>Cash LTIP Payment</w:t>
      </w:r>
      <w:r>
        <w:rPr>
          <w:rFonts w:ascii="Times New Roman" w:hAnsi="Times New Roman"/>
          <w:sz w:val="20"/>
        </w:rPr>
        <w:t xml:space="preserve">”). Any Cash LTIP Payment that becomes payable in respect of an Award hereunder shall be paid to the Participant by the Company or any applicable Affiliate in a single lump sum payment on or within 60 days after the applicable Capital Return Event. The amount of each Participant’s Cash LTIP Payment, and all related calculations, including the Cumulative Capital Return Amount, the Incremental Capital Return Amount, and the Incremental LTIP Pool Amount, shall be determined by the Board in its sole discretion in accordance with this </w:t>
      </w: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and the applicable Award Notice, and such determination shall be final, conclusive, and binding on the Company, all Participants, and any other interested Person.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Incremental LTIP Pool Amount</w:t>
      </w:r>
      <w:r>
        <w:rPr>
          <w:rFonts w:ascii="Times New Roman" w:hAnsi="Times New Roman"/>
          <w:sz w:val="20"/>
        </w:rPr>
        <w:t xml:space="preserve">. As of any Capital Return Event, the Incremental LTIP Pool Amount available to be paid in accordance with </w:t>
      </w:r>
      <w:r>
        <w:rPr>
          <w:rFonts w:ascii="Times New Roman" w:hAnsi="Times New Roman"/>
          <w:sz w:val="20"/>
          <w:u w:val="single"/>
        </w:rPr>
        <w:t>Section 3.1</w:t>
      </w:r>
      <w:r>
        <w:rPr>
          <w:rFonts w:ascii="Times New Roman" w:hAnsi="Times New Roman"/>
          <w:sz w:val="20"/>
        </w:rPr>
        <w:t xml:space="preserve"> shall be determined in accordance with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706"/>
        <w:gridCol w:w="178"/>
        <w:gridCol w:w="1897"/>
        <w:gridCol w:w="178"/>
        <w:gridCol w:w="338"/>
        <w:gridCol w:w="2090"/>
        <w:gridCol w:w="60"/>
        <w:gridCol w:w="178"/>
        <w:gridCol w:w="263"/>
        <w:gridCol w:w="1619"/>
        <w:gridCol w:w="65"/>
      </w:tblGrid>
      <w:tr>
        <w:trPr/>
        <w:tc>
          <w:tcPr>
            <w:tcW w:w="1706"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Cumulative Capital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Return Amount</w:t>
            </w:r>
          </w:p>
        </w:tc>
        <w:tc>
          <w:tcPr>
            <w:tcW w:w="178" w:type="dxa"/>
            <w:tcBorders/>
            <w:vAlign w:val="bottom"/>
          </w:tcPr>
          <w:p>
            <w:pPr>
              <w:pStyle w:val="TableContents"/>
              <w:bidi w:val="0"/>
              <w:spacing w:before="0" w:after="283"/>
              <w:jc w:val="left"/>
              <w:rPr/>
            </w:pPr>
            <w:r>
              <w:rPr/>
              <w:t>  </w:t>
            </w:r>
          </w:p>
        </w:tc>
        <w:tc>
          <w:tcPr>
            <w:tcW w:w="189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Incremental LTIP Pool</w:t>
            </w:r>
          </w:p>
          <w:p>
            <w:pPr>
              <w:pStyle w:val="TableContents"/>
              <w:bidi w:val="0"/>
              <w:spacing w:before="0" w:after="20"/>
              <w:jc w:val="center"/>
              <w:rPr>
                <w:rFonts w:ascii="Times New Roman" w:hAnsi="Times New Roman"/>
                <w:b/>
                <w:sz w:val="16"/>
              </w:rPr>
            </w:pPr>
            <w:r>
              <w:rPr>
                <w:rFonts w:ascii="Times New Roman" w:hAnsi="Times New Roman"/>
                <w:b/>
                <w:sz w:val="16"/>
              </w:rPr>
              <w:t>Amount</w:t>
            </w:r>
          </w:p>
        </w:tc>
        <w:tc>
          <w:tcPr>
            <w:tcW w:w="178" w:type="dxa"/>
            <w:tcBorders/>
            <w:vAlign w:val="bottom"/>
          </w:tcPr>
          <w:p>
            <w:pPr>
              <w:pStyle w:val="TableContents"/>
              <w:bidi w:val="0"/>
              <w:spacing w:before="0" w:after="283"/>
              <w:jc w:val="left"/>
              <w:rPr/>
            </w:pPr>
            <w:r>
              <w:rPr/>
              <w:t>  </w:t>
            </w:r>
          </w:p>
        </w:tc>
        <w:tc>
          <w:tcPr>
            <w:tcW w:w="2428" w:type="dxa"/>
            <w:gridSpan w:val="2"/>
            <w:tcBorders>
              <w:bottom w:val="single" w:sz="8" w:space="0" w:color="000000"/>
            </w:tcBorders>
            <w:tcMar>
              <w:bottom w:w="28" w:type="dxa"/>
            </w:tcMar>
            <w:vAlign w:val="bottom"/>
          </w:tcPr>
          <w:p>
            <w:pPr>
              <w:pStyle w:val="TableContents"/>
              <w:bidi w:val="0"/>
              <w:spacing w:before="0" w:after="283"/>
              <w:jc w:val="center"/>
              <w:rPr/>
            </w:pPr>
            <w:r>
              <w:rPr>
                <w:b/>
              </w:rPr>
              <w:t>Maximum Aggregate</w:t>
              <w:br/>
              <w:t>Incremental LTIP Pool</w:t>
            </w:r>
            <w:r>
              <w:rPr/>
              <w:br/>
            </w:r>
            <w:r>
              <w:rPr>
                <w:b/>
              </w:rPr>
              <w:t>Amount for Each Level</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pPr>
            <w:r>
              <w:rPr>
                <w:b/>
              </w:rPr>
              <w:t>Cumulative</w:t>
            </w:r>
            <w:r>
              <w:rPr/>
              <w:br/>
            </w:r>
            <w:r>
              <w:rPr>
                <w:b/>
              </w:rPr>
              <w:t>Maximum</w:t>
            </w:r>
            <w:r>
              <w:rPr/>
              <w:br/>
            </w:r>
            <w:r>
              <w:rPr>
                <w:b/>
              </w:rPr>
              <w:t>Aggregate</w:t>
            </w:r>
            <w:r>
              <w:rPr/>
              <w:br/>
            </w:r>
            <w:r>
              <w:rPr>
                <w:b/>
              </w:rPr>
              <w:t>Incremental LTIP</w:t>
            </w:r>
            <w:r>
              <w:rPr/>
              <w:br/>
            </w:r>
            <w:r>
              <w:rPr>
                <w:b/>
              </w:rPr>
              <w:t>Pool Amount</w:t>
            </w:r>
          </w:p>
        </w:tc>
        <w:tc>
          <w:tcPr>
            <w:tcW w:w="65" w:type="dxa"/>
            <w:tcBorders/>
            <w:vAlign w:val="bottom"/>
          </w:tcPr>
          <w:p>
            <w:pPr>
              <w:pStyle w:val="TableContents"/>
              <w:bidi w:val="0"/>
              <w:spacing w:before="0" w:after="283"/>
              <w:jc w:val="left"/>
              <w:rPr/>
            </w:pPr>
            <w:r>
              <w:rPr/>
              <w:t> </w:t>
            </w:r>
          </w:p>
        </w:tc>
      </w:tr>
      <w:tr>
        <w:trPr/>
        <w:tc>
          <w:tcPr>
            <w:tcW w:w="1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$200 million</w:t>
            </w:r>
          </w:p>
        </w:tc>
        <w:tc>
          <w:tcPr>
            <w:tcW w:w="178"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left"/>
              <w:rPr/>
            </w:pPr>
            <w:r>
              <w:rPr/>
              <w:t>0.5% of the Incremental Capital Return Amount</w:t>
            </w:r>
          </w:p>
        </w:tc>
        <w:tc>
          <w:tcPr>
            <w:tcW w:w="178"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w:t>
            </w:r>
          </w:p>
        </w:tc>
        <w:tc>
          <w:tcPr>
            <w:tcW w:w="2090" w:type="dxa"/>
            <w:tcBorders/>
            <w:shd w:fill="CCEEFF" w:val="clear"/>
            <w:vAlign w:val="bottom"/>
          </w:tcPr>
          <w:p>
            <w:pPr>
              <w:pStyle w:val="TableContents"/>
              <w:bidi w:val="0"/>
              <w:spacing w:before="0" w:after="283"/>
              <w:jc w:val="right"/>
              <w:rPr/>
            </w:pPr>
            <w:r>
              <w:rPr/>
              <w:t>1 million</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1619" w:type="dxa"/>
            <w:tcBorders/>
            <w:shd w:fill="CCEEFF" w:val="clear"/>
            <w:vAlign w:val="bottom"/>
          </w:tcPr>
          <w:p>
            <w:pPr>
              <w:pStyle w:val="TableContents"/>
              <w:bidi w:val="0"/>
              <w:spacing w:before="0" w:after="283"/>
              <w:jc w:val="right"/>
              <w:rPr/>
            </w:pPr>
            <w:r>
              <w:rPr/>
              <w:t>1 million</w:t>
            </w:r>
          </w:p>
        </w:tc>
        <w:tc>
          <w:tcPr>
            <w:tcW w:w="65" w:type="dxa"/>
            <w:tcBorders/>
            <w:shd w:fill="CCEEFF" w:val="clear"/>
            <w:vAlign w:val="bottom"/>
          </w:tcPr>
          <w:p>
            <w:pPr>
              <w:pStyle w:val="TableContents"/>
              <w:bidi w:val="0"/>
              <w:spacing w:before="0" w:after="283"/>
              <w:jc w:val="left"/>
              <w:rPr/>
            </w:pPr>
            <w:r>
              <w:rPr/>
              <w:t> </w:t>
            </w:r>
          </w:p>
        </w:tc>
      </w:tr>
      <w:tr>
        <w:trPr/>
        <w:tc>
          <w:tcPr>
            <w:tcW w:w="1706" w:type="dxa"/>
            <w:tcBorders/>
          </w:tcPr>
          <w:p>
            <w:pPr>
              <w:pStyle w:val="TableContents"/>
              <w:bidi w:val="0"/>
              <w:spacing w:before="0" w:after="283"/>
              <w:jc w:val="left"/>
              <w:rPr/>
            </w:pPr>
            <w:r>
              <w:rPr/>
              <w:t>Greater than $200 million but less than or equal to $700 million</w:t>
            </w:r>
          </w:p>
        </w:tc>
        <w:tc>
          <w:tcPr>
            <w:tcW w:w="178"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left"/>
              <w:rPr/>
            </w:pPr>
            <w:r>
              <w:rPr/>
              <w:t>1.0% of the Incremental Capital Return Amount in excess of the $200 million Cumulative Capital Return Amount threshold</w:t>
            </w:r>
          </w:p>
        </w:tc>
        <w:tc>
          <w:tcPr>
            <w:tcW w:w="178"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w:t>
            </w:r>
          </w:p>
        </w:tc>
        <w:tc>
          <w:tcPr>
            <w:tcW w:w="2090" w:type="dxa"/>
            <w:tcBorders/>
            <w:vAlign w:val="bottom"/>
          </w:tcPr>
          <w:p>
            <w:pPr>
              <w:pStyle w:val="TableContents"/>
              <w:bidi w:val="0"/>
              <w:spacing w:before="0" w:after="283"/>
              <w:jc w:val="right"/>
              <w:rPr/>
            </w:pPr>
            <w:r>
              <w:rPr/>
              <w:t>5 million</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619" w:type="dxa"/>
            <w:tcBorders/>
            <w:vAlign w:val="bottom"/>
          </w:tcPr>
          <w:p>
            <w:pPr>
              <w:pStyle w:val="TableContents"/>
              <w:bidi w:val="0"/>
              <w:spacing w:before="0" w:after="283"/>
              <w:jc w:val="right"/>
              <w:rPr/>
            </w:pPr>
            <w:r>
              <w:rPr/>
              <w:t>6 million</w:t>
            </w:r>
          </w:p>
        </w:tc>
        <w:tc>
          <w:tcPr>
            <w:tcW w:w="65" w:type="dxa"/>
            <w:tcBorders/>
            <w:vAlign w:val="bottom"/>
          </w:tcPr>
          <w:p>
            <w:pPr>
              <w:pStyle w:val="TableContents"/>
              <w:bidi w:val="0"/>
              <w:spacing w:before="0" w:after="283"/>
              <w:jc w:val="left"/>
              <w:rPr/>
            </w:pPr>
            <w:r>
              <w:rPr/>
              <w:t> </w:t>
            </w:r>
          </w:p>
        </w:tc>
      </w:tr>
      <w:tr>
        <w:trPr/>
        <w:tc>
          <w:tcPr>
            <w:tcW w:w="1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Greater than $700 million</w:t>
            </w:r>
          </w:p>
        </w:tc>
        <w:tc>
          <w:tcPr>
            <w:tcW w:w="178"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left"/>
              <w:rPr/>
            </w:pPr>
            <w:r>
              <w:rPr/>
              <w:t>None</w:t>
            </w:r>
          </w:p>
        </w:tc>
        <w:tc>
          <w:tcPr>
            <w:tcW w:w="178"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w:t>
            </w:r>
          </w:p>
        </w:tc>
        <w:tc>
          <w:tcPr>
            <w:tcW w:w="209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1619" w:type="dxa"/>
            <w:tcBorders/>
            <w:shd w:fill="CCEEFF" w:val="clear"/>
            <w:vAlign w:val="bottom"/>
          </w:tcPr>
          <w:p>
            <w:pPr>
              <w:pStyle w:val="TableContents"/>
              <w:bidi w:val="0"/>
              <w:spacing w:before="0" w:after="283"/>
              <w:jc w:val="right"/>
              <w:rPr/>
            </w:pPr>
            <w:r>
              <w:rPr/>
              <w:t>6 million</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aggregate LTIP Pool Percentage outstanding at the time of any Capital Return Event or Cash LTIP Payment does not equal 100%, then any unallocated portion of the Incremental LTIP Pool Amount shall not be paid as a Cash LTIP Payment and such amount will not fund the Plan and shall remain as part of the Company Group’s general assets. </w:t>
      </w:r>
    </w:p>
    <w:p>
      <w:pPr>
        <w:pStyle w:val="TextBody"/>
        <w:bidi w:val="0"/>
        <w:spacing w:before="240" w:after="0"/>
        <w:jc w:val="left"/>
        <w:rPr>
          <w:rFonts w:ascii="Times New Roman" w:hAnsi="Times New Roman"/>
          <w:sz w:val="20"/>
        </w:rPr>
      </w:pPr>
      <w:r>
        <w:rPr>
          <w:rFonts w:ascii="Times New Roman" w:hAnsi="Times New Roman"/>
          <w:sz w:val="20"/>
        </w:rPr>
        <w:t xml:space="preserve">As an illustration and assuming that Awards representing an aggregate of 100% of the LTIP Pool Percentage are outstanding at the time of each Capital Return Event and Cash LTIP Payment, (a) if the first Capital Return Event during the Performance Period produces $100 million in Capital Return Amount, then the Incremental LTIP Pool Amount for such Capital Return Event would be $500,000, and $500,000 would be paid to the Participants as Cash LTIP Payments in accordance with this </w:t>
      </w:r>
      <w:r>
        <w:rPr>
          <w:rFonts w:ascii="Times New Roman" w:hAnsi="Times New Roman"/>
          <w:sz w:val="20"/>
          <w:u w:val="single"/>
        </w:rPr>
        <w:t>Article III</w:t>
      </w:r>
      <w:r>
        <w:rPr>
          <w:rFonts w:ascii="Times New Roman" w:hAnsi="Times New Roman"/>
          <w:sz w:val="20"/>
        </w:rPr>
        <w:t xml:space="preserve">, (b) if the second Capital Return Event during the Performance Period produces $200 million in Incremental Capital Return Amount (such that the Cumulative Capital Return Amount is $300 million), then the Incremental LTIP Pool Amount for such Capital Return Event would be $1.5 million, and $1.5 million would be paid to the Participants as Cash LTIP Payments in accordance with this </w:t>
      </w:r>
      <w:r>
        <w:rPr>
          <w:rFonts w:ascii="Times New Roman" w:hAnsi="Times New Roman"/>
          <w:sz w:val="20"/>
          <w:u w:val="single"/>
        </w:rPr>
        <w:t>Article III</w:t>
      </w:r>
      <w:r>
        <w:rPr>
          <w:rFonts w:ascii="Times New Roman" w:hAnsi="Times New Roman"/>
          <w:sz w:val="20"/>
        </w:rPr>
        <w:t xml:space="preserve">, and (c) if the third Capital Return Event during the Performance Period produces $600 million in Incremental Capital Return Amount (such that the Cumulative Capital Return Amount is $900 million), then the Incremental LTIP Pool Amount for such Capital Return Event would be $4 million, and $4 million would be paid to the Participants as Cash LTIP Payments in accordance with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Termination of Employment or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When Cause Does Not Exist</w:t>
      </w:r>
      <w:r>
        <w:rPr>
          <w:rFonts w:ascii="Times New Roman" w:hAnsi="Times New Roman"/>
          <w:sz w:val="20"/>
        </w:rPr>
        <w:t xml:space="preserve">. If a Participant’s employment or service with the Company Group terminates at a time when Cause does not exist, then the Participant’s Award shall automatically and immediately terminate and be forfeited for no consideration and the Participant shall cease to have any further rights or benefit entitlement under the Plan; </w:t>
      </w:r>
      <w:r>
        <w:rPr>
          <w:rFonts w:ascii="Times New Roman" w:hAnsi="Times New Roman"/>
          <w:sz w:val="20"/>
          <w:u w:val="single"/>
        </w:rPr>
        <w:t>provided</w:t>
      </w:r>
      <w:r>
        <w:rPr>
          <w:rFonts w:ascii="Times New Roman" w:hAnsi="Times New Roman"/>
          <w:sz w:val="20"/>
        </w:rPr>
        <w:t xml:space="preserve">, that, the Participant shall remain entitled to receive any Cash LTIP Payment that is due to the Participant in accordance with the Plan, including </w:t>
      </w:r>
      <w:r>
        <w:rPr>
          <w:rFonts w:ascii="Times New Roman" w:hAnsi="Times New Roman"/>
          <w:sz w:val="20"/>
          <w:u w:val="single"/>
        </w:rPr>
        <w:t>Section 3.5</w:t>
      </w:r>
      <w:r>
        <w:rPr>
          <w:rFonts w:ascii="Times New Roman" w:hAnsi="Times New Roman"/>
          <w:sz w:val="20"/>
        </w:rPr>
        <w:t xml:space="preserve">, as a result of any Capital Return Event that occurred on or prior to the date of the termination of the Participant’s employment 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When Cause Exists</w:t>
      </w:r>
      <w:r>
        <w:rPr>
          <w:rFonts w:ascii="Times New Roman" w:hAnsi="Times New Roman"/>
          <w:sz w:val="20"/>
        </w:rPr>
        <w:t xml:space="preserve">. If a Participant’s employment or service with the Company Group terminates at a time when Cause exists, then the Participant’s Award shall automatically and immediately terminate and be forfeited for no consideration and the Participant shall cease to have any further rights or benefit entitlement under the Plan, including forfeiting any Cash LTIP Payment in respect of any Capital Return Event that occurred on or prior to the date of the termination of the Participant’s employment or service that remains unpaid as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Acceptance of Cash LTIP Payment</w:t>
      </w:r>
      <w:r>
        <w:rPr>
          <w:rFonts w:ascii="Times New Roman" w:hAnsi="Times New Roman"/>
          <w:sz w:val="20"/>
        </w:rPr>
        <w:t xml:space="preserve">. Upon acceptance of any Cash LTIP Payment payable to a Participant under the Plan, such Participant and each Person claiming under or through such Participant shall be conclusively deemed to have (a) accepted all aspects of the calculation of the applicable Cash LTIP Payment, (b) accepted, ratified, and consented to any action taken under the Plan by the Company or the Board, and (c) unconditionally released and discharged the Company and any and all of the Company’s partners, parents, subsidiaries, Affiliates, successors, and assigns and any and all of its and their past and present officers, directors, managers, partners, agents, employees, equityholders, and representatives from any and all claims in connection with, or in any manner related to or arising under, the Plan, including the determination of such Cash LTIP Payment and any other matter associated therewith.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Change of Control Post-Closing Payments</w:t>
      </w:r>
      <w:r>
        <w:rPr>
          <w:rFonts w:ascii="Times New Roman" w:hAnsi="Times New Roman"/>
          <w:sz w:val="20"/>
        </w:rPr>
        <w:t xml:space="preserve">. If a Capital Return Event is a “change in control event” that is described in Treasury Regulations § 1.409A-3(i)(5)(iv) and any consideration in the “change in control event” is paid on a deferred basis due to an earn-out, holdback, escrow, or similar arrangement, the Board may, in its discretion, before the “change in control event”, determine whether Participants shall be paid additional amounts calculated in accordance with the Plan as, if, and when additional payments are received by equityholders in connection with the “change in control event”, subject to and in accordance with Treasury Regulations § 1.409A-3(i)(5)(iv). The additional payments, if any, would be payable under the same terms and conditions as the consideration payable to equityholders of the Company generally and would be limited to payments made within five years after the consummation of the “change in control event”.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Successors</w:t>
      </w:r>
      <w:r>
        <w:rPr>
          <w:rFonts w:ascii="Times New Roman" w:hAnsi="Times New Roman"/>
          <w:sz w:val="20"/>
        </w:rPr>
        <w:t xml:space="preserve">. For purposes of the Plan, the Company shall include any successors or assigns, whether direct or indirect and whether by purchase, merger, consolidation, or otherwise, to all or substantially all of the business or assets of the Company, and such successors and assigns shall perform the Company’s obligations under the Plan in the same manner and to the same extent that the Company would be required to perform if no such succession or assignment had taken place. The term “Company” as used in the Plan means the Company, as defined in Article I, and any successor or assignee to the business or assets thereof that by reason hereof becomes bound by the terms and provisions of the Plan.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Non-Transferability</w:t>
      </w:r>
      <w:r>
        <w:rPr>
          <w:rFonts w:ascii="Times New Roman" w:hAnsi="Times New Roman"/>
          <w:sz w:val="20"/>
        </w:rPr>
        <w:t xml:space="preserve">. No Award or right to receive payment under the Plan may be transferred other than by the laws of descent or distribution. Any transfer or attempted transfer of an Award or a right to receive payment under the Plan contrary to this </w:t>
      </w:r>
      <w:r>
        <w:rPr>
          <w:rFonts w:ascii="Times New Roman" w:hAnsi="Times New Roman"/>
          <w:sz w:val="20"/>
          <w:u w:val="single"/>
        </w:rPr>
        <w:t>Section 4.2</w:t>
      </w:r>
      <w:r>
        <w:rPr>
          <w:rFonts w:ascii="Times New Roman" w:hAnsi="Times New Roman"/>
          <w:sz w:val="20"/>
        </w:rPr>
        <w:t xml:space="preserve"> shall be void. In the event of an attempted transfer by a Participant of an Award or a right to receive payment pursuant to the Plan contrary to this </w:t>
      </w:r>
      <w:r>
        <w:rPr>
          <w:rFonts w:ascii="Times New Roman" w:hAnsi="Times New Roman"/>
          <w:sz w:val="20"/>
          <w:u w:val="single"/>
        </w:rPr>
        <w:t>Section 4.2</w:t>
      </w:r>
      <w:r>
        <w:rPr>
          <w:rFonts w:ascii="Times New Roman" w:hAnsi="Times New Roman"/>
          <w:sz w:val="20"/>
        </w:rPr>
        <w:t xml:space="preserve">, the Board may in its sole discretion terminate such Award or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Withholding Taxes</w:t>
      </w:r>
      <w:r>
        <w:rPr>
          <w:rFonts w:ascii="Times New Roman" w:hAnsi="Times New Roman"/>
          <w:sz w:val="20"/>
        </w:rPr>
        <w:t xml:space="preserve">. The Company or any applicable Affiliate shall be entitled to withhold from any amount due and payable hereunder to any Participant (or secure payment from such Participant in lieu of withholding) the amount of any withholding or other tax due with respect to any amount payable to such Participant under the Plan. The Company Group shall have no liability for any tax imposed on a Participant as a result of amounts paid or payable to such Participant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Amendment or Termination of the Plan</w:t>
      </w:r>
      <w:r>
        <w:rPr>
          <w:rFonts w:ascii="Times New Roman" w:hAnsi="Times New Roman"/>
          <w:sz w:val="20"/>
        </w:rPr>
        <w:t xml:space="preserve">. The Plan may be amended or terminated to the extent not materially detrimental to the Participants by action of the Board at any time without Participant consent.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Severability</w:t>
      </w:r>
      <w:r>
        <w:rPr>
          <w:rFonts w:ascii="Times New Roman" w:hAnsi="Times New Roman"/>
          <w:sz w:val="20"/>
        </w:rPr>
        <w:t xml:space="preserve">. The provisions of the Plan shall be deemed severable. The invalidity or unenforceability of any provision of the Plan in any jurisdiction shall not affect the validity, legality, or enforceability of the remainder of the Plan in such jurisdiction or the validity, legality, or enforceability of any provision of the Plan in any other jurisdiction, it being intended that all provisions of the Plan shall be enforceable to the fullest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Titles and Headings</w:t>
      </w:r>
      <w:r>
        <w:rPr>
          <w:rFonts w:ascii="Times New Roman" w:hAnsi="Times New Roman"/>
          <w:sz w:val="20"/>
        </w:rPr>
        <w:t xml:space="preserve">. The headings and titles used in the Plan are for reference purposes only and shall not affect in any way the meaning or interpretation of the Plan.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Governing Law</w:t>
      </w:r>
      <w:r>
        <w:rPr>
          <w:rFonts w:ascii="Times New Roman" w:hAnsi="Times New Roman"/>
          <w:sz w:val="20"/>
        </w:rPr>
        <w:t xml:space="preserve">. The Plan, the Award Notices, and the Awards shall be governed by the laws of the State of Delaware, without giving effect to any choice of law provisions that might otherwise refer construction or interpretation of the Plan or the Award Notices to the substantive laws of another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No Obligation; Company Discretion</w:t>
      </w:r>
      <w:r>
        <w:rPr>
          <w:rFonts w:ascii="Times New Roman" w:hAnsi="Times New Roman"/>
          <w:sz w:val="20"/>
        </w:rPr>
        <w:t xml:space="preserve">. No provision of the Plan, the Award Notices or any Award granted hereunder shall be interpreted to impose an obligation on the Company or any of its Affiliates to consummate a Capital Return Event or take any action that increases the Capital Return Amount. The decision to consummate a Capital Return Event or to take any action that increases the Capital Return Amount, and all terms and conditions of a Capital Return Event, shall be within the sole and absolute discretion of the Company or its applicable Affiliate. In addition, the Plan shall not be interpreted or construed so as to limit or prevent the Company or any of its Affiliates from taking any actions with respect to the operation or conduct of its business or entering into any transaction that it deems appropriate or in its best interest. The Board in its sole discretion may take any action it deems appropriate, advisable, or necessary with respect to the Awards in connection with an initial public offering or de-SPAC transaction involving the Company or any of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No Right to Continued Employment</w:t>
      </w:r>
      <w:r>
        <w:rPr>
          <w:rFonts w:ascii="Times New Roman" w:hAnsi="Times New Roman"/>
          <w:sz w:val="20"/>
        </w:rPr>
        <w:t xml:space="preserve">. Nothing in the Plan shall interfere with or limit in any way any right of any member of the Company Group to terminate any Participant’s employment or service at any time and for any reason (or no reason), nor confer upon any Participant any right to continued employment or service with any member of the Company Group for any period of time or to continue such Participant’s present (or any other) rate of compensation. No Participant who is granted an Award under the Plan shall have any right to a grant of future Awards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Other Benefits</w:t>
      </w:r>
      <w:r>
        <w:rPr>
          <w:rFonts w:ascii="Times New Roman" w:hAnsi="Times New Roman"/>
          <w:sz w:val="20"/>
        </w:rPr>
        <w:t xml:space="preserve">. Awards under the Plan are special incentives and shall not be taken into account in computing the amount of salary or compensation for purposes of determining any bonus, incentive, pension, retirement, death, or other benefit under any employee benefit plan of the Company Group, unless such plan or agreement expressly provides otherwise.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Equity Interest</w:t>
      </w:r>
      <w:r>
        <w:rPr>
          <w:rFonts w:ascii="Times New Roman" w:hAnsi="Times New Roman"/>
          <w:sz w:val="20"/>
        </w:rPr>
        <w:t xml:space="preserve">. No Participant shall have any rights as an equityholder of any member of the Company Group as a result of the grant of an Award.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Unfunded Plan</w:t>
      </w:r>
      <w:r>
        <w:rPr>
          <w:rFonts w:ascii="Times New Roman" w:hAnsi="Times New Roman"/>
          <w:sz w:val="20"/>
        </w:rPr>
        <w:t xml:space="preserve">. To the extent that any Person acquires a right to receive payments under the Plan, such right shall be no greater than the right of an unsecured general creditor. All payments to be made hereunder shall be paid from general assets. The Plan is not intended to be subject to the Employee Retirement Income Security Act of 1974,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Section 409A</w:t>
      </w:r>
      <w:r>
        <w:rPr>
          <w:rFonts w:ascii="Times New Roman" w:hAnsi="Times New Roman"/>
          <w:sz w:val="20"/>
        </w:rPr>
        <w:t xml:space="preserve">. The Plan is intended to be exempt from Section 409A of the Code and shall be so construed. The Company Group does not guarantee any particular tax treatment of the Awards granted under the Plan and in no event whatsoever shall the Company Group be liable for any additional tax, interest, or penalty that may be imposed by Section 409A of the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Plan, capitalized terms used herein that are not otherwise defined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2020 MIP</w:t>
      </w:r>
      <w:r>
        <w:rPr>
          <w:rFonts w:ascii="Times New Roman" w:hAnsi="Times New Roman"/>
          <w:sz w:val="20"/>
        </w:rPr>
        <w:t xml:space="preserve">” means the 2020 Management Incentive Plan of Hornbeck Offshore Services, Inc., as amended from time to time. </w:t>
      </w:r>
    </w:p>
    <w:p>
      <w:pPr>
        <w:pStyle w:val="TextBody"/>
        <w:bidi w:val="0"/>
        <w:spacing w:before="12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Affiliate</w:t>
      </w:r>
      <w:r>
        <w:rPr>
          <w:rFonts w:ascii="Times New Roman" w:hAnsi="Times New Roman"/>
          <w:sz w:val="20"/>
        </w:rPr>
        <w:t xml:space="preserve">” has the meaning ascribed to such term in the 2020 MIP. </w:t>
      </w:r>
    </w:p>
    <w:p>
      <w:pPr>
        <w:pStyle w:val="TextBody"/>
        <w:bidi w:val="0"/>
        <w:spacing w:before="12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Award</w:t>
      </w:r>
      <w:r>
        <w:rPr>
          <w:rFonts w:ascii="Times New Roman" w:hAnsi="Times New Roman"/>
          <w:sz w:val="20"/>
        </w:rPr>
        <w:t xml:space="preserve">” means an award under the Plan pursuant to which a Participant may receive Cash LTIP Payments. Awards under the Plan shall be granted pursuant to an Award Notice. </w:t>
      </w:r>
    </w:p>
    <w:p>
      <w:pPr>
        <w:pStyle w:val="TextBody"/>
        <w:bidi w:val="0"/>
        <w:spacing w:before="12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Award Notice</w:t>
      </w:r>
      <w:r>
        <w:rPr>
          <w:rFonts w:ascii="Times New Roman" w:hAnsi="Times New Roman"/>
          <w:sz w:val="20"/>
        </w:rPr>
        <w:t xml:space="preserve">” means a written Award notice and agreement between the Company and a Participant setting forth the Participant’s Grant Date, LTIP Pool Percentage, and any other terms and conditions of the Award as determined by the Board in its sole discretion, which may include compliance with restrictive covenants. </w:t>
      </w:r>
    </w:p>
    <w:p>
      <w:pPr>
        <w:pStyle w:val="TextBody"/>
        <w:bidi w:val="0"/>
        <w:spacing w:before="12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Capital Return Amount</w:t>
      </w:r>
      <w:r>
        <w:rPr>
          <w:rFonts w:ascii="Times New Roman" w:hAnsi="Times New Roman"/>
          <w:sz w:val="20"/>
        </w:rPr>
        <w:t xml:space="preserve">” means, without duplication, the aggregate amount of all cash proceeds and Marketable Securities received by the Company’s stockholders with respect to or in exchange for their equity or equity-based securities of the Company as a result of a Capital Return Event. The value of Marketable Securities shall be based on the closing price of the Marketable Securities on the principal securities market on which the Marketable Securities are traded on the day the Marketable Securities are received by the stockholders of the Company. The Capital Return Amount shall be determined as of the date of the Capital Return Event and shall not include any changes in value or additional payments received following the date of the Capital Return Event, subject to </w:t>
      </w:r>
      <w:r>
        <w:rPr>
          <w:rFonts w:ascii="Times New Roman" w:hAnsi="Times New Roman"/>
          <w:sz w:val="20"/>
          <w:u w:val="single"/>
        </w:rPr>
        <w:t>Section 3.5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Capital Return Event</w:t>
      </w:r>
      <w:r>
        <w:rPr>
          <w:rFonts w:ascii="Times New Roman" w:hAnsi="Times New Roman"/>
          <w:sz w:val="20"/>
        </w:rPr>
        <w:t xml:space="preserve">” means any of the following events that occurs during the Performance Period that the Board in its sole good faith discretion determines will be treated as a Captial Return Event for purposes of the Plan: (i) distributions to the Company’s stockholders from cash flow, (ii) the consummation of a transaction or series of transactions pursuant to which the Company, directly or indirectly, effects any merger or consolidation of the Company with or into another Person in which the Company is not the surviving Person, (iii) the consummation of a transaction or series of transactions pursuant to which the Company and its subsidiaries, taken as a whole, directly or indirectly, effect any sale of all or substantially all of the assets of the Company and its subsidiaries, taken as a whole, (iv) a secondary offering by the Permitted Holders following an initial public offering of the Company, and (v) any other monetization event in which the stockholders of the Company receive cash or Marketable Securities. For clarity, an initial public offering or de-SPAC transaction of the Company or any of its Affiliates will not be treated as a Capital Return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5.8 “</w:t>
      </w:r>
      <w:r>
        <w:rPr>
          <w:rFonts w:ascii="Times New Roman" w:hAnsi="Times New Roman"/>
          <w:sz w:val="20"/>
          <w:u w:val="single"/>
        </w:rPr>
        <w:t>Cause</w:t>
      </w:r>
      <w:r>
        <w:rPr>
          <w:rFonts w:ascii="Times New Roman" w:hAnsi="Times New Roman"/>
          <w:sz w:val="20"/>
        </w:rPr>
        <w:t xml:space="preserve">” has the meaning ascribed to such term in the 2020 MIP. </w:t>
      </w:r>
    </w:p>
    <w:p>
      <w:pPr>
        <w:pStyle w:val="TextBody"/>
        <w:bidi w:val="0"/>
        <w:spacing w:before="120" w:after="0"/>
        <w:jc w:val="left"/>
        <w:rPr>
          <w:rFonts w:ascii="Times New Roman" w:hAnsi="Times New Roman"/>
          <w:sz w:val="20"/>
        </w:rPr>
      </w:pPr>
      <w:r>
        <w:rPr>
          <w:rFonts w:ascii="Times New Roman" w:hAnsi="Times New Roman"/>
          <w:sz w:val="20"/>
        </w:rPr>
        <w:t>5.9 “</w:t>
      </w:r>
      <w:r>
        <w:rPr>
          <w:rFonts w:ascii="Times New Roman" w:hAnsi="Times New Roman"/>
          <w:sz w:val="20"/>
          <w:u w:val="single"/>
        </w:rPr>
        <w:t>Change of Control</w:t>
      </w:r>
      <w:r>
        <w:rPr>
          <w:rFonts w:ascii="Times New Roman" w:hAnsi="Times New Roman"/>
          <w:sz w:val="20"/>
        </w:rPr>
        <w:t xml:space="preserve">” has the meaning ascribed to such term in the 2020 MIP. </w:t>
      </w:r>
    </w:p>
    <w:p>
      <w:pPr>
        <w:pStyle w:val="TextBody"/>
        <w:bidi w:val="0"/>
        <w:spacing w:before="120" w:after="0"/>
        <w:jc w:val="left"/>
        <w:rPr>
          <w:rFonts w:ascii="Times New Roman" w:hAnsi="Times New Roman"/>
          <w:sz w:val="20"/>
        </w:rPr>
      </w:pPr>
      <w:r>
        <w:rPr>
          <w:rFonts w:ascii="Times New Roman" w:hAnsi="Times New Roman"/>
          <w:sz w:val="20"/>
        </w:rPr>
        <w:t>5.10 “</w:t>
      </w:r>
      <w:r>
        <w:rPr>
          <w:rFonts w:ascii="Times New Roman" w:hAnsi="Times New Roman"/>
          <w:sz w:val="20"/>
          <w:u w:val="single"/>
        </w:rPr>
        <w:t>Code</w:t>
      </w:r>
      <w:r>
        <w:rPr>
          <w:rFonts w:ascii="Times New Roman" w:hAnsi="Times New Roman"/>
          <w:sz w:val="20"/>
        </w:rPr>
        <w:t xml:space="preserve">” means the Internal Revenue Code of 1986, as amended, and the Treasury Regulations and other official guidance promulgated thereunder. </w:t>
      </w:r>
    </w:p>
    <w:p>
      <w:pPr>
        <w:pStyle w:val="TextBody"/>
        <w:bidi w:val="0"/>
        <w:spacing w:before="120" w:after="0"/>
        <w:jc w:val="left"/>
        <w:rPr>
          <w:rFonts w:ascii="Times New Roman" w:hAnsi="Times New Roman"/>
          <w:sz w:val="20"/>
        </w:rPr>
      </w:pPr>
      <w:r>
        <w:rPr>
          <w:rFonts w:ascii="Times New Roman" w:hAnsi="Times New Roman"/>
          <w:sz w:val="20"/>
        </w:rPr>
        <w:t>5.11 “</w:t>
      </w:r>
      <w:r>
        <w:rPr>
          <w:rFonts w:ascii="Times New Roman" w:hAnsi="Times New Roman"/>
          <w:sz w:val="20"/>
          <w:u w:val="single"/>
        </w:rPr>
        <w:t>Company Group</w:t>
      </w:r>
      <w:r>
        <w:rPr>
          <w:rFonts w:ascii="Times New Roman" w:hAnsi="Times New Roman"/>
          <w:sz w:val="20"/>
        </w:rPr>
        <w:t xml:space="preserve">” means, collectively, the Company and its Affiliates. </w:t>
      </w:r>
    </w:p>
    <w:p>
      <w:pPr>
        <w:pStyle w:val="TextBody"/>
        <w:bidi w:val="0"/>
        <w:spacing w:before="120" w:after="0"/>
        <w:jc w:val="left"/>
        <w:rPr>
          <w:rFonts w:ascii="Times New Roman" w:hAnsi="Times New Roman"/>
          <w:sz w:val="20"/>
        </w:rPr>
      </w:pPr>
      <w:r>
        <w:rPr>
          <w:rFonts w:ascii="Times New Roman" w:hAnsi="Times New Roman"/>
          <w:sz w:val="20"/>
        </w:rPr>
        <w:t>5.12 “</w:t>
      </w:r>
      <w:r>
        <w:rPr>
          <w:rFonts w:ascii="Times New Roman" w:hAnsi="Times New Roman"/>
          <w:sz w:val="20"/>
          <w:u w:val="single"/>
        </w:rPr>
        <w:t>Cumulative Capital Return Amount</w:t>
      </w:r>
      <w:r>
        <w:rPr>
          <w:rFonts w:ascii="Times New Roman" w:hAnsi="Times New Roman"/>
          <w:sz w:val="20"/>
        </w:rPr>
        <w:t xml:space="preserve">” means, with respect to a specific Capital Return Event, the Capital Return Amount for that Capital Return Event and all prior Capital Return Events. </w:t>
      </w:r>
    </w:p>
    <w:p>
      <w:pPr>
        <w:pStyle w:val="TextBody"/>
        <w:bidi w:val="0"/>
        <w:spacing w:before="120" w:after="0"/>
        <w:jc w:val="left"/>
        <w:rPr>
          <w:rFonts w:ascii="Times New Roman" w:hAnsi="Times New Roman"/>
          <w:sz w:val="20"/>
        </w:rPr>
      </w:pPr>
      <w:r>
        <w:rPr>
          <w:rFonts w:ascii="Times New Roman" w:hAnsi="Times New Roman"/>
          <w:sz w:val="20"/>
        </w:rPr>
        <w:t>5.13 “</w:t>
      </w:r>
      <w:r>
        <w:rPr>
          <w:rFonts w:ascii="Times New Roman" w:hAnsi="Times New Roman"/>
          <w:sz w:val="20"/>
          <w:u w:val="single"/>
        </w:rPr>
        <w:t>Grant Date</w:t>
      </w:r>
      <w:r>
        <w:rPr>
          <w:rFonts w:ascii="Times New Roman" w:hAnsi="Times New Roman"/>
          <w:sz w:val="20"/>
        </w:rPr>
        <w:t xml:space="preserve">” means the date of grant of an Award to a Participant noted in the Award Notice. </w:t>
      </w:r>
    </w:p>
    <w:p>
      <w:pPr>
        <w:pStyle w:val="TextBody"/>
        <w:bidi w:val="0"/>
        <w:spacing w:before="120" w:after="0"/>
        <w:jc w:val="left"/>
        <w:rPr>
          <w:rFonts w:ascii="Times New Roman" w:hAnsi="Times New Roman"/>
          <w:sz w:val="20"/>
        </w:rPr>
      </w:pPr>
      <w:r>
        <w:rPr>
          <w:rFonts w:ascii="Times New Roman" w:hAnsi="Times New Roman"/>
          <w:sz w:val="20"/>
        </w:rPr>
        <w:t>5.14 “</w:t>
      </w:r>
      <w:r>
        <w:rPr>
          <w:rFonts w:ascii="Times New Roman" w:hAnsi="Times New Roman"/>
          <w:sz w:val="20"/>
          <w:u w:val="single"/>
        </w:rPr>
        <w:t>Incremental Capital Return Amount</w:t>
      </w:r>
      <w:r>
        <w:rPr>
          <w:rFonts w:ascii="Times New Roman" w:hAnsi="Times New Roman"/>
          <w:sz w:val="20"/>
        </w:rPr>
        <w:t xml:space="preserve">” means, with respect to a specific Capital Return Event, the Capital Return Amount for that Capital Return Event. </w:t>
      </w:r>
    </w:p>
    <w:p>
      <w:pPr>
        <w:pStyle w:val="TextBody"/>
        <w:bidi w:val="0"/>
        <w:spacing w:before="120" w:after="0"/>
        <w:jc w:val="left"/>
        <w:rPr>
          <w:rFonts w:ascii="Times New Roman" w:hAnsi="Times New Roman"/>
          <w:sz w:val="20"/>
        </w:rPr>
      </w:pPr>
      <w:r>
        <w:rPr>
          <w:rFonts w:ascii="Times New Roman" w:hAnsi="Times New Roman"/>
          <w:sz w:val="20"/>
        </w:rPr>
        <w:t>5.15 “</w:t>
      </w:r>
      <w:r>
        <w:rPr>
          <w:rFonts w:ascii="Times New Roman" w:hAnsi="Times New Roman"/>
          <w:sz w:val="20"/>
          <w:u w:val="single"/>
        </w:rPr>
        <w:t>Incremental LTIP Pool Amount</w:t>
      </w:r>
      <w:r>
        <w:rPr>
          <w:rFonts w:ascii="Times New Roman" w:hAnsi="Times New Roman"/>
          <w:sz w:val="20"/>
        </w:rPr>
        <w:t xml:space="preserve">” means the amount of cash available to be paid in accordance with </w:t>
      </w:r>
      <w:r>
        <w:rPr>
          <w:rFonts w:ascii="Times New Roman" w:hAnsi="Times New Roman"/>
          <w:sz w:val="20"/>
          <w:u w:val="single"/>
        </w:rPr>
        <w:t>Section 3.1</w:t>
      </w:r>
      <w:r>
        <w:rPr>
          <w:rFonts w:ascii="Times New Roman" w:hAnsi="Times New Roman"/>
          <w:sz w:val="20"/>
        </w:rPr>
        <w:t xml:space="preserve"> after a Capital Return Event, as determined in accordance with </w:t>
      </w:r>
      <w:r>
        <w:rPr>
          <w:rFonts w:ascii="Times New Roman" w:hAnsi="Times New Roman"/>
          <w:sz w:val="20"/>
          <w:u w:val="single"/>
        </w:rPr>
        <w:t>Section 3.2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5.16 “</w:t>
      </w:r>
      <w:r>
        <w:rPr>
          <w:rFonts w:ascii="Times New Roman" w:hAnsi="Times New Roman"/>
          <w:sz w:val="20"/>
          <w:u w:val="single"/>
        </w:rPr>
        <w:t>LTIP Pool Percentage</w:t>
      </w:r>
      <w:r>
        <w:rPr>
          <w:rFonts w:ascii="Times New Roman" w:hAnsi="Times New Roman"/>
          <w:sz w:val="20"/>
        </w:rPr>
        <w:t xml:space="preserve">” means the percentage of the Incremental LTIP Pool Amount that a Participant is eligible to receive in connection with each Capital Return Event, subject to the terms of the Plan, as set forth in the Participant’s Award Notice. </w:t>
      </w:r>
    </w:p>
    <w:p>
      <w:pPr>
        <w:pStyle w:val="TextBody"/>
        <w:bidi w:val="0"/>
        <w:spacing w:before="120" w:after="0"/>
        <w:jc w:val="left"/>
        <w:rPr>
          <w:rFonts w:ascii="Times New Roman" w:hAnsi="Times New Roman"/>
          <w:sz w:val="20"/>
        </w:rPr>
      </w:pPr>
      <w:r>
        <w:rPr>
          <w:rFonts w:ascii="Times New Roman" w:hAnsi="Times New Roman"/>
          <w:sz w:val="20"/>
        </w:rPr>
        <w:t>5.17 “</w:t>
      </w:r>
      <w:r>
        <w:rPr>
          <w:rFonts w:ascii="Times New Roman" w:hAnsi="Times New Roman"/>
          <w:sz w:val="20"/>
          <w:u w:val="single"/>
        </w:rPr>
        <w:t>Marketable Securities</w:t>
      </w:r>
      <w:r>
        <w:rPr>
          <w:rFonts w:ascii="Times New Roman" w:hAnsi="Times New Roman"/>
          <w:sz w:val="20"/>
        </w:rPr>
        <w:t xml:space="preserve">” means securities that (i) are of a class of securities listed on a major national or international stock exchange and (ii) are or were issued to the holder thereof in a transaction registered under the Securities Act or the resale of which by the holder thereof is registered under the Securities Act and are otherwise freely tradable by the holder thereof without restriction under applicable law, contract, or otherwise. Marketable Securities shall not include equity securities of the Company or any of its Affiliates, including upon or following an initial public offering or de-SPAC transaction involving the Company or any of its Affiliates. </w:t>
      </w:r>
    </w:p>
    <w:p>
      <w:pPr>
        <w:pStyle w:val="TextBody"/>
        <w:bidi w:val="0"/>
        <w:spacing w:before="120" w:after="0"/>
        <w:jc w:val="left"/>
        <w:rPr>
          <w:rFonts w:ascii="Times New Roman" w:hAnsi="Times New Roman"/>
          <w:sz w:val="20"/>
        </w:rPr>
      </w:pPr>
      <w:r>
        <w:rPr>
          <w:rFonts w:ascii="Times New Roman" w:hAnsi="Times New Roman"/>
          <w:sz w:val="20"/>
        </w:rPr>
        <w:t>5.18 “</w:t>
      </w:r>
      <w:r>
        <w:rPr>
          <w:rFonts w:ascii="Times New Roman" w:hAnsi="Times New Roman"/>
          <w:sz w:val="20"/>
          <w:u w:val="single"/>
        </w:rPr>
        <w:t>Participant</w:t>
      </w:r>
      <w:r>
        <w:rPr>
          <w:rFonts w:ascii="Times New Roman" w:hAnsi="Times New Roman"/>
          <w:sz w:val="20"/>
        </w:rPr>
        <w:t xml:space="preserve">” means any employee or other service provider of the Company Group who is selected to participate in, and is granted an Award under, the Plan in accordance with </w:t>
      </w:r>
      <w:r>
        <w:rPr>
          <w:rFonts w:ascii="Times New Roman" w:hAnsi="Times New Roman"/>
          <w:sz w:val="20"/>
          <w:u w:val="single"/>
        </w:rPr>
        <w:t>Article II</w:t>
      </w:r>
      <w:r>
        <w:rPr>
          <w:rFonts w:ascii="Times New Roman" w:hAnsi="Times New Roman"/>
          <w:sz w:val="20"/>
        </w:rPr>
        <w:t xml:space="preserve"> of the Plan. </w:t>
      </w:r>
    </w:p>
    <w:p>
      <w:pPr>
        <w:pStyle w:val="TextBody"/>
        <w:bidi w:val="0"/>
        <w:spacing w:before="120" w:after="0"/>
        <w:jc w:val="left"/>
        <w:rPr>
          <w:rFonts w:ascii="Times New Roman" w:hAnsi="Times New Roman"/>
          <w:sz w:val="20"/>
        </w:rPr>
      </w:pPr>
      <w:r>
        <w:rPr>
          <w:rFonts w:ascii="Times New Roman" w:hAnsi="Times New Roman"/>
          <w:sz w:val="20"/>
        </w:rPr>
        <w:t>5.19 “</w:t>
      </w:r>
      <w:r>
        <w:rPr>
          <w:rFonts w:ascii="Times New Roman" w:hAnsi="Times New Roman"/>
          <w:sz w:val="20"/>
          <w:u w:val="single"/>
        </w:rPr>
        <w:t>Performance Period</w:t>
      </w:r>
      <w:r>
        <w:rPr>
          <w:rFonts w:ascii="Times New Roman" w:hAnsi="Times New Roman"/>
          <w:sz w:val="20"/>
        </w:rPr>
        <w:t xml:space="preserve">” means the period commencing on February 15, 2025, and ending on the earlier of (a) February 14, 2027 and (b) a Change of Control. </w:t>
      </w:r>
    </w:p>
    <w:p>
      <w:pPr>
        <w:pStyle w:val="TextBody"/>
        <w:bidi w:val="0"/>
        <w:spacing w:before="120" w:after="0"/>
        <w:jc w:val="left"/>
        <w:rPr>
          <w:rFonts w:ascii="Times New Roman" w:hAnsi="Times New Roman"/>
          <w:sz w:val="20"/>
        </w:rPr>
      </w:pPr>
      <w:r>
        <w:rPr>
          <w:rFonts w:ascii="Times New Roman" w:hAnsi="Times New Roman"/>
          <w:sz w:val="20"/>
        </w:rPr>
        <w:t>5.20 “</w:t>
      </w:r>
      <w:r>
        <w:rPr>
          <w:rFonts w:ascii="Times New Roman" w:hAnsi="Times New Roman"/>
          <w:sz w:val="20"/>
          <w:u w:val="single"/>
        </w:rPr>
        <w:t>Permitted Holder</w:t>
      </w:r>
      <w:r>
        <w:rPr>
          <w:rFonts w:ascii="Times New Roman" w:hAnsi="Times New Roman"/>
          <w:sz w:val="20"/>
        </w:rPr>
        <w:t xml:space="preserve">” has the meaning ascribed to such term in the 2020 MIP. </w:t>
      </w:r>
    </w:p>
    <w:p>
      <w:pPr>
        <w:pStyle w:val="TextBody"/>
        <w:bidi w:val="0"/>
        <w:spacing w:before="120" w:after="0"/>
        <w:jc w:val="left"/>
        <w:rPr>
          <w:rFonts w:ascii="Times New Roman" w:hAnsi="Times New Roman"/>
          <w:sz w:val="20"/>
        </w:rPr>
      </w:pPr>
      <w:r>
        <w:rPr>
          <w:rFonts w:ascii="Times New Roman" w:hAnsi="Times New Roman"/>
          <w:sz w:val="20"/>
        </w:rPr>
        <w:t>5.21 “</w:t>
      </w:r>
      <w:r>
        <w:rPr>
          <w:rFonts w:ascii="Times New Roman" w:hAnsi="Times New Roman"/>
          <w:sz w:val="20"/>
          <w:u w:val="single"/>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or a governmental entity or any department, agency, or political subdivision thereof, or any other entity or organization. </w:t>
      </w:r>
    </w:p>
    <w:p>
      <w:pPr>
        <w:pStyle w:val="TextBody"/>
        <w:bidi w:val="0"/>
        <w:spacing w:before="120" w:after="0"/>
        <w:jc w:val="left"/>
        <w:rPr>
          <w:rFonts w:ascii="Times New Roman" w:hAnsi="Times New Roman"/>
          <w:sz w:val="20"/>
        </w:rPr>
      </w:pPr>
      <w:r>
        <w:rPr>
          <w:rFonts w:ascii="Times New Roman" w:hAnsi="Times New Roman"/>
          <w:sz w:val="20"/>
        </w:rPr>
        <w:t>5.22 “</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center"/>
        <w:rPr>
          <w:rFonts w:ascii="Times New Roman" w:hAnsi="Times New Roman"/>
          <w:sz w:val="20"/>
        </w:rPr>
      </w:pPr>
      <w:r>
        <w:rPr>
          <w:rFonts w:ascii="Times New Roman" w:hAnsi="Times New Roman"/>
          <w:sz w:val="20"/>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42" w:name="d65571dex1024.htm"/>
      <w:bookmarkStart w:id="43" w:name="ksd65571dex1024"/>
      <w:bookmarkEnd w:id="42"/>
      <w:bookmarkEnd w:id="43"/>
      <w:r>
        <w:rPr>
          <w:rFonts w:ascii="Times New Roman" w:hAnsi="Times New Roman"/>
          <w:b/>
          <w:sz w:val="20"/>
        </w:rPr>
        <w:t xml:space="preserve">Exhibit 10.24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FIRST AMENDMENT TO CREDIT AGREEMENT </w:t>
      </w:r>
    </w:p>
    <w:p>
      <w:pPr>
        <w:pStyle w:val="TextBody"/>
        <w:bidi w:val="0"/>
        <w:spacing w:before="240" w:after="0"/>
        <w:jc w:val="left"/>
        <w:rPr>
          <w:rFonts w:ascii="Times New Roman" w:hAnsi="Times New Roman"/>
          <w:sz w:val="20"/>
        </w:rPr>
      </w:pPr>
      <w:r>
        <w:rPr>
          <w:rFonts w:ascii="Times New Roman" w:hAnsi="Times New Roman"/>
          <w:sz w:val="20"/>
        </w:rPr>
        <w:t>This FIRST AMENDMENT TO CREDIT AGREEMENT (this “</w:t>
      </w:r>
      <w:r>
        <w:rPr>
          <w:rFonts w:ascii="Times New Roman" w:hAnsi="Times New Roman"/>
          <w:sz w:val="20"/>
          <w:u w:val="single"/>
        </w:rPr>
        <w:t>Amendment</w:t>
      </w:r>
      <w:r>
        <w:rPr>
          <w:rFonts w:ascii="Times New Roman" w:hAnsi="Times New Roman"/>
          <w:sz w:val="20"/>
        </w:rPr>
        <w:t>”), dated as of December 27, 2024, is entered into by and among (i) Hornbeck Offshore Services, Inc., a Delaware corporation, as borrower (the “</w:t>
      </w:r>
      <w:r>
        <w:rPr>
          <w:rFonts w:ascii="Times New Roman" w:hAnsi="Times New Roman"/>
          <w:sz w:val="20"/>
          <w:u w:val="single"/>
        </w:rPr>
        <w:t>Borrower</w:t>
      </w:r>
      <w:r>
        <w:rPr>
          <w:rFonts w:ascii="Times New Roman" w:hAnsi="Times New Roman"/>
          <w:sz w:val="20"/>
        </w:rPr>
        <w:t>”), (ii) the Lenders constituting Required Lenders under Section 11.01 of the Existing Credit Agreement (as defined below) (such Lenders, the “</w:t>
      </w:r>
      <w:r>
        <w:rPr>
          <w:rFonts w:ascii="Times New Roman" w:hAnsi="Times New Roman"/>
          <w:sz w:val="20"/>
          <w:u w:val="single"/>
        </w:rPr>
        <w:t>Consenting Lenders</w:t>
      </w:r>
      <w:r>
        <w:rPr>
          <w:rFonts w:ascii="Times New Roman" w:hAnsi="Times New Roman"/>
          <w:sz w:val="20"/>
        </w:rPr>
        <w:t>”), (iii) Wilmington Trust, National Association (“</w:t>
      </w:r>
      <w:r>
        <w:rPr>
          <w:rFonts w:ascii="Times New Roman" w:hAnsi="Times New Roman"/>
          <w:sz w:val="20"/>
          <w:u w:val="single"/>
        </w:rPr>
        <w:t>WT</w:t>
      </w:r>
      <w:r>
        <w:rPr>
          <w:rFonts w:ascii="Times New Roman" w:hAnsi="Times New Roman"/>
          <w:sz w:val="20"/>
        </w:rPr>
        <w:t>”), as Collateral Agent (in such capacity, the “</w:t>
      </w:r>
      <w:r>
        <w:rPr>
          <w:rFonts w:ascii="Times New Roman" w:hAnsi="Times New Roman"/>
          <w:sz w:val="20"/>
          <w:u w:val="single"/>
        </w:rPr>
        <w:t>Collateral Agent</w:t>
      </w:r>
      <w:r>
        <w:rPr>
          <w:rFonts w:ascii="Times New Roman" w:hAnsi="Times New Roman"/>
          <w:sz w:val="20"/>
        </w:rPr>
        <w:t>”) under the Existing Credit Agreement and as Collateral Trustee (in such capacity, the “</w:t>
      </w:r>
      <w:r>
        <w:rPr>
          <w:rFonts w:ascii="Times New Roman" w:hAnsi="Times New Roman"/>
          <w:sz w:val="20"/>
          <w:u w:val="single"/>
        </w:rPr>
        <w:t>Collateral Trustee</w:t>
      </w:r>
      <w:r>
        <w:rPr>
          <w:rFonts w:ascii="Times New Roman" w:hAnsi="Times New Roman"/>
          <w:sz w:val="20"/>
        </w:rPr>
        <w:t>”) under the Credit Agreement and the First Amendment Collateral Trust Agreement (in each case, as defined below), and (iv) DNB Bank ASA, New York Branch (“</w:t>
      </w:r>
      <w:r>
        <w:rPr>
          <w:rFonts w:ascii="Times New Roman" w:hAnsi="Times New Roman"/>
          <w:sz w:val="20"/>
          <w:u w:val="single"/>
        </w:rPr>
        <w:t>DNB</w:t>
      </w:r>
      <w:r>
        <w:rPr>
          <w:rFonts w:ascii="Times New Roman" w:hAnsi="Times New Roman"/>
          <w:sz w:val="20"/>
        </w:rPr>
        <w:t>”), as administrative agent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Borrower, the Lenders, the Collateral Agent and the Administrative Agent are each party to that certain Credit Agreement, dated as of August 13, 2024 (as amended, restated, amended and restated, supplemented or otherwise modified and in effect immediately prior to the First Amendment Effective Date (as defined below), the “</w:t>
      </w:r>
      <w:r>
        <w:rPr>
          <w:rFonts w:ascii="Times New Roman" w:hAnsi="Times New Roman"/>
          <w:sz w:val="20"/>
          <w:u w:val="single"/>
        </w:rPr>
        <w:t>Existing Credit Agreement</w:t>
      </w:r>
      <w:r>
        <w:rPr>
          <w:rFonts w:ascii="Times New Roman" w:hAnsi="Times New Roman"/>
          <w:sz w:val="20"/>
        </w:rPr>
        <w:t>” and, the Existing Credit Agreement as modified by this Amendment,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Borrower has notified the Lenders that it intends to enter into, in accordance with the provisions of the Credit Agreement, a Second Lien Term Loan Credit Agreement, dated as of the date hereof (as amended, restated, amended and restated, supplemented or otherwise modified from time to time, the “</w:t>
      </w:r>
      <w:r>
        <w:rPr>
          <w:rFonts w:ascii="Times New Roman" w:hAnsi="Times New Roman"/>
          <w:sz w:val="20"/>
          <w:u w:val="single"/>
        </w:rPr>
        <w:t>Stonebriar Credit Agreement</w:t>
      </w:r>
      <w:r>
        <w:rPr>
          <w:rFonts w:ascii="Times New Roman" w:hAnsi="Times New Roman"/>
          <w:sz w:val="20"/>
        </w:rPr>
        <w:t>”), among the Borrower as borrower, Stonebriar Commercial Finance LLC, as administrative agent (the “</w:t>
      </w:r>
      <w:r>
        <w:rPr>
          <w:rFonts w:ascii="Times New Roman" w:hAnsi="Times New Roman"/>
          <w:sz w:val="20"/>
          <w:u w:val="single"/>
        </w:rPr>
        <w:t>Junior Lien Administrative Agent</w:t>
      </w:r>
      <w:r>
        <w:rPr>
          <w:rFonts w:ascii="Times New Roman" w:hAnsi="Times New Roman"/>
          <w:sz w:val="20"/>
        </w:rPr>
        <w:t>”), the Collateral Trustee, and the lenders and financial institutions from time to time party thereto (the “</w:t>
      </w:r>
      <w:r>
        <w:rPr>
          <w:rFonts w:ascii="Times New Roman" w:hAnsi="Times New Roman"/>
          <w:sz w:val="20"/>
          <w:u w:val="single"/>
        </w:rPr>
        <w:t>Junior Lien Lenders</w:t>
      </w:r>
      <w:r>
        <w:rPr>
          <w:rFonts w:ascii="Times New Roman" w:hAnsi="Times New Roman"/>
          <w:sz w:val="20"/>
        </w:rPr>
        <w:t xml:space="preserve">”), pursuant to which the Junior Lien Lenders shall agree to make certain term loans and provide certain other financial accommodations constituting, in each case, Second Lien Credit Agreement Refinancing Indebtedness, to the Borrower on the terms and conditions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Stonebriar Credit Agreement, the Borrower has requested that the Administrative Agent and the Collateral Trustee enter into (a) a Collateral Trust Agreement pursuant to which WT shall be named as Collateral Trustee by the Junior Lien Administrative Agent and the Administrative Agent, (b) a Junior Lien Intercreditor Agreement in connection with the Second Lien Credit Agreement Refinancing Indebtedness arising under the Stonebriar Credit Agreement and (c) certain other amendments to the Loan Documents to effectuate the Collateral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in furtherance of the foregoing, the parties hereto have agreed to, among other things, amend certain provisions of the Existing Credit Agreement, in each case as of the First Amendment Effective Date,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accordance with </w:t>
      </w:r>
      <w:r>
        <w:rPr>
          <w:rFonts w:ascii="Times New Roman" w:hAnsi="Times New Roman"/>
          <w:sz w:val="20"/>
          <w:u w:val="single"/>
        </w:rPr>
        <w:t>Section 11.01</w:t>
      </w:r>
      <w:r>
        <w:rPr>
          <w:rFonts w:ascii="Times New Roman" w:hAnsi="Times New Roman"/>
          <w:sz w:val="20"/>
        </w:rPr>
        <w:t xml:space="preserve"> of the Existing Credit Agreement and in consideration of the mutual agreements herein contained and other good and valuable consideration, the sufficiency and receipt of which are hereby acknowledged, the parties hereto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 Interpretive Provisions</w:t>
      </w:r>
      <w:r>
        <w:rPr>
          <w:rFonts w:ascii="Times New Roman" w:hAnsi="Times New Roman"/>
          <w:sz w:val="20"/>
        </w:rPr>
        <w:t xml:space="preserve">. Unless otherwise indicated, any capitalized term used in this Amendment shall have the meaning ascribed to such term in the Credit Agreement. The rules of construction and other interpretive provisions specified in </w:t>
      </w:r>
      <w:r>
        <w:rPr>
          <w:rFonts w:ascii="Times New Roman" w:hAnsi="Times New Roman"/>
          <w:sz w:val="20"/>
          <w:u w:val="single"/>
        </w:rPr>
        <w:t>Section 1.02</w:t>
      </w:r>
      <w:r>
        <w:rPr>
          <w:rFonts w:ascii="Times New Roman" w:hAnsi="Times New Roman"/>
          <w:sz w:val="20"/>
        </w:rPr>
        <w:t xml:space="preserve"> and </w:t>
      </w:r>
      <w:r>
        <w:rPr>
          <w:rFonts w:ascii="Times New Roman" w:hAnsi="Times New Roman"/>
          <w:sz w:val="20"/>
          <w:u w:val="single"/>
        </w:rPr>
        <w:t>Section 1.05</w:t>
      </w:r>
      <w:r>
        <w:rPr>
          <w:rFonts w:ascii="Times New Roman" w:hAnsi="Times New Roman"/>
          <w:sz w:val="20"/>
        </w:rPr>
        <w:t xml:space="preserve"> of the Credit Agreement shall apply to this Amendment, including terms defined in the preamble and recitals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Amendments</w:t>
      </w:r>
      <w:r>
        <w:rPr>
          <w:rFonts w:ascii="Times New Roman" w:hAnsi="Times New Roman"/>
          <w:sz w:val="20"/>
        </w:rPr>
        <w:t xml:space="preserve">. Subject to the satisfaction of the conditions precedent set forth in </w:t>
      </w:r>
      <w:r>
        <w:rPr>
          <w:rFonts w:ascii="Times New Roman" w:hAnsi="Times New Roman"/>
          <w:sz w:val="20"/>
          <w:u w:val="single"/>
        </w:rPr>
        <w:t>Section 3</w:t>
      </w:r>
      <w:r>
        <w:rPr>
          <w:rFonts w:ascii="Times New Roman" w:hAnsi="Times New Roman"/>
          <w:sz w:val="20"/>
        </w:rPr>
        <w:t xml:space="preserve"> of this Amendment, effective as of the First Amendment Effective Date (as defined below), the Existing Credit Agreement is hereby amended to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double-underlined text (indicated textually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as set forth in the pages of the Existing Credit Agreement attached as </w:t>
      </w:r>
      <w:r>
        <w:rPr>
          <w:rFonts w:ascii="Times New Roman" w:hAnsi="Times New Roman"/>
          <w:sz w:val="20"/>
          <w:u w:val="single"/>
        </w:rPr>
        <w:t>Exhibit A</w:t>
      </w:r>
      <w:r>
        <w:rPr>
          <w:rFonts w:ascii="Times New Roman" w:hAnsi="Times New Roman"/>
          <w:sz w:val="20"/>
        </w:rPr>
        <w:t xml:space="preserve"> hereto. For the avoidance of doubt, the Exhibits and Schedules to the Existing Credit Agreement not specifically amended hereby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Conditions Precedent</w:t>
      </w:r>
      <w:r>
        <w:rPr>
          <w:rFonts w:ascii="Times New Roman" w:hAnsi="Times New Roman"/>
          <w:sz w:val="20"/>
        </w:rPr>
        <w:t>. This Amendment shall become effective upon the satisfaction of the following conditions precedent (such date of satisfaction, the “</w:t>
      </w:r>
      <w:r>
        <w:rPr>
          <w:rFonts w:ascii="Times New Roman" w:hAnsi="Times New Roman"/>
          <w:sz w:val="20"/>
          <w:u w:val="single"/>
        </w:rPr>
        <w:t>First Amendment Effective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(i) Counterparts of this Amendment executed by the Borrower, the Administrative Agent, each of the Consenting Lenders, the Collateral Agent and the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(ii) Duly executed copies of (a) the Stonebriar Credit Agreement, (b) the First Amendment Collateral Trust Agreement, in the form attached hereto as </w:t>
      </w:r>
      <w:r>
        <w:rPr>
          <w:rFonts w:ascii="Times New Roman" w:hAnsi="Times New Roman"/>
          <w:sz w:val="20"/>
          <w:u w:val="single"/>
        </w:rPr>
        <w:t>Exhibit B</w:t>
      </w:r>
      <w:r>
        <w:rPr>
          <w:rFonts w:ascii="Times New Roman" w:hAnsi="Times New Roman"/>
          <w:sz w:val="20"/>
        </w:rPr>
        <w:t xml:space="preserve">, (c) the First Amendment Collateral Agreement, in the form attached hereto as </w:t>
      </w:r>
      <w:r>
        <w:rPr>
          <w:rFonts w:ascii="Times New Roman" w:hAnsi="Times New Roman"/>
          <w:sz w:val="20"/>
          <w:u w:val="single"/>
        </w:rPr>
        <w:t>Exhibit C</w:t>
      </w:r>
      <w:r>
        <w:rPr>
          <w:rFonts w:ascii="Times New Roman" w:hAnsi="Times New Roman"/>
          <w:sz w:val="20"/>
        </w:rPr>
        <w:t xml:space="preserve">, (d) the First Amendment Junior Lien Intercreditor Agreement, in the form attached hereto as </w:t>
      </w:r>
      <w:r>
        <w:rPr>
          <w:rFonts w:ascii="Times New Roman" w:hAnsi="Times New Roman"/>
          <w:sz w:val="20"/>
          <w:u w:val="single"/>
        </w:rPr>
        <w:t>Exhibit D</w:t>
      </w:r>
      <w:r>
        <w:rPr>
          <w:rFonts w:ascii="Times New Roman" w:hAnsi="Times New Roman"/>
          <w:sz w:val="20"/>
        </w:rPr>
        <w:t xml:space="preserve"> and (e) the First Amendment A&amp;R Vessel Mortgages, in substantially the form attached hereto as </w:t>
      </w:r>
      <w:r>
        <w:rPr>
          <w:rFonts w:ascii="Times New Roman" w:hAnsi="Times New Roman"/>
          <w:sz w:val="20"/>
          <w:u w:val="single"/>
        </w:rPr>
        <w:t>Exhibit E</w:t>
      </w:r>
      <w:r>
        <w:rPr>
          <w:rFonts w:ascii="Times New Roman" w:hAnsi="Times New Roman"/>
          <w:sz w:val="20"/>
        </w:rPr>
        <w:t xml:space="preserve"> (collectively, the “</w:t>
      </w:r>
      <w:r>
        <w:rPr>
          <w:rFonts w:ascii="Times New Roman" w:hAnsi="Times New Roman"/>
          <w:sz w:val="20"/>
          <w:u w:val="single"/>
        </w:rPr>
        <w:t>First Amendment Loan Documents</w:t>
      </w:r>
      <w:r>
        <w:rPr>
          <w:rFonts w:ascii="Times New Roman" w:hAnsi="Times New Roman"/>
          <w:sz w:val="20"/>
        </w:rPr>
        <w:t xml:space="preserve">”), together with evidence that such First Amendment A&amp;R Vessel Mortgages have been submitted for filing with the U.S. Coast Guard National Vessel Documentation Center. </w:t>
      </w:r>
    </w:p>
    <w:p>
      <w:pPr>
        <w:pStyle w:val="TextBody"/>
        <w:bidi w:val="0"/>
        <w:spacing w:before="120" w:after="0"/>
        <w:jc w:val="left"/>
        <w:rPr>
          <w:rFonts w:ascii="Times New Roman" w:hAnsi="Times New Roman"/>
          <w:sz w:val="20"/>
        </w:rPr>
      </w:pPr>
      <w:r>
        <w:rPr>
          <w:rFonts w:ascii="Times New Roman" w:hAnsi="Times New Roman"/>
          <w:sz w:val="20"/>
        </w:rPr>
        <w:t xml:space="preserve">(iii) (A) Certificates of good standing from the secretary of state or other applicable office of the state of organization or formation or provincial or territorial corporate registry of the Borrower and each other Loan Party, (B) organizational documents of each Loan Party, certified by the secretary (or equivalent officer) of such Loan Party (or, if delivered previously to the Administrative Agent, a certification that such documents have not been amended, modified or revoked since such delivery and that they remain in full force and effect on the First Amendment Effective Date), (C) resolutions or other applicable action of each Loan Party, as certified by the secretary (or equivalent officer) of such Loan Party (or, if delivered previously to the Administrative Agent, a certification that such resolutions have not been amended, modified or revoked since such delivery and that they remain in full force and effect on the First Amendment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 incumbency certificate and/or other certificate of Responsible Officers of each Loan Party, in each case evidencing the identity, authority and capacity of each Responsible Officer thereof authorized to act as a Responsible Officer in connection with this Amendment and the other First Amendment Loan Documents to which it is a party or is to be a party on the First Amendment Effective Date, and (E) a certificate of a Responsible Officer of the Borrower that the conditions specified in paragraphs (b) and (c), below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(iv) Legal opinions of (a) Kirkland &amp; Ellis LLP, counsel to the Loan Parties, with respect to matters of New York law and certain aspects of Delaware law, and (b) Jones Walker LLP, maritime counsel to the Loan Parties, with respect to matters of U.S. maritime law, in each case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 Evidence that UCC-3 financing statement amendments naming the Collateral Trustee as secured party, relating to the Liens granted under the First Amendment Collateral Agreement, have been submitted for filing in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(b) On the First Amendment Effective Date, the representations and warranties of the Borrower contained in </w:t>
      </w:r>
      <w:r>
        <w:rPr>
          <w:rFonts w:ascii="Times New Roman" w:hAnsi="Times New Roman"/>
          <w:sz w:val="20"/>
          <w:u w:val="single"/>
        </w:rPr>
        <w:t>Section 4</w:t>
      </w:r>
      <w:r>
        <w:rPr>
          <w:rFonts w:ascii="Times New Roman" w:hAnsi="Times New Roman"/>
          <w:sz w:val="20"/>
        </w:rPr>
        <w:t xml:space="preserve"> hereof are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(c) On the First Amendment Effective Date, immediately after giving effect to the Amendment,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Representations and Warranties</w:t>
      </w:r>
      <w:r>
        <w:rPr>
          <w:rFonts w:ascii="Times New Roman" w:hAnsi="Times New Roman"/>
          <w:sz w:val="20"/>
        </w:rPr>
        <w:t xml:space="preserve">. The Borrower hereby represents and warrants to the Administrative Agent and the Consenting Lenders that each of the representations and warranties contained in the Loan Documents shall be true and correct in all material respects as of the date hereof (unless stated to relate to a specific earlier date, in which case such representations and warranties shall have been true and correct in all material respects as of such earlier date); </w:t>
      </w:r>
      <w:r>
        <w:rPr>
          <w:rFonts w:ascii="Times New Roman" w:hAnsi="Times New Roman"/>
          <w:sz w:val="20"/>
          <w:u w:val="single"/>
        </w:rPr>
        <w:t>provided</w:t>
      </w:r>
      <w:r>
        <w:rPr>
          <w:rFonts w:ascii="Times New Roman" w:hAnsi="Times New Roman"/>
          <w:sz w:val="20"/>
        </w:rPr>
        <w:t xml:space="preserve"> that, notwithstanding the foregoing, each representation and warranty qualified by a Material Adverse Effect or materiality (or similar) standard shall be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Consent to First Amendment Loan Documents</w:t>
      </w:r>
      <w:r>
        <w:rPr>
          <w:rFonts w:ascii="Times New Roman" w:hAnsi="Times New Roman"/>
          <w:sz w:val="20"/>
        </w:rPr>
        <w:t xml:space="preserve">. Each of the Consenting Lenders consents to and approves, and instructs the Collateral Agent and the Administrative Agent, as applicable, to execute and deliver, each First Amendment Loan Document to which it is (or shall be) a party.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References.</w:t>
      </w:r>
      <w:r>
        <w:rPr>
          <w:rFonts w:ascii="Times New Roman" w:hAnsi="Times New Roman"/>
          <w:sz w:val="20"/>
        </w:rPr>
        <w:t xml:space="preserve"> Upon effectiveness of this Amendment, references in the Existing Credit Agreement to “this Agreement” (and indirect references such as “hereunder”, “hereby”, “herein” and “hereof”) and in each other Loan Document to the Existing Credit Agreement (however described, including as “the Credit Agreement”), shall be deemed to be references to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Modification.</w:t>
      </w:r>
      <w:r>
        <w:rPr>
          <w:rFonts w:ascii="Times New Roman" w:hAnsi="Times New Roman"/>
          <w:sz w:val="20"/>
        </w:rPr>
        <w:t xml:space="preserve"> This Amendment shall constitute a Loan Document for purposes of the Credit Agreement and the other Loan Documents, and except as specifically modified by this Amendment and the First Amendment Loan Documents, the Credit Agreement and the other Loan Documents shall remain unchanged and shall remain in full force and effect and are hereby ratified and confirmed. Except as expressly set forth herein, (i) this Amendment shall not by implication or otherwise limit, impair, constitute a waiver of or otherwise affect the rights and remedies of the Consenting Lenders, the Administrative Agent or any other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w:t>
      </w:r>
      <w:r>
        <w:rPr>
          <w:rFonts w:ascii="Times New Roman" w:hAnsi="Times New Roman"/>
          <w:sz w:val="20"/>
        </w:rPr>
        <w:t xml:space="preserve">. THIS AMENDMENT AND THE RIGHTS AND OBLIGATIONS OF THE PARTIES HEREUNDER (INCLUDING ANY CLAIMS SOUNDING IN CONTRACT LAW OR TORT LAW ARISING OUT OF THE SUBJECT MATTER HEREOF AND ANY DETERMINATIONS WITH RESPECT TO POST-JUDGMENT INTEREST) SHALL BE GOVERNED BY, AND SHALL BE CONSTRUED AND ENFORCED IN ACCORDANCE WITH,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Counterparts</w:t>
      </w:r>
      <w:r>
        <w:rPr>
          <w:rFonts w:ascii="Times New Roman" w:hAnsi="Times New Roman"/>
          <w:sz w:val="20"/>
        </w:rPr>
        <w:t xml:space="preserve">. This Amendment may be executed in counterparts (and by different parties hereto on different counterparts), each of which shall constitute an original, but all of which when taken together shall constitute a single contract, in accordance with </w:t>
      </w:r>
      <w:r>
        <w:rPr>
          <w:rFonts w:ascii="Times New Roman" w:hAnsi="Times New Roman"/>
          <w:sz w:val="20"/>
          <w:u w:val="single"/>
        </w:rPr>
        <w:t>Section 11.12</w:t>
      </w:r>
      <w:r>
        <w:rPr>
          <w:rFonts w:ascii="Times New Roman" w:hAnsi="Times New Roman"/>
          <w:sz w:val="20"/>
        </w:rPr>
        <w:t xml:space="preserve"> of the Credit Agreement.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of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Costs and Expenses</w:t>
      </w:r>
      <w:r>
        <w:rPr>
          <w:rFonts w:ascii="Times New Roman" w:hAnsi="Times New Roman"/>
          <w:sz w:val="20"/>
        </w:rPr>
        <w:t xml:space="preserve">. The Borrower agrees to reimburse the Administrative Agent for its reasonable and documented out of pocket expenses in connection with this Amendment and the transactions contemplated hereby, including the reasonable fees, charges and disbursements of Seward &amp; Kissel LLP, counsel for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Novation</w:t>
      </w:r>
      <w:r>
        <w:rPr>
          <w:rFonts w:ascii="Times New Roman" w:hAnsi="Times New Roman"/>
          <w:sz w:val="20"/>
        </w:rPr>
        <w:t xml:space="preserve">. Neither the execution and delivery of this Amendment nor the consummation of any other transaction contemplated hereunder is intended to constitute a novation of the Existing Credit Agreement or of any of the other Loan Documents or any obligations thereunder, except to the extent modified hereby.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 xml:space="preserve">Incorporation of Existing Credit Agreement Miscellaneous Provisions. </w:t>
      </w:r>
      <w:r>
        <w:rPr>
          <w:rFonts w:ascii="Times New Roman" w:hAnsi="Times New Roman"/>
          <w:sz w:val="20"/>
        </w:rPr>
        <w:t xml:space="preserve">Each of the provisions provided in the following sections of the Existing Credit Agreement is hereby incorporated herein by this reference with the same effect as though set forth in its entirety herein, mutatis mutandis, and as if references to “this Agreement” in any such provision read “this Amendment”: </w:t>
      </w:r>
      <w:r>
        <w:rPr>
          <w:rFonts w:ascii="Times New Roman" w:hAnsi="Times New Roman"/>
          <w:sz w:val="20"/>
          <w:u w:val="single"/>
        </w:rPr>
        <w:t>Section 11.01</w:t>
      </w:r>
      <w:r>
        <w:rPr>
          <w:rFonts w:ascii="Times New Roman" w:hAnsi="Times New Roman"/>
          <w:sz w:val="20"/>
        </w:rPr>
        <w:t xml:space="preserve"> (Amendments, Waivers, Etc.); </w:t>
      </w:r>
      <w:r>
        <w:rPr>
          <w:rFonts w:ascii="Times New Roman" w:hAnsi="Times New Roman"/>
          <w:sz w:val="20"/>
          <w:u w:val="single"/>
        </w:rPr>
        <w:t>Section 11.02</w:t>
      </w:r>
      <w:r>
        <w:rPr>
          <w:rFonts w:ascii="Times New Roman" w:hAnsi="Times New Roman"/>
          <w:sz w:val="20"/>
        </w:rPr>
        <w:t xml:space="preserve"> (Notices and Other Communications; Facsimile Copies); </w:t>
      </w:r>
      <w:r>
        <w:rPr>
          <w:rFonts w:ascii="Times New Roman" w:hAnsi="Times New Roman"/>
          <w:sz w:val="20"/>
          <w:u w:val="single"/>
        </w:rPr>
        <w:t>Section 11.14</w:t>
      </w:r>
      <w:r>
        <w:rPr>
          <w:rFonts w:ascii="Times New Roman" w:hAnsi="Times New Roman"/>
          <w:sz w:val="20"/>
        </w:rPr>
        <w:t xml:space="preserve"> (Severability); </w:t>
      </w:r>
      <w:r>
        <w:rPr>
          <w:rFonts w:ascii="Times New Roman" w:hAnsi="Times New Roman"/>
          <w:sz w:val="20"/>
          <w:u w:val="single"/>
        </w:rPr>
        <w:t>Section 11.15</w:t>
      </w:r>
      <w:r>
        <w:rPr>
          <w:rFonts w:ascii="Times New Roman" w:hAnsi="Times New Roman"/>
          <w:sz w:val="20"/>
        </w:rPr>
        <w:t xml:space="preserve"> (Governing Law); </w:t>
      </w:r>
      <w:r>
        <w:rPr>
          <w:rFonts w:ascii="Times New Roman" w:hAnsi="Times New Roman"/>
          <w:sz w:val="20"/>
          <w:u w:val="single"/>
        </w:rPr>
        <w:t>Section 11.16</w:t>
      </w:r>
      <w:r>
        <w:rPr>
          <w:rFonts w:ascii="Times New Roman" w:hAnsi="Times New Roman"/>
          <w:sz w:val="20"/>
        </w:rPr>
        <w:t xml:space="preserve"> (Waiver of Right to Trial by Jury); and </w:t>
      </w:r>
      <w:r>
        <w:rPr>
          <w:rFonts w:ascii="Times New Roman" w:hAnsi="Times New Roman"/>
          <w:sz w:val="20"/>
          <w:u w:val="single"/>
        </w:rPr>
        <w:t>Section 11.26</w:t>
      </w:r>
      <w:r>
        <w:rPr>
          <w:rFonts w:ascii="Times New Roman" w:hAnsi="Times New Roman"/>
          <w:sz w:val="20"/>
        </w:rPr>
        <w:t xml:space="preserve"> (</w:t>
      </w:r>
      <w:r>
        <w:rPr>
          <w:rFonts w:ascii="Times New Roman" w:hAnsi="Times New Roman"/>
          <w:sz w:val="20"/>
          <w:u w:val="single"/>
        </w:rPr>
        <w:t>Headings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by their respective authorized officers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657"/>
        <w:gridCol w:w="60"/>
        <w:gridCol w:w="2941"/>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HORNBECK OFFSHORE SERVICES, INC.,</w:t>
            </w:r>
          </w:p>
        </w:tc>
      </w:tr>
      <w:tr>
        <w:trPr/>
        <w:tc>
          <w:tcPr>
            <w:tcW w:w="4082" w:type="dxa"/>
            <w:gridSpan w:val="5"/>
            <w:tcBorders/>
          </w:tcPr>
          <w:p>
            <w:pPr>
              <w:pStyle w:val="TableContents"/>
              <w:bidi w:val="0"/>
              <w:spacing w:before="0" w:after="283"/>
              <w:jc w:val="left"/>
              <w:rPr/>
            </w:pPr>
            <w:r>
              <w:rPr/>
              <w:t>as Borrower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O. Harp, Jr.</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James O. Harp, Jr.</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Executive Vice President and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3"/>
        <w:gridCol w:w="60"/>
        <w:gridCol w:w="657"/>
        <w:gridCol w:w="60"/>
        <w:gridCol w:w="2942"/>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DNB BANK ASA, NEW YORK BRANCH,</w:t>
            </w:r>
          </w:p>
        </w:tc>
      </w:tr>
      <w:tr>
        <w:trPr/>
        <w:tc>
          <w:tcPr>
            <w:tcW w:w="4082" w:type="dxa"/>
            <w:gridSpan w:val="5"/>
            <w:tcBorders/>
          </w:tcPr>
          <w:p>
            <w:pPr>
              <w:pStyle w:val="TableContents"/>
              <w:bidi w:val="0"/>
              <w:spacing w:before="0" w:after="283"/>
              <w:jc w:val="left"/>
              <w:rPr/>
            </w:pPr>
            <w:r>
              <w:rPr/>
              <w:t>as Administrative Agent</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Price</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Jack Price</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Assistance Vice President</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Samantha Stone</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Samantha Stone</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WILMINGTON TRUST, NATIONAL ASSOCIATION,</w:t>
            </w:r>
          </w:p>
        </w:tc>
      </w:tr>
      <w:tr>
        <w:trPr/>
        <w:tc>
          <w:tcPr>
            <w:tcW w:w="4082" w:type="dxa"/>
            <w:gridSpan w:val="5"/>
            <w:tcBorders/>
          </w:tcPr>
          <w:p>
            <w:pPr>
              <w:pStyle w:val="TableContents"/>
              <w:bidi w:val="0"/>
              <w:spacing w:before="0" w:after="283"/>
              <w:jc w:val="left"/>
              <w:rPr/>
            </w:pPr>
            <w:r>
              <w:rPr/>
              <w:t>as Collateral Agent and Collateral Trustee</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Jeffery Rose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Jeffery Rose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3"/>
        <w:gridCol w:w="60"/>
        <w:gridCol w:w="657"/>
        <w:gridCol w:w="60"/>
        <w:gridCol w:w="2942"/>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DNB CAPITAL LLC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J. Shohet</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Andrew J. Shohet</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SVP &amp; Head of Ocean Industries, North America</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Fitzpatrick</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Jason Fitzpatrick</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FVP</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JPMORGAN CHASE BANK, N.A.</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Caroline Eagan</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Caroline Eagan</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BARCLAYS BANK PLC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Sydney G. Dennis</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Sydney G. Dennis</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CAPITAL ONE, NATIONAL ASSOCIATION</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Randi Herbert</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Randi Herbert</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First Amendment to Credit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trike/>
          <w:color w:val="FF0000"/>
          <w:sz w:val="20"/>
        </w:rPr>
        <w:t>Execution Version</w:t>
      </w:r>
      <w:r>
        <w:rPr>
          <w:rFonts w:ascii="Times New Roman" w:hAnsi="Times New Roman"/>
          <w:b/>
          <w:i/>
          <w:color w:val="0000FF"/>
          <w:sz w:val="20"/>
          <w:u w:val="single"/>
          <w:bdr w:val="double" w:sz="2" w:space="1" w:color="000000"/>
        </w:rPr>
        <w:t>Exhibit A to First Amendment to Credit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August 13, 2024 </w:t>
      </w:r>
    </w:p>
    <w:p>
      <w:pPr>
        <w:pStyle w:val="TextBody"/>
        <w:bidi w:val="0"/>
        <w:spacing w:before="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DNB BANK ASA, NEW YORK BRANCH,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Collateral Agent </w:t>
      </w:r>
      <w:r>
        <w:rPr>
          <w:rFonts w:ascii="Times New Roman" w:hAnsi="Times New Roman"/>
          <w:color w:val="0000FF"/>
          <w:sz w:val="20"/>
          <w:u w:val="single"/>
          <w:bdr w:val="double" w:sz="2" w:space="1" w:color="000000"/>
        </w:rPr>
        <w:t>and Collateral Trustee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DNB MARKETS, INC., JPMORGAN CHASE BANK, N.A AND BARCLAYS BANK PLC </w:t>
      </w:r>
    </w:p>
    <w:p>
      <w:pPr>
        <w:pStyle w:val="TextBody"/>
        <w:bidi w:val="0"/>
        <w:spacing w:before="240" w:after="0"/>
        <w:jc w:val="center"/>
        <w:rPr>
          <w:rFonts w:ascii="Times New Roman" w:hAnsi="Times New Roman"/>
          <w:sz w:val="20"/>
        </w:rPr>
      </w:pPr>
      <w:r>
        <w:rPr>
          <w:rFonts w:ascii="Times New Roman" w:hAnsi="Times New Roman"/>
          <w:sz w:val="20"/>
        </w:rPr>
        <w:t xml:space="preserve">as Lead Arrangers and Physical Bookrunners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u w:val="single"/>
        </w:rPr>
        <w:t>TABLE OF CONTENTS</w:t>
      </w:r>
      <w:r>
        <w:rPr>
          <w:rFonts w:ascii="Times New Roman" w:hAnsi="Times New Roman"/>
          <w:sz w:val="20"/>
        </w:rPr>
        <w:t xml:space="preserve"> </w:t>
      </w:r>
    </w:p>
    <w:p>
      <w:pPr>
        <w:pStyle w:val="TextBody"/>
        <w:bidi w:val="0"/>
        <w:spacing w:before="240" w:after="0"/>
        <w:jc w:val="right"/>
        <w:rPr>
          <w:rFonts w:ascii="Times New Roman" w:hAnsi="Times New Roman"/>
          <w:color w:val="0000FF"/>
          <w:sz w:val="20"/>
        </w:rPr>
      </w:pPr>
      <w:r>
        <w:rPr>
          <w:rFonts w:ascii="Times New Roman" w:hAnsi="Times New Roman"/>
          <w:b/>
          <w:color w:val="0000FF"/>
          <w:sz w:val="20"/>
          <w:u w:val="single"/>
          <w:bdr w:val="double" w:sz="2" w:space="1" w:color="000000"/>
        </w:rPr>
        <w:t>Page</w:t>
      </w:r>
      <w:r>
        <w:rPr>
          <w:rFonts w:ascii="Times New Roman" w:hAnsi="Times New Roman"/>
          <w:color w:val="0000FF"/>
          <w:sz w:val="20"/>
        </w:rPr>
        <w:t xml:space="preserve"> </w:t>
      </w:r>
    </w:p>
    <w:p>
      <w:pPr>
        <w:pStyle w:val="TextBody"/>
        <w:bidi w:val="0"/>
        <w:spacing w:before="0" w:after="0"/>
        <w:jc w:val="left"/>
        <w:rPr/>
      </w:pPr>
      <w:r>
        <w:rPr/>
        <w:t> </w:t>
      </w:r>
    </w:p>
    <w:tbl>
      <w:tblPr>
        <w:tblW w:w="10305" w:type="dxa"/>
        <w:jc w:val="center"/>
        <w:tblInd w:w="0" w:type="dxa"/>
        <w:tblLayout w:type="fixed"/>
        <w:tblCellMar>
          <w:top w:w="0" w:type="dxa"/>
          <w:left w:w="0" w:type="dxa"/>
          <w:bottom w:w="0" w:type="dxa"/>
          <w:right w:w="0" w:type="dxa"/>
        </w:tblCellMar>
      </w:tblPr>
      <w:tblGrid>
        <w:gridCol w:w="830"/>
        <w:gridCol w:w="60"/>
        <w:gridCol w:w="8315"/>
        <w:gridCol w:w="120"/>
        <w:gridCol w:w="120"/>
        <w:gridCol w:w="800"/>
        <w:gridCol w:w="60"/>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AND ACCOUNTING TERMS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Defined Terms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Other Interpretive Provisions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Accounting and Finance Terms; Accounting Periods; Unrestricted Subsidiaries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Rounding</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References to Agreements, Laws, Etc.</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102</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Times of Day</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103</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103</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Pro Forma Calculations; Limited Condition Transactions; Basket and Ratio Compliance</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103</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Currency Equivalents Generally</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100</w:t>
            </w:r>
            <w:r>
              <w:rPr>
                <w:color w:val="0000FF"/>
                <w:u w:val="single"/>
                <w:bdr w:val="double" w:sz="2" w:space="1" w:color="000000"/>
              </w:rPr>
              <w:t>106</w:t>
            </w:r>
          </w:p>
        </w:tc>
        <w:tc>
          <w:tcPr>
            <w:tcW w:w="60" w:type="dxa"/>
            <w:tcBorders/>
            <w:vAlign w:val="bottom"/>
          </w:tcPr>
          <w:p>
            <w:pPr>
              <w:pStyle w:val="TableContents"/>
              <w:bidi w:val="0"/>
              <w:spacing w:before="0" w:after="283"/>
              <w:jc w:val="left"/>
              <w:rPr/>
            </w:pPr>
            <w:r>
              <w:rPr/>
              <w:t> </w:t>
            </w:r>
          </w:p>
        </w:tc>
      </w:tr>
      <w:tr>
        <w:trPr>
          <w:trHeight w:val="120" w:hRule="atLeast"/>
        </w:trPr>
        <w:tc>
          <w:tcPr>
            <w:tcW w:w="9205" w:type="dxa"/>
            <w:gridSpan w:val="3"/>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9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COMMITMENTS AND BORROWINGS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107</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107</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Revolving Loans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107</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Issuance of Letters of Credit and Purchase of Participations Therein</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103</w:t>
            </w:r>
            <w:r>
              <w:rPr>
                <w:color w:val="0000FF"/>
                <w:u w:val="single"/>
                <w:bdr w:val="double" w:sz="2" w:space="1" w:color="000000"/>
              </w:rPr>
              <w:t>108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Conversion/Continuation</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112</w:t>
            </w:r>
            <w:r>
              <w:rPr>
                <w:color w:val="0000FF"/>
                <w:u w:val="single"/>
                <w:bdr w:val="double" w:sz="2" w:space="1" w:color="000000"/>
              </w:rPr>
              <w:t>118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Availability</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113</w:t>
            </w:r>
            <w:r>
              <w:rPr>
                <w:color w:val="0000FF"/>
                <w:u w:val="single"/>
                <w:bdr w:val="double" w:sz="2" w:space="1" w:color="000000"/>
              </w:rPr>
              <w:t>119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Prepayments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Termination or Reduction of Commitments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116</w:t>
            </w:r>
            <w:r>
              <w:rPr>
                <w:color w:val="0000FF"/>
                <w:u w:val="single"/>
                <w:bdr w:val="double" w:sz="2" w:space="1" w:color="000000"/>
              </w:rPr>
              <w:t>122</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Repayment of Loans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117</w:t>
            </w:r>
            <w:r>
              <w:rPr>
                <w:color w:val="0000FF"/>
                <w:u w:val="single"/>
                <w:bdr w:val="double" w:sz="2" w:space="1" w:color="000000"/>
              </w:rPr>
              <w:t>123</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Interest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117</w:t>
            </w:r>
            <w:r>
              <w:rPr>
                <w:color w:val="0000FF"/>
                <w:u w:val="single"/>
                <w:bdr w:val="double" w:sz="2" w:space="1" w:color="000000"/>
              </w:rPr>
              <w:t>123</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Fees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124</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Computation of Interest and Fees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126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Evidence of Indebtedness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Payments Generally</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120</w:t>
            </w:r>
            <w:r>
              <w:rPr>
                <w:color w:val="0000FF"/>
                <w:u w:val="single"/>
                <w:bdr w:val="double" w:sz="2" w:space="1" w:color="000000"/>
              </w:rPr>
              <w:t>127</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Sharing of Payments, Etc.</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Incremental Borrowings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Refinancing Amendments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133</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Extensions of Loans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134</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Defaulting Lenders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Judgment Currency</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132</w:t>
            </w:r>
            <w:r>
              <w:rPr>
                <w:color w:val="0000FF"/>
                <w:u w:val="single"/>
                <w:bdr w:val="double" w:sz="2" w:space="1" w:color="000000"/>
              </w:rPr>
              <w:t>139</w:t>
            </w:r>
          </w:p>
        </w:tc>
        <w:tc>
          <w:tcPr>
            <w:tcW w:w="60" w:type="dxa"/>
            <w:tcBorders/>
            <w:vAlign w:val="bottom"/>
          </w:tcPr>
          <w:p>
            <w:pPr>
              <w:pStyle w:val="TableContents"/>
              <w:bidi w:val="0"/>
              <w:spacing w:before="0" w:after="283"/>
              <w:jc w:val="left"/>
              <w:rPr/>
            </w:pPr>
            <w:r>
              <w:rPr/>
              <w:t> </w:t>
            </w:r>
          </w:p>
        </w:tc>
      </w:tr>
      <w:tr>
        <w:trPr>
          <w:trHeight w:val="120" w:hRule="atLeast"/>
        </w:trPr>
        <w:tc>
          <w:tcPr>
            <w:tcW w:w="9205" w:type="dxa"/>
            <w:gridSpan w:val="3"/>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9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TAXES, INCREASED COSTS PROTECTION AND ILLEGALITY</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xml:space="preserve">  </w:t>
            </w:r>
          </w:p>
        </w:tc>
        <w:tc>
          <w:tcPr>
            <w:tcW w:w="800" w:type="dxa"/>
            <w:tcBorders/>
            <w:vAlign w:val="bottom"/>
          </w:tcPr>
          <w:p>
            <w:pPr>
              <w:pStyle w:val="TableContents"/>
              <w:bidi w:val="0"/>
              <w:spacing w:before="0" w:after="283"/>
              <w:jc w:val="right"/>
              <w:rPr/>
            </w:pPr>
            <w:r>
              <w:rPr>
                <w:strike/>
                <w:color w:val="FF0000"/>
              </w:rPr>
              <w:t>133</w:t>
            </w:r>
            <w:r>
              <w:rPr>
                <w:color w:val="0000FF"/>
                <w:u w:val="single"/>
                <w:bdr w:val="double" w:sz="2" w:space="1" w:color="000000"/>
              </w:rPr>
              <w:t xml:space="preserve">140 </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Taxes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xml:space="preserve">  </w:t>
            </w:r>
          </w:p>
        </w:tc>
        <w:tc>
          <w:tcPr>
            <w:tcW w:w="800" w:type="dxa"/>
            <w:tcBorders/>
            <w:vAlign w:val="bottom"/>
          </w:tcPr>
          <w:p>
            <w:pPr>
              <w:pStyle w:val="TableContents"/>
              <w:bidi w:val="0"/>
              <w:spacing w:before="0" w:after="283"/>
              <w:jc w:val="right"/>
              <w:rPr/>
            </w:pPr>
            <w:r>
              <w:rPr>
                <w:strike/>
                <w:color w:val="FF0000"/>
              </w:rPr>
              <w:t>133</w:t>
            </w:r>
            <w:r>
              <w:rPr>
                <w:color w:val="0000FF"/>
                <w:u w:val="single"/>
                <w:bdr w:val="double" w:sz="2" w:space="1" w:color="000000"/>
              </w:rPr>
              <w:t xml:space="preserve">140 </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Illegality</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145</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Inability to Determine Rates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146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Increased Cost and Reduced Return; Capital Adequacy; Reserves on S Rate Loans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146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Funding Losses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148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Matters Applicable to All Requests for Compensation</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149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Replacement of Lenders Under Certain Circumstances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150</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Survival</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151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Successor Benchmark Rates</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151</w:t>
            </w:r>
          </w:p>
        </w:tc>
        <w:tc>
          <w:tcPr>
            <w:tcW w:w="60" w:type="dxa"/>
            <w:tcBorders/>
            <w:vAlign w:val="bottom"/>
          </w:tcPr>
          <w:p>
            <w:pPr>
              <w:pStyle w:val="TableContents"/>
              <w:bidi w:val="0"/>
              <w:spacing w:before="0" w:after="283"/>
              <w:jc w:val="left"/>
              <w:rPr/>
            </w:pPr>
            <w:r>
              <w:rPr/>
              <w:t> </w:t>
            </w:r>
          </w:p>
        </w:tc>
      </w:tr>
      <w:tr>
        <w:trPr>
          <w:trHeight w:val="120" w:hRule="atLeast"/>
        </w:trPr>
        <w:tc>
          <w:tcPr>
            <w:tcW w:w="9205" w:type="dxa"/>
            <w:gridSpan w:val="3"/>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9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CONDITIONS PRECEDENT TO THE CLOSING DATE, BORROWINGS AND LETTERS OF CREDIT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146</w:t>
            </w:r>
            <w:r>
              <w:rPr>
                <w:color w:val="0000FF"/>
                <w:u w:val="single"/>
                <w:bdr w:val="double" w:sz="2" w:space="1" w:color="000000"/>
              </w:rPr>
              <w:t>154</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Conditions to the Closing Date</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146</w:t>
            </w:r>
            <w:r>
              <w:rPr>
                <w:color w:val="0000FF"/>
                <w:u w:val="single"/>
                <w:bdr w:val="double" w:sz="2" w:space="1" w:color="000000"/>
              </w:rPr>
              <w:t>154</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Conditions to the Initial Funding Date</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148</w:t>
            </w:r>
            <w:r>
              <w:rPr>
                <w:color w:val="0000FF"/>
                <w:u w:val="single"/>
                <w:bdr w:val="double" w:sz="2" w:space="1" w:color="000000"/>
              </w:rPr>
              <w:t>156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60" w:type="dxa"/>
            <w:tcBorders/>
            <w:vAlign w:val="bottom"/>
          </w:tcPr>
          <w:p>
            <w:pPr>
              <w:pStyle w:val="TableContents"/>
              <w:bidi w:val="0"/>
              <w:spacing w:before="0" w:after="283"/>
              <w:jc w:val="left"/>
              <w:rPr/>
            </w:pPr>
            <w:r>
              <w:rPr/>
              <w:t> </w:t>
            </w:r>
          </w:p>
        </w:tc>
        <w:tc>
          <w:tcPr>
            <w:tcW w:w="8315" w:type="dxa"/>
            <w:tcBorders/>
            <w:vAlign w:val="bottom"/>
          </w:tcPr>
          <w:p>
            <w:pPr>
              <w:pStyle w:val="TableContents"/>
              <w:bidi w:val="0"/>
              <w:spacing w:before="0" w:after="283"/>
              <w:jc w:val="left"/>
              <w:rPr/>
            </w:pPr>
            <w:r>
              <w:rPr/>
              <w:t>Conditions to All Borrowings After the Closing Date</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strike/>
                <w:color w:val="FF0000"/>
              </w:rPr>
              <w:t>150</w:t>
            </w:r>
            <w:r>
              <w:rPr>
                <w:color w:val="0000FF"/>
                <w:u w:val="single"/>
                <w:bdr w:val="double" w:sz="2" w:space="1" w:color="000000"/>
              </w:rPr>
              <w:t>157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84"/>
        <w:gridCol w:w="92"/>
        <w:gridCol w:w="7837"/>
        <w:gridCol w:w="130"/>
        <w:gridCol w:w="60"/>
        <w:gridCol w:w="740"/>
        <w:gridCol w:w="62"/>
      </w:tblGrid>
      <w:tr>
        <w:trPr/>
        <w:tc>
          <w:tcPr>
            <w:tcW w:w="1284"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783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13" w:type="dxa"/>
            <w:gridSpan w:val="3"/>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159</w:t>
            </w:r>
          </w:p>
        </w:tc>
        <w:tc>
          <w:tcPr>
            <w:tcW w:w="62" w:type="dxa"/>
            <w:tcBorders/>
            <w:vAlign w:val="bottom"/>
          </w:tcPr>
          <w:p>
            <w:pPr>
              <w:pStyle w:val="TableContents"/>
              <w:bidi w:val="0"/>
              <w:spacing w:before="0" w:after="283"/>
              <w:jc w:val="left"/>
              <w:rPr/>
            </w:pPr>
            <w:r>
              <w:rPr/>
              <w:t> </w:t>
            </w:r>
          </w:p>
        </w:tc>
      </w:tr>
      <w:tr>
        <w:trPr>
          <w:trHeight w:val="120" w:hRule="atLeast"/>
        </w:trPr>
        <w:tc>
          <w:tcPr>
            <w:tcW w:w="1284"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Existence, Qualification and Power; Compliance with Laws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159</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Authorization; No Contravention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159</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Governmental Authorization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160</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Binding Effect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160</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Financial Statements; No Material Adverse Effect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160</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Litigation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161</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Labor Matters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161</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Ownership of Property; Liens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161</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Environmental Matters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color w:val="0000FF"/>
                <w:u w:val="single"/>
                <w:bdr w:val="double" w:sz="2" w:space="1" w:color="000000"/>
              </w:rPr>
              <w:t>161</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Taxes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color w:val="0000FF"/>
                <w:u w:val="single"/>
                <w:bdr w:val="double" w:sz="2" w:space="1" w:color="000000"/>
              </w:rPr>
              <w:t>162</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ERISA Compliance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color w:val="0000FF"/>
                <w:u w:val="single"/>
                <w:bdr w:val="double" w:sz="2" w:space="1" w:color="000000"/>
              </w:rPr>
              <w:t>162</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Subsidiaries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155</w:t>
            </w:r>
            <w:r>
              <w:rPr>
                <w:color w:val="0000FF"/>
                <w:u w:val="single"/>
                <w:bdr w:val="double" w:sz="2" w:space="1" w:color="000000"/>
              </w:rPr>
              <w:t>163</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Margin Regulations; Investment Company Act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155</w:t>
            </w:r>
            <w:r>
              <w:rPr>
                <w:color w:val="0000FF"/>
                <w:u w:val="single"/>
                <w:bdr w:val="double" w:sz="2" w:space="1" w:color="000000"/>
              </w:rPr>
              <w:t>163</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Disclosure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155</w:t>
            </w:r>
            <w:r>
              <w:rPr>
                <w:color w:val="0000FF"/>
                <w:u w:val="single"/>
                <w:bdr w:val="double" w:sz="2" w:space="1" w:color="000000"/>
              </w:rPr>
              <w:t>163</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Properties; Titles, Etc.</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163</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Solvency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164</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Compliance with Anti-Corruption Laws and Sanctions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164</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Collateral Documents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165</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Use of Proceeds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165</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gridSpan w:val="3"/>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AFFIRMATIVE COVENANTS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165</w:t>
            </w:r>
          </w:p>
        </w:tc>
        <w:tc>
          <w:tcPr>
            <w:tcW w:w="62" w:type="dxa"/>
            <w:tcBorders/>
            <w:vAlign w:val="bottom"/>
          </w:tcPr>
          <w:p>
            <w:pPr>
              <w:pStyle w:val="TableContents"/>
              <w:bidi w:val="0"/>
              <w:spacing w:before="0" w:after="283"/>
              <w:jc w:val="left"/>
              <w:rPr/>
            </w:pPr>
            <w:r>
              <w:rPr/>
              <w:t> </w:t>
            </w:r>
          </w:p>
        </w:tc>
      </w:tr>
      <w:tr>
        <w:trPr>
          <w:trHeight w:val="120" w:hRule="atLeast"/>
        </w:trPr>
        <w:tc>
          <w:tcPr>
            <w:tcW w:w="1284"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Financial Statements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165</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Certificates; Other Information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167</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Notices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161</w:t>
            </w:r>
            <w:r>
              <w:rPr>
                <w:color w:val="0000FF"/>
                <w:u w:val="single"/>
                <w:bdr w:val="double" w:sz="2" w:space="1" w:color="000000"/>
              </w:rPr>
              <w:t>169</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Payment of Certain Taxes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162</w:t>
            </w:r>
            <w:r>
              <w:rPr>
                <w:color w:val="0000FF"/>
                <w:u w:val="single"/>
                <w:bdr w:val="double" w:sz="2" w:space="1" w:color="000000"/>
              </w:rPr>
              <w:t>170</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Preservation of Existence of the Borrower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162</w:t>
            </w:r>
            <w:r>
              <w:rPr>
                <w:color w:val="0000FF"/>
                <w:u w:val="single"/>
                <w:bdr w:val="double" w:sz="2" w:space="1" w:color="000000"/>
              </w:rPr>
              <w:t>170</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Maintenance of Properties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162</w:t>
            </w:r>
            <w:r>
              <w:rPr>
                <w:color w:val="0000FF"/>
                <w:u w:val="single"/>
                <w:bdr w:val="double" w:sz="2" w:space="1" w:color="000000"/>
              </w:rPr>
              <w:t>170</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Maintenance of Insurance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162</w:t>
            </w:r>
            <w:r>
              <w:rPr>
                <w:color w:val="0000FF"/>
                <w:u w:val="single"/>
                <w:bdr w:val="double" w:sz="2" w:space="1" w:color="000000"/>
              </w:rPr>
              <w:t>170</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Compliance with Laws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171</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Books and Records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171</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Inspection Rights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171</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Covenant to Guarantee Obligations and Give Security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164</w:t>
            </w:r>
            <w:r>
              <w:rPr>
                <w:color w:val="0000FF"/>
                <w:u w:val="single"/>
                <w:bdr w:val="double" w:sz="2" w:space="1" w:color="000000"/>
              </w:rPr>
              <w:t>172</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Further Assurances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166</w:t>
            </w:r>
            <w:r>
              <w:rPr>
                <w:color w:val="0000FF"/>
                <w:u w:val="single"/>
                <w:bdr w:val="double" w:sz="2" w:space="1" w:color="000000"/>
              </w:rPr>
              <w:t>174</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Designation of Subsidiaries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175</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Compliance with Anti-Corruption Laws and Sanctions.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176</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Post-Closing Matters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176</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Use of Proceeds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177</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Change in Nature of Business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169</w:t>
            </w:r>
            <w:r>
              <w:rPr>
                <w:color w:val="0000FF"/>
                <w:u w:val="single"/>
                <w:bdr w:val="double" w:sz="2" w:space="1" w:color="000000"/>
              </w:rPr>
              <w:t>177</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Transactions with Affiliates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169</w:t>
            </w:r>
            <w:r>
              <w:rPr>
                <w:color w:val="0000FF"/>
                <w:u w:val="single"/>
                <w:bdr w:val="double" w:sz="2" w:space="1" w:color="000000"/>
              </w:rPr>
              <w:t>177</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Vessel Collateral Covenants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173</w:t>
            </w:r>
            <w:r>
              <w:rPr>
                <w:color w:val="0000FF"/>
                <w:u w:val="single"/>
                <w:bdr w:val="double" w:sz="2" w:space="1" w:color="000000"/>
              </w:rPr>
              <w:t>182</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gridSpan w:val="3"/>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NEGATIVE COVENANTS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178</w:t>
            </w:r>
            <w:r>
              <w:rPr>
                <w:color w:val="0000FF"/>
                <w:u w:val="single"/>
                <w:bdr w:val="double" w:sz="2" w:space="1" w:color="000000"/>
              </w:rPr>
              <w:t>187</w:t>
            </w:r>
          </w:p>
        </w:tc>
        <w:tc>
          <w:tcPr>
            <w:tcW w:w="62" w:type="dxa"/>
            <w:tcBorders/>
            <w:vAlign w:val="bottom"/>
          </w:tcPr>
          <w:p>
            <w:pPr>
              <w:pStyle w:val="TableContents"/>
              <w:bidi w:val="0"/>
              <w:spacing w:before="0" w:after="283"/>
              <w:jc w:val="left"/>
              <w:rPr/>
            </w:pPr>
            <w:r>
              <w:rPr/>
              <w:t> </w:t>
            </w:r>
          </w:p>
        </w:tc>
      </w:tr>
      <w:tr>
        <w:trPr>
          <w:trHeight w:val="120" w:hRule="atLeast"/>
        </w:trPr>
        <w:tc>
          <w:tcPr>
            <w:tcW w:w="1284"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Liens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178</w:t>
            </w:r>
            <w:r>
              <w:rPr>
                <w:color w:val="0000FF"/>
                <w:u w:val="single"/>
                <w:bdr w:val="double" w:sz="2" w:space="1" w:color="000000"/>
              </w:rPr>
              <w:t>187</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[Reserved]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185</w:t>
            </w:r>
            <w:r>
              <w:rPr>
                <w:color w:val="0000FF"/>
                <w:u w:val="single"/>
                <w:bdr w:val="double" w:sz="2" w:space="1" w:color="000000"/>
              </w:rPr>
              <w:t>194</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Indebtedness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185</w:t>
            </w:r>
            <w:r>
              <w:rPr>
                <w:color w:val="0000FF"/>
                <w:u w:val="single"/>
                <w:bdr w:val="double" w:sz="2" w:space="1" w:color="000000"/>
              </w:rPr>
              <w:t>194</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Fundamental Changes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193</w:t>
            </w:r>
            <w:r>
              <w:rPr>
                <w:color w:val="0000FF"/>
                <w:u w:val="single"/>
                <w:bdr w:val="double" w:sz="2" w:space="1" w:color="000000"/>
              </w:rPr>
              <w:t>203</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Dispositions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195</w:t>
            </w:r>
            <w:r>
              <w:rPr>
                <w:color w:val="0000FF"/>
                <w:u w:val="single"/>
                <w:bdr w:val="double" w:sz="2" w:space="1" w:color="000000"/>
              </w:rPr>
              <w:t>205</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Restricted Payments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197</w:t>
            </w:r>
            <w:r>
              <w:rPr>
                <w:color w:val="0000FF"/>
                <w:u w:val="single"/>
                <w:bdr w:val="double" w:sz="2" w:space="1" w:color="000000"/>
              </w:rPr>
              <w:t>206</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[Reserved]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200</w:t>
            </w:r>
            <w:r>
              <w:rPr>
                <w:color w:val="0000FF"/>
                <w:u w:val="single"/>
                <w:bdr w:val="double" w:sz="2" w:space="1" w:color="000000"/>
              </w:rPr>
              <w:t>210</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Negative Pledge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200</w:t>
            </w:r>
            <w:r>
              <w:rPr>
                <w:color w:val="0000FF"/>
                <w:u w:val="single"/>
                <w:bdr w:val="double" w:sz="2" w:space="1" w:color="000000"/>
              </w:rPr>
              <w:t>210</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Junior Debt Prepayments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203</w:t>
            </w:r>
            <w:r>
              <w:rPr>
                <w:color w:val="0000FF"/>
                <w:u w:val="single"/>
                <w:bdr w:val="double" w:sz="2" w:space="1" w:color="000000"/>
              </w:rPr>
              <w:t>213</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gridSpan w:val="3"/>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FINANCIAL COVENANT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205</w:t>
            </w:r>
            <w:r>
              <w:rPr>
                <w:color w:val="0000FF"/>
                <w:u w:val="single"/>
                <w:bdr w:val="double" w:sz="2" w:space="1" w:color="000000"/>
              </w:rPr>
              <w:t>215</w:t>
            </w:r>
          </w:p>
        </w:tc>
        <w:tc>
          <w:tcPr>
            <w:tcW w:w="62" w:type="dxa"/>
            <w:tcBorders/>
            <w:vAlign w:val="bottom"/>
          </w:tcPr>
          <w:p>
            <w:pPr>
              <w:pStyle w:val="TableContents"/>
              <w:bidi w:val="0"/>
              <w:spacing w:before="0" w:after="283"/>
              <w:jc w:val="left"/>
              <w:rPr/>
            </w:pPr>
            <w:r>
              <w:rPr/>
              <w:t> </w:t>
            </w:r>
          </w:p>
        </w:tc>
      </w:tr>
      <w:tr>
        <w:trPr>
          <w:trHeight w:val="120" w:hRule="atLeast"/>
        </w:trPr>
        <w:tc>
          <w:tcPr>
            <w:tcW w:w="1284"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Financial Covenants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205</w:t>
            </w:r>
            <w:r>
              <w:rPr>
                <w:color w:val="0000FF"/>
                <w:u w:val="single"/>
                <w:bdr w:val="double" w:sz="2" w:space="1" w:color="000000"/>
              </w:rPr>
              <w:t>215</w:t>
            </w:r>
          </w:p>
        </w:tc>
        <w:tc>
          <w:tcPr>
            <w:tcW w:w="62" w:type="dxa"/>
            <w:tcBorders/>
            <w:vAlign w:val="bottom"/>
          </w:tcPr>
          <w:p>
            <w:pPr>
              <w:pStyle w:val="TableContents"/>
              <w:bidi w:val="0"/>
              <w:spacing w:before="0" w:after="283"/>
              <w:jc w:val="left"/>
              <w:rPr/>
            </w:pPr>
            <w:r>
              <w:rPr/>
              <w:t>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92" w:type="dxa"/>
            <w:tcBorders/>
            <w:vAlign w:val="bottom"/>
          </w:tcPr>
          <w:p>
            <w:pPr>
              <w:pStyle w:val="TableContents"/>
              <w:bidi w:val="0"/>
              <w:spacing w:before="0" w:after="283"/>
              <w:jc w:val="left"/>
              <w:rPr/>
            </w:pPr>
            <w:r>
              <w:rPr/>
              <w:t> </w:t>
            </w:r>
          </w:p>
        </w:tc>
        <w:tc>
          <w:tcPr>
            <w:tcW w:w="7837" w:type="dxa"/>
            <w:tcBorders/>
            <w:vAlign w:val="bottom"/>
          </w:tcPr>
          <w:p>
            <w:pPr>
              <w:pStyle w:val="TableContents"/>
              <w:bidi w:val="0"/>
              <w:spacing w:before="0" w:after="283"/>
              <w:jc w:val="left"/>
              <w:rPr/>
            </w:pPr>
            <w:r>
              <w:rPr/>
              <w:t>[Reserved]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206</w:t>
            </w:r>
            <w:r>
              <w:rPr>
                <w:color w:val="0000FF"/>
                <w:u w:val="single"/>
                <w:bdr w:val="double" w:sz="2" w:space="1" w:color="000000"/>
              </w:rPr>
              <w:t>216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76"/>
        <w:gridCol w:w="69"/>
        <w:gridCol w:w="8175"/>
        <w:gridCol w:w="122"/>
        <w:gridCol w:w="60"/>
        <w:gridCol w:w="740"/>
        <w:gridCol w:w="63"/>
      </w:tblGrid>
      <w:tr>
        <w:trPr/>
        <w:tc>
          <w:tcPr>
            <w:tcW w:w="976"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81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EVENTS OF DEFAULT AND REMEDIES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206</w:t>
            </w:r>
            <w:r>
              <w:rPr>
                <w:color w:val="0000FF"/>
                <w:u w:val="single"/>
                <w:bdr w:val="double" w:sz="2" w:space="1" w:color="000000"/>
              </w:rPr>
              <w:t>216</w:t>
            </w:r>
          </w:p>
        </w:tc>
        <w:tc>
          <w:tcPr>
            <w:tcW w:w="63" w:type="dxa"/>
            <w:tcBorders/>
            <w:vAlign w:val="bottom"/>
          </w:tcPr>
          <w:p>
            <w:pPr>
              <w:pStyle w:val="TableContents"/>
              <w:bidi w:val="0"/>
              <w:spacing w:before="0" w:after="283"/>
              <w:jc w:val="left"/>
              <w:rPr/>
            </w:pPr>
            <w:r>
              <w:rPr/>
              <w:t> </w:t>
            </w:r>
          </w:p>
        </w:tc>
      </w:tr>
      <w:tr>
        <w:trPr>
          <w:trHeight w:val="120" w:hRule="atLeast"/>
        </w:trPr>
        <w:tc>
          <w:tcPr>
            <w:tcW w:w="976"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985" w:type="dxa"/>
            <w:gridSpan w:val="4"/>
            <w:tcBorders/>
            <w:vAlign w:val="center"/>
          </w:tcPr>
          <w:p>
            <w:pPr>
              <w:pStyle w:val="TableContents"/>
              <w:bidi w:val="0"/>
              <w:spacing w:before="0" w:after="283"/>
              <w:jc w:val="left"/>
              <w:rPr>
                <w:sz w:val="4"/>
                <w:szCs w:val="4"/>
              </w:rPr>
            </w:pPr>
            <w:r>
              <w:rPr>
                <w:sz w:val="4"/>
                <w:szCs w:val="4"/>
              </w:rPr>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Events of Default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206</w:t>
            </w:r>
            <w:r>
              <w:rPr>
                <w:color w:val="0000FF"/>
                <w:u w:val="single"/>
                <w:bdr w:val="double" w:sz="2" w:space="1" w:color="000000"/>
              </w:rPr>
              <w:t>216</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Remedies upon Event of Default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209</w:t>
            </w:r>
            <w:r>
              <w:rPr>
                <w:color w:val="0000FF"/>
                <w:u w:val="single"/>
                <w:bdr w:val="double" w:sz="2" w:space="1" w:color="000000"/>
              </w:rPr>
              <w:t>220</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Application of Funds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210</w:t>
            </w:r>
            <w:r>
              <w:rPr>
                <w:color w:val="0000FF"/>
                <w:u w:val="single"/>
                <w:bdr w:val="double" w:sz="2" w:space="1" w:color="000000"/>
              </w:rPr>
              <w:t>221</w:t>
            </w:r>
          </w:p>
        </w:tc>
        <w:tc>
          <w:tcPr>
            <w:tcW w:w="63" w:type="dxa"/>
            <w:tcBorders/>
            <w:vAlign w:val="bottom"/>
          </w:tcPr>
          <w:p>
            <w:pPr>
              <w:pStyle w:val="TableContents"/>
              <w:bidi w:val="0"/>
              <w:spacing w:before="0" w:after="283"/>
              <w:jc w:val="left"/>
              <w:rPr/>
            </w:pPr>
            <w:r>
              <w:rPr/>
              <w:t> </w:t>
            </w:r>
          </w:p>
        </w:tc>
      </w:tr>
      <w:tr>
        <w:trPr>
          <w:trHeight w:val="120" w:hRule="atLeast"/>
        </w:trPr>
        <w:tc>
          <w:tcPr>
            <w:tcW w:w="9220" w:type="dxa"/>
            <w:gridSpan w:val="3"/>
            <w:tcBorders/>
            <w:vAlign w:val="center"/>
          </w:tcPr>
          <w:p>
            <w:pPr>
              <w:pStyle w:val="TableContents"/>
              <w:bidi w:val="0"/>
              <w:spacing w:before="0" w:after="283"/>
              <w:jc w:val="left"/>
              <w:rPr>
                <w:sz w:val="4"/>
                <w:szCs w:val="4"/>
              </w:rPr>
            </w:pPr>
            <w:r>
              <w:rPr>
                <w:sz w:val="4"/>
                <w:szCs w:val="4"/>
              </w:rPr>
            </w:r>
          </w:p>
        </w:tc>
        <w:tc>
          <w:tcPr>
            <w:tcW w:w="985" w:type="dxa"/>
            <w:gridSpan w:val="4"/>
            <w:tcBorders/>
            <w:vAlign w:val="center"/>
          </w:tcPr>
          <w:p>
            <w:pPr>
              <w:pStyle w:val="TableContents"/>
              <w:bidi w:val="0"/>
              <w:spacing w:before="0" w:after="283"/>
              <w:jc w:val="left"/>
              <w:rPr>
                <w:sz w:val="4"/>
                <w:szCs w:val="4"/>
              </w:rPr>
            </w:pPr>
            <w:r>
              <w:rPr>
                <w:sz w:val="4"/>
                <w:szCs w:val="4"/>
              </w:rPr>
            </w:r>
          </w:p>
        </w:tc>
      </w:tr>
      <w:tr>
        <w:trPr/>
        <w:tc>
          <w:tcPr>
            <w:tcW w:w="92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ADMINISTRATIVE AGENT AND OTHER AGENTS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212</w:t>
            </w:r>
            <w:r>
              <w:rPr>
                <w:color w:val="0000FF"/>
                <w:u w:val="single"/>
                <w:bdr w:val="double" w:sz="2" w:space="1" w:color="000000"/>
              </w:rPr>
              <w:t>223</w:t>
            </w:r>
          </w:p>
        </w:tc>
        <w:tc>
          <w:tcPr>
            <w:tcW w:w="63" w:type="dxa"/>
            <w:tcBorders/>
            <w:vAlign w:val="bottom"/>
          </w:tcPr>
          <w:p>
            <w:pPr>
              <w:pStyle w:val="TableContents"/>
              <w:bidi w:val="0"/>
              <w:spacing w:before="0" w:after="283"/>
              <w:jc w:val="left"/>
              <w:rPr/>
            </w:pPr>
            <w:r>
              <w:rPr/>
              <w:t> </w:t>
            </w:r>
          </w:p>
        </w:tc>
      </w:tr>
      <w:tr>
        <w:trPr>
          <w:trHeight w:val="120" w:hRule="atLeast"/>
        </w:trPr>
        <w:tc>
          <w:tcPr>
            <w:tcW w:w="976"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985" w:type="dxa"/>
            <w:gridSpan w:val="4"/>
            <w:tcBorders/>
            <w:vAlign w:val="center"/>
          </w:tcPr>
          <w:p>
            <w:pPr>
              <w:pStyle w:val="TableContents"/>
              <w:bidi w:val="0"/>
              <w:spacing w:before="0" w:after="283"/>
              <w:jc w:val="left"/>
              <w:rPr>
                <w:sz w:val="4"/>
                <w:szCs w:val="4"/>
              </w:rPr>
            </w:pPr>
            <w:r>
              <w:rPr>
                <w:sz w:val="4"/>
                <w:szCs w:val="4"/>
              </w:rPr>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Appointment and Authority of the Administrative Agent and Collateral Agent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212</w:t>
            </w:r>
            <w:r>
              <w:rPr>
                <w:color w:val="0000FF"/>
                <w:u w:val="single"/>
                <w:bdr w:val="double" w:sz="2" w:space="1" w:color="000000"/>
              </w:rPr>
              <w:t>223</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Rights as a Lender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213</w:t>
            </w:r>
            <w:r>
              <w:rPr>
                <w:color w:val="0000FF"/>
                <w:u w:val="single"/>
                <w:bdr w:val="double" w:sz="2" w:space="1" w:color="000000"/>
              </w:rPr>
              <w:t>224</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Exculpatory Provisions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214</w:t>
            </w:r>
            <w:r>
              <w:rPr>
                <w:color w:val="0000FF"/>
                <w:u w:val="single"/>
                <w:bdr w:val="double" w:sz="2" w:space="1" w:color="000000"/>
              </w:rPr>
              <w:t>224</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Reliance by the Agents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215</w:t>
            </w:r>
            <w:r>
              <w:rPr>
                <w:color w:val="0000FF"/>
                <w:u w:val="single"/>
                <w:bdr w:val="double" w:sz="2" w:space="1" w:color="000000"/>
              </w:rPr>
              <w:t>226</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Delegation of Duties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216</w:t>
            </w:r>
            <w:r>
              <w:rPr>
                <w:color w:val="0000FF"/>
                <w:u w:val="single"/>
                <w:bdr w:val="double" w:sz="2" w:space="1" w:color="000000"/>
              </w:rPr>
              <w:t>226</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Non-Reliance on Agents and Other Lenders; Disclosure of Information by Agents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217</w:t>
            </w:r>
            <w:r>
              <w:rPr>
                <w:color w:val="0000FF"/>
                <w:u w:val="single"/>
                <w:bdr w:val="double" w:sz="2" w:space="1" w:color="000000"/>
              </w:rPr>
              <w:t>227</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Indemnification of Agents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217</w:t>
            </w:r>
            <w:r>
              <w:rPr>
                <w:color w:val="0000FF"/>
                <w:u w:val="single"/>
                <w:bdr w:val="double" w:sz="2" w:space="1" w:color="000000"/>
              </w:rPr>
              <w:t>228</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No Other Duties; Other Agents, Lead Arrangers, Etc.</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218</w:t>
            </w:r>
            <w:r>
              <w:rPr>
                <w:color w:val="0000FF"/>
                <w:u w:val="single"/>
                <w:bdr w:val="double" w:sz="2" w:space="1" w:color="000000"/>
              </w:rPr>
              <w:t>229</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Resignation of Agent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219</w:t>
            </w:r>
            <w:r>
              <w:rPr>
                <w:color w:val="0000FF"/>
                <w:u w:val="single"/>
                <w:bdr w:val="double" w:sz="2" w:space="1" w:color="000000"/>
              </w:rPr>
              <w:t>229</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Administrative Agent May File Proofs of Claim; Credit Bidding</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220</w:t>
            </w:r>
            <w:r>
              <w:rPr>
                <w:color w:val="0000FF"/>
                <w:u w:val="single"/>
                <w:bdr w:val="double" w:sz="2" w:space="1" w:color="000000"/>
              </w:rPr>
              <w:t>230</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Collateral and Guaranty Matters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221</w:t>
            </w:r>
            <w:r>
              <w:rPr>
                <w:color w:val="0000FF"/>
                <w:u w:val="single"/>
                <w:bdr w:val="double" w:sz="2" w:space="1" w:color="000000"/>
              </w:rPr>
              <w:t>232</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Appointment of Supplemental Administrative Agents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225</w:t>
            </w:r>
            <w:r>
              <w:rPr>
                <w:color w:val="0000FF"/>
                <w:u w:val="single"/>
                <w:bdr w:val="double" w:sz="2" w:space="1" w:color="000000"/>
              </w:rPr>
              <w:t>236</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Intercreditor Agreements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226</w:t>
            </w:r>
            <w:r>
              <w:rPr>
                <w:color w:val="0000FF"/>
                <w:u w:val="single"/>
                <w:bdr w:val="double" w:sz="2" w:space="1" w:color="000000"/>
              </w:rPr>
              <w:t>237</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Cash Management Agreements and Hedge Agreements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227</w:t>
            </w:r>
            <w:r>
              <w:rPr>
                <w:color w:val="0000FF"/>
                <w:u w:val="single"/>
                <w:bdr w:val="double" w:sz="2" w:space="1" w:color="000000"/>
              </w:rPr>
              <w:t>238</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Withholding Taxes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227</w:t>
            </w:r>
            <w:r>
              <w:rPr>
                <w:color w:val="0000FF"/>
                <w:u w:val="single"/>
                <w:bdr w:val="double" w:sz="2" w:space="1" w:color="000000"/>
              </w:rPr>
              <w:t>238</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Certain ERISA Matters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227</w:t>
            </w:r>
            <w:r>
              <w:rPr>
                <w:color w:val="0000FF"/>
                <w:u w:val="single"/>
                <w:bdr w:val="double" w:sz="2" w:space="1" w:color="000000"/>
              </w:rPr>
              <w:t>238</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Erroneous Payments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229</w:t>
            </w:r>
            <w:r>
              <w:rPr>
                <w:color w:val="0000FF"/>
                <w:u w:val="single"/>
                <w:bdr w:val="double" w:sz="2" w:space="1" w:color="000000"/>
              </w:rPr>
              <w:t>239</w:t>
            </w:r>
          </w:p>
        </w:tc>
        <w:tc>
          <w:tcPr>
            <w:tcW w:w="63" w:type="dxa"/>
            <w:tcBorders/>
            <w:vAlign w:val="bottom"/>
          </w:tcPr>
          <w:p>
            <w:pPr>
              <w:pStyle w:val="TableContents"/>
              <w:bidi w:val="0"/>
              <w:spacing w:before="0" w:after="283"/>
              <w:jc w:val="left"/>
              <w:rPr/>
            </w:pPr>
            <w:r>
              <w:rPr/>
              <w:t> </w:t>
            </w:r>
          </w:p>
        </w:tc>
      </w:tr>
      <w:tr>
        <w:trPr>
          <w:trHeight w:val="120" w:hRule="atLeast"/>
        </w:trPr>
        <w:tc>
          <w:tcPr>
            <w:tcW w:w="9220" w:type="dxa"/>
            <w:gridSpan w:val="3"/>
            <w:tcBorders/>
            <w:vAlign w:val="center"/>
          </w:tcPr>
          <w:p>
            <w:pPr>
              <w:pStyle w:val="TableContents"/>
              <w:bidi w:val="0"/>
              <w:spacing w:before="0" w:after="283"/>
              <w:jc w:val="left"/>
              <w:rPr>
                <w:sz w:val="4"/>
                <w:szCs w:val="4"/>
              </w:rPr>
            </w:pPr>
            <w:r>
              <w:rPr>
                <w:sz w:val="4"/>
                <w:szCs w:val="4"/>
              </w:rPr>
            </w:r>
          </w:p>
        </w:tc>
        <w:tc>
          <w:tcPr>
            <w:tcW w:w="985" w:type="dxa"/>
            <w:gridSpan w:val="4"/>
            <w:tcBorders/>
            <w:vAlign w:val="center"/>
          </w:tcPr>
          <w:p>
            <w:pPr>
              <w:pStyle w:val="TableContents"/>
              <w:bidi w:val="0"/>
              <w:spacing w:before="0" w:after="283"/>
              <w:jc w:val="left"/>
              <w:rPr>
                <w:sz w:val="4"/>
                <w:szCs w:val="4"/>
              </w:rPr>
            </w:pPr>
            <w:r>
              <w:rPr>
                <w:sz w:val="4"/>
                <w:szCs w:val="4"/>
              </w:rPr>
            </w:r>
          </w:p>
        </w:tc>
      </w:tr>
      <w:tr>
        <w:trPr/>
        <w:tc>
          <w:tcPr>
            <w:tcW w:w="92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MISCELLANEOUS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231</w:t>
            </w:r>
            <w:r>
              <w:rPr>
                <w:color w:val="0000FF"/>
                <w:u w:val="single"/>
                <w:bdr w:val="double" w:sz="2" w:space="1" w:color="000000"/>
              </w:rPr>
              <w:t>242</w:t>
            </w:r>
          </w:p>
        </w:tc>
        <w:tc>
          <w:tcPr>
            <w:tcW w:w="63" w:type="dxa"/>
            <w:tcBorders/>
            <w:vAlign w:val="bottom"/>
          </w:tcPr>
          <w:p>
            <w:pPr>
              <w:pStyle w:val="TableContents"/>
              <w:bidi w:val="0"/>
              <w:spacing w:before="0" w:after="283"/>
              <w:jc w:val="left"/>
              <w:rPr/>
            </w:pPr>
            <w:r>
              <w:rPr/>
              <w:t> </w:t>
            </w:r>
          </w:p>
        </w:tc>
      </w:tr>
      <w:tr>
        <w:trPr>
          <w:trHeight w:val="120" w:hRule="atLeast"/>
        </w:trPr>
        <w:tc>
          <w:tcPr>
            <w:tcW w:w="976"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985" w:type="dxa"/>
            <w:gridSpan w:val="4"/>
            <w:tcBorders/>
            <w:vAlign w:val="center"/>
          </w:tcPr>
          <w:p>
            <w:pPr>
              <w:pStyle w:val="TableContents"/>
              <w:bidi w:val="0"/>
              <w:spacing w:before="0" w:after="283"/>
              <w:jc w:val="left"/>
              <w:rPr>
                <w:sz w:val="4"/>
                <w:szCs w:val="4"/>
              </w:rPr>
            </w:pPr>
            <w:r>
              <w:rPr>
                <w:sz w:val="4"/>
                <w:szCs w:val="4"/>
              </w:rPr>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Amendments, Waivers, Etc.</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231</w:t>
            </w:r>
            <w:r>
              <w:rPr>
                <w:color w:val="0000FF"/>
                <w:u w:val="single"/>
                <w:bdr w:val="double" w:sz="2" w:space="1" w:color="000000"/>
              </w:rPr>
              <w:t>242</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Notices and Other Communications; Facsimile Copies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235</w:t>
            </w:r>
            <w:r>
              <w:rPr>
                <w:color w:val="0000FF"/>
                <w:u w:val="single"/>
                <w:bdr w:val="double" w:sz="2" w:space="1" w:color="000000"/>
              </w:rPr>
              <w:t>246</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No Waiver; Cumulative Remedies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237</w:t>
            </w:r>
            <w:r>
              <w:rPr>
                <w:color w:val="0000FF"/>
                <w:u w:val="single"/>
                <w:bdr w:val="double" w:sz="2" w:space="1" w:color="000000"/>
              </w:rPr>
              <w:t>249</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Attorney Costs and Expenses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238</w:t>
            </w:r>
            <w:r>
              <w:rPr>
                <w:color w:val="0000FF"/>
                <w:u w:val="single"/>
                <w:bdr w:val="double" w:sz="2" w:space="1" w:color="000000"/>
              </w:rPr>
              <w:t>249</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Indemnification by the Borrower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239</w:t>
            </w:r>
            <w:r>
              <w:rPr>
                <w:color w:val="0000FF"/>
                <w:u w:val="single"/>
                <w:bdr w:val="double" w:sz="2" w:space="1" w:color="000000"/>
              </w:rPr>
              <w:t>250</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Marshaling; Payments Set Aside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240</w:t>
            </w:r>
            <w:r>
              <w:rPr>
                <w:color w:val="0000FF"/>
                <w:u w:val="single"/>
                <w:bdr w:val="double" w:sz="2" w:space="1" w:color="000000"/>
              </w:rPr>
              <w:t>252</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Successors and Assigns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241</w:t>
            </w:r>
            <w:r>
              <w:rPr>
                <w:color w:val="0000FF"/>
                <w:u w:val="single"/>
                <w:bdr w:val="double" w:sz="2" w:space="1" w:color="000000"/>
              </w:rPr>
              <w:t>252</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Confidentiality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247</w:t>
            </w:r>
            <w:r>
              <w:rPr>
                <w:color w:val="0000FF"/>
                <w:u w:val="single"/>
                <w:bdr w:val="double" w:sz="2" w:space="1" w:color="000000"/>
              </w:rPr>
              <w:t>259</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Set-off</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249</w:t>
            </w:r>
            <w:r>
              <w:rPr>
                <w:color w:val="0000FF"/>
                <w:u w:val="single"/>
                <w:bdr w:val="double" w:sz="2" w:space="1" w:color="000000"/>
              </w:rPr>
              <w:t>261</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Interest Rate Limitation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250</w:t>
            </w:r>
            <w:r>
              <w:rPr>
                <w:color w:val="0000FF"/>
                <w:u w:val="single"/>
                <w:bdr w:val="double" w:sz="2" w:space="1" w:color="000000"/>
              </w:rPr>
              <w:t>262</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Counterparts; Integration; Effectiveness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250</w:t>
            </w:r>
            <w:r>
              <w:rPr>
                <w:color w:val="0000FF"/>
                <w:u w:val="single"/>
                <w:bdr w:val="double" w:sz="2" w:space="1" w:color="000000"/>
              </w:rPr>
              <w:t>262</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Electronic Execution of Assignments and Certain Other Documents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251</w:t>
            </w:r>
            <w:r>
              <w:rPr>
                <w:color w:val="0000FF"/>
                <w:u w:val="single"/>
                <w:bdr w:val="double" w:sz="2" w:space="1" w:color="000000"/>
              </w:rPr>
              <w:t>263</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11.13</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Survival</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251</w:t>
            </w:r>
            <w:r>
              <w:rPr>
                <w:color w:val="0000FF"/>
                <w:u w:val="single"/>
                <w:bdr w:val="double" w:sz="2" w:space="1" w:color="000000"/>
              </w:rPr>
              <w:t>263</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11.14</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Severability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251</w:t>
            </w:r>
            <w:r>
              <w:rPr>
                <w:color w:val="0000FF"/>
                <w:u w:val="single"/>
                <w:bdr w:val="double" w:sz="2" w:space="1" w:color="000000"/>
              </w:rPr>
              <w:t>263</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11.15</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GOVERNING LAW</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251</w:t>
            </w:r>
            <w:r>
              <w:rPr>
                <w:color w:val="0000FF"/>
                <w:u w:val="single"/>
                <w:bdr w:val="double" w:sz="2" w:space="1" w:color="000000"/>
              </w:rPr>
              <w:t>264</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11.16</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WAIVER OF RIGHT TO TRIAL BY JURY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253</w:t>
            </w:r>
            <w:r>
              <w:rPr>
                <w:color w:val="0000FF"/>
                <w:u w:val="single"/>
                <w:bdr w:val="double" w:sz="2" w:space="1" w:color="000000"/>
              </w:rPr>
              <w:t>265</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11.17</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Limitation of Liability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253</w:t>
            </w:r>
            <w:r>
              <w:rPr>
                <w:color w:val="0000FF"/>
                <w:u w:val="single"/>
                <w:bdr w:val="double" w:sz="2" w:space="1" w:color="000000"/>
              </w:rPr>
              <w:t>266</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11.18</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Use of Name, Logo, Etc.</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254</w:t>
            </w:r>
            <w:r>
              <w:rPr>
                <w:color w:val="0000FF"/>
                <w:u w:val="single"/>
                <w:bdr w:val="double" w:sz="2" w:space="1" w:color="000000"/>
              </w:rPr>
              <w:t>266</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11.19</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USA PATRIOT Act Notice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254</w:t>
            </w:r>
            <w:r>
              <w:rPr>
                <w:color w:val="0000FF"/>
                <w:u w:val="single"/>
                <w:bdr w:val="double" w:sz="2" w:space="1" w:color="000000"/>
              </w:rPr>
              <w:t>266</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11.20</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Force Majeure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254</w:t>
            </w:r>
            <w:r>
              <w:rPr>
                <w:color w:val="0000FF"/>
                <w:u w:val="single"/>
                <w:bdr w:val="double" w:sz="2" w:space="1" w:color="000000"/>
              </w:rPr>
              <w:t>266</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11.21</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Collateral Agent Merger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254</w:t>
            </w:r>
            <w:r>
              <w:rPr>
                <w:color w:val="0000FF"/>
                <w:u w:val="single"/>
                <w:bdr w:val="double" w:sz="2" w:space="1" w:color="000000"/>
              </w:rPr>
              <w:t>267</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11.22</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Service of Process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254</w:t>
            </w:r>
            <w:r>
              <w:rPr>
                <w:color w:val="0000FF"/>
                <w:u w:val="single"/>
                <w:bdr w:val="double" w:sz="2" w:space="1" w:color="000000"/>
              </w:rPr>
              <w:t>267</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11.23</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No Advisory or Fiduciary Responsibility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255</w:t>
            </w:r>
            <w:r>
              <w:rPr>
                <w:color w:val="0000FF"/>
                <w:u w:val="single"/>
                <w:bdr w:val="double" w:sz="2" w:space="1" w:color="000000"/>
              </w:rPr>
              <w:t>267</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11.24</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Binding Effect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255</w:t>
            </w:r>
            <w:r>
              <w:rPr>
                <w:color w:val="0000FF"/>
                <w:u w:val="single"/>
                <w:bdr w:val="double" w:sz="2" w:space="1" w:color="000000"/>
              </w:rPr>
              <w:t>268</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11.25</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Obligations Several; Independent Nature of Lender’s Rights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255</w:t>
            </w:r>
            <w:r>
              <w:rPr>
                <w:color w:val="0000FF"/>
                <w:u w:val="single"/>
                <w:bdr w:val="double" w:sz="2" w:space="1" w:color="000000"/>
              </w:rPr>
              <w:t>268</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11.26</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Headings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256</w:t>
            </w:r>
            <w:r>
              <w:rPr>
                <w:color w:val="0000FF"/>
                <w:u w:val="single"/>
                <w:bdr w:val="double" w:sz="2" w:space="1" w:color="000000"/>
              </w:rPr>
              <w:t>268</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11.27</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Acknowledgement and Consent to Bail-In of Affected Financial Institutions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256</w:t>
            </w:r>
            <w:r>
              <w:rPr>
                <w:color w:val="0000FF"/>
                <w:u w:val="single"/>
                <w:bdr w:val="double" w:sz="2" w:space="1" w:color="000000"/>
              </w:rPr>
              <w:t>268</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11.28</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Acknowledgment Regarding Any Supported QFCs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256</w:t>
            </w:r>
            <w:r>
              <w:rPr>
                <w:color w:val="0000FF"/>
                <w:u w:val="single"/>
                <w:bdr w:val="double" w:sz="2" w:space="1" w:color="000000"/>
              </w:rPr>
              <w:t>269</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11.29</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[Reserved]</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257</w:t>
            </w:r>
            <w:r>
              <w:rPr>
                <w:color w:val="0000FF"/>
                <w:u w:val="single"/>
                <w:bdr w:val="double" w:sz="2" w:space="1" w:color="000000"/>
              </w:rPr>
              <w:t>269</w:t>
            </w:r>
          </w:p>
        </w:tc>
        <w:tc>
          <w:tcPr>
            <w:tcW w:w="63" w:type="dxa"/>
            <w:tcBorders/>
            <w:vAlign w:val="bottom"/>
          </w:tcPr>
          <w:p>
            <w:pPr>
              <w:pStyle w:val="TableContents"/>
              <w:bidi w:val="0"/>
              <w:spacing w:before="0" w:after="283"/>
              <w:jc w:val="left"/>
              <w:rPr/>
            </w:pPr>
            <w:r>
              <w:rPr/>
              <w:t> </w:t>
            </w:r>
          </w:p>
        </w:tc>
      </w:tr>
      <w:tr>
        <w:trPr/>
        <w:tc>
          <w:tcPr>
            <w:tcW w:w="976" w:type="dxa"/>
            <w:tcBorders/>
          </w:tcPr>
          <w:p>
            <w:pPr>
              <w:pStyle w:val="TableContents"/>
              <w:bidi w:val="0"/>
              <w:spacing w:before="0" w:after="0"/>
              <w:jc w:val="left"/>
              <w:rPr>
                <w:rFonts w:ascii="Times New Roman" w:hAnsi="Times New Roman"/>
                <w:sz w:val="20"/>
              </w:rPr>
            </w:pPr>
            <w:r>
              <w:rPr>
                <w:rFonts w:ascii="Times New Roman" w:hAnsi="Times New Roman"/>
                <w:sz w:val="20"/>
              </w:rPr>
              <w:t>SECTION 11.30</w:t>
            </w:r>
          </w:p>
        </w:tc>
        <w:tc>
          <w:tcPr>
            <w:tcW w:w="69" w:type="dxa"/>
            <w:tcBorders/>
            <w:vAlign w:val="bottom"/>
          </w:tcPr>
          <w:p>
            <w:pPr>
              <w:pStyle w:val="TableContents"/>
              <w:bidi w:val="0"/>
              <w:spacing w:before="0" w:after="283"/>
              <w:jc w:val="left"/>
              <w:rPr/>
            </w:pPr>
            <w:r>
              <w:rPr/>
              <w:t> </w:t>
            </w:r>
          </w:p>
        </w:tc>
        <w:tc>
          <w:tcPr>
            <w:tcW w:w="8175" w:type="dxa"/>
            <w:tcBorders/>
            <w:vAlign w:val="bottom"/>
          </w:tcPr>
          <w:p>
            <w:pPr>
              <w:pStyle w:val="TableContents"/>
              <w:bidi w:val="0"/>
              <w:spacing w:before="0" w:after="283"/>
              <w:jc w:val="left"/>
              <w:rPr/>
            </w:pPr>
            <w:r>
              <w:rPr/>
              <w:t>Disqualified Lenders and Net Short Positions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257</w:t>
            </w:r>
            <w:r>
              <w:rPr>
                <w:color w:val="0000FF"/>
                <w:u w:val="single"/>
                <w:bdr w:val="double" w:sz="2" w:space="1" w:color="000000"/>
              </w:rPr>
              <w:t>269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0"/>
        <w:gridCol w:w="122"/>
        <w:gridCol w:w="8503"/>
      </w:tblGrid>
      <w:tr>
        <w:trPr/>
        <w:tc>
          <w:tcPr>
            <w:tcW w:w="158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503" w:type="dxa"/>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283"/>
              <w:jc w:val="left"/>
              <w:rPr/>
            </w:pPr>
            <w:r>
              <w:rPr/>
              <w:t>1.01(a)</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Existing Letters of Credit</w:t>
            </w:r>
          </w:p>
        </w:tc>
      </w:tr>
      <w:tr>
        <w:trPr/>
        <w:tc>
          <w:tcPr>
            <w:tcW w:w="1580" w:type="dxa"/>
            <w:tcBorders/>
          </w:tcPr>
          <w:p>
            <w:pPr>
              <w:pStyle w:val="TableContents"/>
              <w:bidi w:val="0"/>
              <w:spacing w:before="0" w:after="283"/>
              <w:jc w:val="left"/>
              <w:rPr/>
            </w:pPr>
            <w:r>
              <w:rPr/>
              <w:t>2.01</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Commitments</w:t>
            </w:r>
          </w:p>
        </w:tc>
      </w:tr>
      <w:tr>
        <w:trPr/>
        <w:tc>
          <w:tcPr>
            <w:tcW w:w="1580" w:type="dxa"/>
            <w:tcBorders/>
          </w:tcPr>
          <w:p>
            <w:pPr>
              <w:pStyle w:val="TableContents"/>
              <w:bidi w:val="0"/>
              <w:spacing w:before="0" w:after="283"/>
              <w:jc w:val="left"/>
              <w:rPr/>
            </w:pPr>
            <w:r>
              <w:rPr/>
              <w:t>5.06</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Litigation</w:t>
            </w:r>
          </w:p>
        </w:tc>
      </w:tr>
      <w:tr>
        <w:trPr/>
        <w:tc>
          <w:tcPr>
            <w:tcW w:w="1580" w:type="dxa"/>
            <w:tcBorders/>
          </w:tcPr>
          <w:p>
            <w:pPr>
              <w:pStyle w:val="TableContents"/>
              <w:bidi w:val="0"/>
              <w:spacing w:before="0" w:after="283"/>
              <w:jc w:val="left"/>
              <w:rPr/>
            </w:pPr>
            <w:r>
              <w:rPr/>
              <w:t>5.07</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Labor Matters</w:t>
            </w:r>
          </w:p>
        </w:tc>
      </w:tr>
      <w:tr>
        <w:trPr/>
        <w:tc>
          <w:tcPr>
            <w:tcW w:w="1580" w:type="dxa"/>
            <w:tcBorders/>
          </w:tcPr>
          <w:p>
            <w:pPr>
              <w:pStyle w:val="TableContents"/>
              <w:bidi w:val="0"/>
              <w:spacing w:before="0" w:after="283"/>
              <w:jc w:val="left"/>
              <w:rPr/>
            </w:pPr>
            <w:r>
              <w:rPr/>
              <w:t>5.11(a)</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ERISA Compliance</w:t>
            </w:r>
          </w:p>
        </w:tc>
      </w:tr>
      <w:tr>
        <w:trPr/>
        <w:tc>
          <w:tcPr>
            <w:tcW w:w="1580" w:type="dxa"/>
            <w:tcBorders/>
          </w:tcPr>
          <w:p>
            <w:pPr>
              <w:pStyle w:val="TableContents"/>
              <w:bidi w:val="0"/>
              <w:spacing w:before="0" w:after="283"/>
              <w:jc w:val="left"/>
              <w:rPr/>
            </w:pPr>
            <w:r>
              <w:rPr/>
              <w:t>5.11(b)</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ERISA Compliance</w:t>
            </w:r>
          </w:p>
        </w:tc>
      </w:tr>
      <w:tr>
        <w:trPr/>
        <w:tc>
          <w:tcPr>
            <w:tcW w:w="1580" w:type="dxa"/>
            <w:tcBorders/>
          </w:tcPr>
          <w:p>
            <w:pPr>
              <w:pStyle w:val="TableContents"/>
              <w:bidi w:val="0"/>
              <w:spacing w:before="0" w:after="283"/>
              <w:jc w:val="left"/>
              <w:rPr/>
            </w:pPr>
            <w:r>
              <w:rPr/>
              <w:t>5.12</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Subsidiaries</w:t>
            </w:r>
          </w:p>
        </w:tc>
      </w:tr>
      <w:tr>
        <w:trPr/>
        <w:tc>
          <w:tcPr>
            <w:tcW w:w="1580" w:type="dxa"/>
            <w:tcBorders/>
          </w:tcPr>
          <w:p>
            <w:pPr>
              <w:pStyle w:val="TableContents"/>
              <w:bidi w:val="0"/>
              <w:spacing w:before="0" w:after="283"/>
              <w:jc w:val="left"/>
              <w:rPr/>
            </w:pPr>
            <w:r>
              <w:rPr/>
              <w:t>5.15</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Properties; Title</w:t>
            </w:r>
          </w:p>
        </w:tc>
      </w:tr>
      <w:tr>
        <w:trPr/>
        <w:tc>
          <w:tcPr>
            <w:tcW w:w="1580" w:type="dxa"/>
            <w:tcBorders/>
          </w:tcPr>
          <w:p>
            <w:pPr>
              <w:pStyle w:val="TableContents"/>
              <w:bidi w:val="0"/>
              <w:spacing w:before="0" w:after="283"/>
              <w:jc w:val="left"/>
              <w:rPr/>
            </w:pPr>
            <w:r>
              <w:rPr/>
              <w:t>6.07</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Material Insurance</w:t>
            </w:r>
          </w:p>
        </w:tc>
      </w:tr>
      <w:tr>
        <w:trPr/>
        <w:tc>
          <w:tcPr>
            <w:tcW w:w="1580" w:type="dxa"/>
            <w:tcBorders/>
          </w:tcPr>
          <w:p>
            <w:pPr>
              <w:pStyle w:val="TableContents"/>
              <w:bidi w:val="0"/>
              <w:spacing w:before="0" w:after="283"/>
              <w:jc w:val="left"/>
              <w:rPr/>
            </w:pPr>
            <w:r>
              <w:rPr/>
              <w:t>6.15</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Post-Closing Matters</w:t>
            </w:r>
          </w:p>
        </w:tc>
      </w:tr>
      <w:tr>
        <w:trPr/>
        <w:tc>
          <w:tcPr>
            <w:tcW w:w="1580" w:type="dxa"/>
            <w:tcBorders/>
          </w:tcPr>
          <w:p>
            <w:pPr>
              <w:pStyle w:val="TableContents"/>
              <w:bidi w:val="0"/>
              <w:spacing w:before="0" w:after="283"/>
              <w:jc w:val="left"/>
              <w:rPr/>
            </w:pPr>
            <w:r>
              <w:rPr/>
              <w:t>6.19(k)</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Vessel Collateral Insurance</w:t>
            </w:r>
          </w:p>
        </w:tc>
      </w:tr>
      <w:tr>
        <w:trPr/>
        <w:tc>
          <w:tcPr>
            <w:tcW w:w="1580" w:type="dxa"/>
            <w:tcBorders/>
          </w:tcPr>
          <w:p>
            <w:pPr>
              <w:pStyle w:val="TableContents"/>
              <w:bidi w:val="0"/>
              <w:spacing w:before="0" w:after="283"/>
              <w:jc w:val="left"/>
              <w:rPr/>
            </w:pPr>
            <w:r>
              <w:rPr/>
              <w:t>7.01(c)</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Existing Liens</w:t>
            </w:r>
          </w:p>
        </w:tc>
      </w:tr>
      <w:tr>
        <w:trPr/>
        <w:tc>
          <w:tcPr>
            <w:tcW w:w="1580" w:type="dxa"/>
            <w:tcBorders/>
          </w:tcPr>
          <w:p>
            <w:pPr>
              <w:pStyle w:val="TableContents"/>
              <w:bidi w:val="0"/>
              <w:spacing w:before="0" w:after="283"/>
              <w:jc w:val="left"/>
              <w:rPr/>
            </w:pPr>
            <w:r>
              <w:rPr/>
              <w:t>7.03(c)</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Existing Indebtedness</w:t>
            </w:r>
          </w:p>
        </w:tc>
      </w:tr>
      <w:tr>
        <w:trPr/>
        <w:tc>
          <w:tcPr>
            <w:tcW w:w="1580" w:type="dxa"/>
            <w:tcBorders/>
          </w:tcPr>
          <w:p>
            <w:pPr>
              <w:pStyle w:val="TableContents"/>
              <w:bidi w:val="0"/>
              <w:spacing w:before="0" w:after="283"/>
              <w:jc w:val="left"/>
              <w:rPr/>
            </w:pPr>
            <w:r>
              <w:rPr/>
              <w:t>11.02</w:t>
            </w:r>
          </w:p>
        </w:tc>
        <w:tc>
          <w:tcPr>
            <w:tcW w:w="122" w:type="dxa"/>
            <w:tcBorders/>
            <w:vAlign w:val="bottom"/>
          </w:tcPr>
          <w:p>
            <w:pPr>
              <w:pStyle w:val="TableContents"/>
              <w:bidi w:val="0"/>
              <w:spacing w:before="0" w:after="283"/>
              <w:jc w:val="left"/>
              <w:rPr/>
            </w:pPr>
            <w:r>
              <w:rPr/>
              <w:t>  </w:t>
            </w:r>
          </w:p>
        </w:tc>
        <w:tc>
          <w:tcPr>
            <w:tcW w:w="8503" w:type="dxa"/>
            <w:tcBorders/>
          </w:tcPr>
          <w:p>
            <w:pPr>
              <w:pStyle w:val="TableContents"/>
              <w:bidi w:val="0"/>
              <w:spacing w:before="0" w:after="283"/>
              <w:jc w:val="left"/>
              <w:rPr/>
            </w:pPr>
            <w:r>
              <w:rPr/>
              <w:t>Administrative Agent’s Office, Certain Addresses for Notices</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2"/>
        <w:gridCol w:w="122"/>
        <w:gridCol w:w="8551"/>
      </w:tblGrid>
      <w:tr>
        <w:trPr/>
        <w:tc>
          <w:tcPr>
            <w:tcW w:w="153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551" w:type="dxa"/>
            <w:tcBorders/>
            <w:vAlign w:val="center"/>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i/>
              </w:rPr>
            </w:pPr>
            <w:r>
              <w:rPr>
                <w:i/>
              </w:rPr>
              <w:t>Form of</w:t>
            </w:r>
          </w:p>
        </w:tc>
      </w:tr>
      <w:tr>
        <w:trPr>
          <w:trHeight w:val="240" w:hRule="atLeast"/>
        </w:trPr>
        <w:tc>
          <w:tcPr>
            <w:tcW w:w="1532" w:type="dxa"/>
            <w:tcBorders/>
            <w:vAlign w:val="center"/>
          </w:tcPr>
          <w:p>
            <w:pPr>
              <w:pStyle w:val="TableContents"/>
              <w:bidi w:val="0"/>
              <w:spacing w:before="0" w:after="283"/>
              <w:jc w:val="left"/>
              <w:rPr>
                <w:sz w:val="4"/>
                <w:szCs w:val="4"/>
              </w:rPr>
            </w:pPr>
            <w:r>
              <w:rPr>
                <w:sz w:val="4"/>
                <w:szCs w:val="4"/>
              </w:rPr>
            </w:r>
          </w:p>
        </w:tc>
        <w:tc>
          <w:tcPr>
            <w:tcW w:w="8673" w:type="dxa"/>
            <w:gridSpan w:val="2"/>
            <w:tcBorders/>
            <w:vAlign w:val="center"/>
          </w:tcPr>
          <w:p>
            <w:pPr>
              <w:pStyle w:val="TableContents"/>
              <w:bidi w:val="0"/>
              <w:spacing w:before="0" w:after="283"/>
              <w:jc w:val="left"/>
              <w:rPr>
                <w:sz w:val="4"/>
                <w:szCs w:val="4"/>
              </w:rPr>
            </w:pPr>
            <w:r>
              <w:rPr>
                <w:sz w:val="4"/>
                <w:szCs w:val="4"/>
              </w:rPr>
            </w:r>
          </w:p>
        </w:tc>
      </w:tr>
      <w:tr>
        <w:trPr/>
        <w:tc>
          <w:tcPr>
            <w:tcW w:w="1532" w:type="dxa"/>
            <w:tcBorders/>
          </w:tcPr>
          <w:p>
            <w:pPr>
              <w:pStyle w:val="TableContents"/>
              <w:bidi w:val="0"/>
              <w:spacing w:before="0" w:after="283"/>
              <w:jc w:val="left"/>
              <w:rPr/>
            </w:pPr>
            <w:r>
              <w:rPr/>
              <w:t>A-1</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Committed Loan Notice</w:t>
            </w:r>
          </w:p>
        </w:tc>
      </w:tr>
      <w:tr>
        <w:trPr/>
        <w:tc>
          <w:tcPr>
            <w:tcW w:w="1532" w:type="dxa"/>
            <w:tcBorders/>
          </w:tcPr>
          <w:p>
            <w:pPr>
              <w:pStyle w:val="TableContents"/>
              <w:bidi w:val="0"/>
              <w:spacing w:before="0" w:after="283"/>
              <w:jc w:val="left"/>
              <w:rPr/>
            </w:pPr>
            <w:r>
              <w:rPr/>
              <w:t>A-2</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Issuance Notice</w:t>
            </w:r>
          </w:p>
        </w:tc>
      </w:tr>
      <w:tr>
        <w:trPr/>
        <w:tc>
          <w:tcPr>
            <w:tcW w:w="1532" w:type="dxa"/>
            <w:tcBorders/>
          </w:tcPr>
          <w:p>
            <w:pPr>
              <w:pStyle w:val="TableContents"/>
              <w:bidi w:val="0"/>
              <w:spacing w:before="0" w:after="283"/>
              <w:jc w:val="left"/>
              <w:rPr/>
            </w:pPr>
            <w:r>
              <w:rPr/>
              <w:t>A-3</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Conversion/Continuation Notice</w:t>
            </w:r>
          </w:p>
        </w:tc>
      </w:tr>
      <w:tr>
        <w:trPr/>
        <w:tc>
          <w:tcPr>
            <w:tcW w:w="1532"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Revolving Loan Note</w:t>
            </w:r>
          </w:p>
        </w:tc>
      </w:tr>
      <w:tr>
        <w:trPr/>
        <w:tc>
          <w:tcPr>
            <w:tcW w:w="1532"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Compliance Certificate</w:t>
            </w:r>
          </w:p>
        </w:tc>
      </w:tr>
      <w:tr>
        <w:trPr/>
        <w:tc>
          <w:tcPr>
            <w:tcW w:w="1532" w:type="dxa"/>
            <w:tcBorders/>
          </w:tcPr>
          <w:p>
            <w:pPr>
              <w:pStyle w:val="TableContents"/>
              <w:bidi w:val="0"/>
              <w:spacing w:before="0" w:after="283"/>
              <w:jc w:val="left"/>
              <w:rPr/>
            </w:pPr>
            <w:r>
              <w:rPr/>
              <w:t>D</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Assignment and Assumption</w:t>
            </w:r>
          </w:p>
        </w:tc>
      </w:tr>
      <w:tr>
        <w:trPr/>
        <w:tc>
          <w:tcPr>
            <w:tcW w:w="1532" w:type="dxa"/>
            <w:tcBorders/>
          </w:tcPr>
          <w:p>
            <w:pPr>
              <w:pStyle w:val="TableContents"/>
              <w:bidi w:val="0"/>
              <w:spacing w:before="0" w:after="283"/>
              <w:jc w:val="left"/>
              <w:rPr/>
            </w:pPr>
            <w:r>
              <w:rPr/>
              <w:t>E</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[Reserved]</w:t>
            </w:r>
          </w:p>
        </w:tc>
      </w:tr>
      <w:tr>
        <w:trPr/>
        <w:tc>
          <w:tcPr>
            <w:tcW w:w="1532" w:type="dxa"/>
            <w:tcBorders/>
          </w:tcPr>
          <w:p>
            <w:pPr>
              <w:pStyle w:val="TableContents"/>
              <w:bidi w:val="0"/>
              <w:spacing w:before="0" w:after="283"/>
              <w:jc w:val="left"/>
              <w:rPr/>
            </w:pPr>
            <w:r>
              <w:rPr/>
              <w:t>F</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Collateral Agreement</w:t>
            </w:r>
          </w:p>
        </w:tc>
      </w:tr>
      <w:tr>
        <w:trPr/>
        <w:tc>
          <w:tcPr>
            <w:tcW w:w="1532" w:type="dxa"/>
            <w:tcBorders/>
          </w:tcPr>
          <w:p>
            <w:pPr>
              <w:pStyle w:val="TableContents"/>
              <w:bidi w:val="0"/>
              <w:spacing w:before="0" w:after="283"/>
              <w:jc w:val="left"/>
              <w:rPr/>
            </w:pPr>
            <w:r>
              <w:rPr/>
              <w:t>G-1</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U.S. Tax Compliance Certificate (For Foreign Lenders That Are Not Partnerships or Pass-Through Entities For U.S. Federal Income Tax Purposes)</w:t>
            </w:r>
          </w:p>
        </w:tc>
      </w:tr>
      <w:tr>
        <w:trPr/>
        <w:tc>
          <w:tcPr>
            <w:tcW w:w="1532" w:type="dxa"/>
            <w:tcBorders/>
          </w:tcPr>
          <w:p>
            <w:pPr>
              <w:pStyle w:val="TableContents"/>
              <w:bidi w:val="0"/>
              <w:spacing w:before="0" w:after="283"/>
              <w:jc w:val="left"/>
              <w:rPr/>
            </w:pPr>
            <w:r>
              <w:rPr/>
              <w:t>G-2</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U.S. Tax Compliance Certificate (For Foreign Lenders That Are Partnerships or Pass-Through Entities For U.S. Federal Income Tax Purposes)</w:t>
            </w:r>
          </w:p>
        </w:tc>
      </w:tr>
      <w:tr>
        <w:trPr/>
        <w:tc>
          <w:tcPr>
            <w:tcW w:w="1532" w:type="dxa"/>
            <w:tcBorders/>
          </w:tcPr>
          <w:p>
            <w:pPr>
              <w:pStyle w:val="TableContents"/>
              <w:bidi w:val="0"/>
              <w:spacing w:before="0" w:after="283"/>
              <w:jc w:val="left"/>
              <w:rPr/>
            </w:pPr>
            <w:r>
              <w:rPr/>
              <w:t>G-3</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U.S. Tax Compliance Certificate (For Foreign Participants That Are Not Partnerships or Pass-Through Entities For U.S. Federal Income Tax Purposes)</w:t>
            </w:r>
          </w:p>
        </w:tc>
      </w:tr>
      <w:tr>
        <w:trPr/>
        <w:tc>
          <w:tcPr>
            <w:tcW w:w="1532" w:type="dxa"/>
            <w:tcBorders/>
          </w:tcPr>
          <w:p>
            <w:pPr>
              <w:pStyle w:val="TableContents"/>
              <w:bidi w:val="0"/>
              <w:spacing w:before="0" w:after="283"/>
              <w:jc w:val="left"/>
              <w:rPr/>
            </w:pPr>
            <w:r>
              <w:rPr/>
              <w:t>G-4</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U.S. Tax Compliance Certificate (For Foreign Participants That Are Partnerships or Pass-Through Entities For U.S. Federal Income Tax Purposes)</w:t>
            </w:r>
          </w:p>
        </w:tc>
      </w:tr>
      <w:tr>
        <w:trPr/>
        <w:tc>
          <w:tcPr>
            <w:tcW w:w="1532" w:type="dxa"/>
            <w:tcBorders/>
          </w:tcPr>
          <w:p>
            <w:pPr>
              <w:pStyle w:val="TableContents"/>
              <w:bidi w:val="0"/>
              <w:spacing w:before="0" w:after="283"/>
              <w:jc w:val="left"/>
              <w:rPr/>
            </w:pPr>
            <w:r>
              <w:rPr/>
              <w:t>H</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[Reserved]</w:t>
            </w:r>
          </w:p>
        </w:tc>
      </w:tr>
      <w:tr>
        <w:trPr/>
        <w:tc>
          <w:tcPr>
            <w:tcW w:w="1532" w:type="dxa"/>
            <w:tcBorders/>
          </w:tcPr>
          <w:p>
            <w:pPr>
              <w:pStyle w:val="TableContents"/>
              <w:bidi w:val="0"/>
              <w:spacing w:before="0" w:after="283"/>
              <w:jc w:val="left"/>
              <w:rPr/>
            </w:pPr>
            <w:r>
              <w:rPr/>
              <w:t>I</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Solvency Certificate</w:t>
            </w:r>
          </w:p>
        </w:tc>
      </w:tr>
      <w:tr>
        <w:trPr/>
        <w:tc>
          <w:tcPr>
            <w:tcW w:w="1532" w:type="dxa"/>
            <w:tcBorders/>
          </w:tcPr>
          <w:p>
            <w:pPr>
              <w:pStyle w:val="TableContents"/>
              <w:bidi w:val="0"/>
              <w:spacing w:before="0" w:after="283"/>
              <w:jc w:val="left"/>
              <w:rPr/>
            </w:pPr>
            <w:r>
              <w:rPr/>
              <w:t>J</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Prepayment Notice</w:t>
            </w:r>
          </w:p>
        </w:tc>
      </w:tr>
      <w:tr>
        <w:trPr/>
        <w:tc>
          <w:tcPr>
            <w:tcW w:w="1532" w:type="dxa"/>
            <w:tcBorders/>
          </w:tcPr>
          <w:p>
            <w:pPr>
              <w:pStyle w:val="TableContents"/>
              <w:bidi w:val="0"/>
              <w:spacing w:before="0" w:after="283"/>
              <w:jc w:val="left"/>
              <w:rPr/>
            </w:pPr>
            <w:r>
              <w:rPr/>
              <w:t>K-1</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Existing Junior Lien Intercreditor Agreement</w:t>
            </w:r>
          </w:p>
        </w:tc>
      </w:tr>
      <w:tr>
        <w:trPr/>
        <w:tc>
          <w:tcPr>
            <w:tcW w:w="1532" w:type="dxa"/>
            <w:tcBorders/>
          </w:tcPr>
          <w:p>
            <w:pPr>
              <w:pStyle w:val="TableContents"/>
              <w:bidi w:val="0"/>
              <w:spacing w:before="0" w:after="283"/>
              <w:jc w:val="left"/>
              <w:rPr/>
            </w:pPr>
            <w:r>
              <w:rPr/>
              <w:t>K-2</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Junior Lien Intercreditor Agreement</w:t>
            </w:r>
          </w:p>
        </w:tc>
      </w:tr>
      <w:tr>
        <w:trPr/>
        <w:tc>
          <w:tcPr>
            <w:tcW w:w="1532" w:type="dxa"/>
            <w:tcBorders/>
          </w:tcPr>
          <w:p>
            <w:pPr>
              <w:pStyle w:val="TableContents"/>
              <w:bidi w:val="0"/>
              <w:spacing w:before="0" w:after="283"/>
              <w:jc w:val="left"/>
              <w:rPr/>
            </w:pPr>
            <w:r>
              <w:rPr/>
              <w:t>K-3</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Equal Priority Intercreditor Agreement</w:t>
            </w:r>
          </w:p>
        </w:tc>
      </w:tr>
      <w:tr>
        <w:trPr/>
        <w:tc>
          <w:tcPr>
            <w:tcW w:w="1532" w:type="dxa"/>
            <w:tcBorders/>
          </w:tcPr>
          <w:p>
            <w:pPr>
              <w:pStyle w:val="TableContents"/>
              <w:bidi w:val="0"/>
              <w:spacing w:before="0" w:after="283"/>
              <w:jc w:val="left"/>
              <w:rPr/>
            </w:pPr>
            <w:r>
              <w:rPr/>
              <w:t>L</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Collateral Trust Agreement</w:t>
            </w:r>
          </w:p>
        </w:tc>
      </w:tr>
      <w:tr>
        <w:trPr/>
        <w:tc>
          <w:tcPr>
            <w:tcW w:w="1532" w:type="dxa"/>
            <w:tcBorders/>
          </w:tcPr>
          <w:p>
            <w:pPr>
              <w:pStyle w:val="TableContents"/>
              <w:bidi w:val="0"/>
              <w:spacing w:before="0" w:after="283"/>
              <w:jc w:val="left"/>
              <w:rPr/>
            </w:pPr>
            <w:r>
              <w:rPr/>
              <w:t>M</w:t>
            </w:r>
          </w:p>
        </w:tc>
        <w:tc>
          <w:tcPr>
            <w:tcW w:w="122"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Vessel Mortgage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This CREDIT AGREEMENT is entered into as of August 13, 2024, by and among HORNBECK OFFSHORE SERVICES, INC., a Delaware corporation (the “</w:t>
      </w:r>
      <w:r>
        <w:rPr>
          <w:rFonts w:ascii="Times New Roman" w:hAnsi="Times New Roman"/>
          <w:b/>
          <w:sz w:val="20"/>
        </w:rPr>
        <w:t>Borrower</w:t>
      </w:r>
      <w:r>
        <w:rPr>
          <w:rFonts w:ascii="Times New Roman" w:hAnsi="Times New Roman"/>
          <w:sz w:val="20"/>
        </w:rPr>
        <w:t>”), DNB BANK ASA, NEW YORK BRANCH (“</w:t>
      </w:r>
      <w:r>
        <w:rPr>
          <w:rFonts w:ascii="Times New Roman" w:hAnsi="Times New Roman"/>
          <w:b/>
          <w:sz w:val="20"/>
        </w:rPr>
        <w:t>DNB</w:t>
      </w:r>
      <w:r>
        <w:rPr>
          <w:rFonts w:ascii="Times New Roman" w:hAnsi="Times New Roman"/>
          <w:sz w:val="20"/>
        </w:rPr>
        <w:t>”), as administrative agent (in such capacity, including any successor thereto, the “</w:t>
      </w:r>
      <w:r>
        <w:rPr>
          <w:rFonts w:ascii="Times New Roman" w:hAnsi="Times New Roman"/>
          <w:b/>
          <w:sz w:val="20"/>
        </w:rPr>
        <w:t>Administrative Agent</w:t>
      </w:r>
      <w:r>
        <w:rPr>
          <w:rFonts w:ascii="Times New Roman" w:hAnsi="Times New Roman"/>
          <w:sz w:val="20"/>
        </w:rPr>
        <w:t xml:space="preserve">”), WILMINGTON TRUST, NATIONAL ASSOCIATION as </w:t>
      </w:r>
      <w:r>
        <w:rPr>
          <w:rFonts w:ascii="Times New Roman" w:hAnsi="Times New Roman"/>
          <w:strike/>
          <w:color w:val="FF0000"/>
          <w:sz w:val="20"/>
        </w:rPr>
        <w:t>collateral agent (in such capacity, including any successor thereto, the “</w:t>
      </w:r>
      <w:r>
        <w:rPr>
          <w:rFonts w:ascii="Times New Roman" w:hAnsi="Times New Roman"/>
          <w:sz w:val="20"/>
        </w:rPr>
        <w:t>Collateral Agent</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and Collateral Trustee</w:t>
      </w:r>
      <w:r>
        <w:rPr>
          <w:rFonts w:ascii="Times New Roman" w:hAnsi="Times New Roman"/>
          <w:sz w:val="20"/>
        </w:rPr>
        <w:t>, each Issuing Bank from time to time party hereto, DNB MARKETS, INC., JPMORGAN CHASE BANK, N.A. and BARCLAYS BANK PLC, as Lead Arrangers and Bookrunners (collectively, the “</w:t>
      </w:r>
      <w:r>
        <w:rPr>
          <w:rFonts w:ascii="Times New Roman" w:hAnsi="Times New Roman"/>
          <w:b/>
          <w:sz w:val="20"/>
        </w:rPr>
        <w:t>Lead Arranger</w:t>
      </w:r>
      <w:r>
        <w:rPr>
          <w:rFonts w:ascii="Times New Roman" w:hAnsi="Times New Roman"/>
          <w:sz w:val="20"/>
        </w:rPr>
        <w:t>” and “</w:t>
      </w:r>
      <w:r>
        <w:rPr>
          <w:rFonts w:ascii="Times New Roman" w:hAnsi="Times New Roman"/>
          <w:b/>
          <w:sz w:val="20"/>
        </w:rPr>
        <w:t>Bookrunners</w:t>
      </w:r>
      <w:r>
        <w:rPr>
          <w:rFonts w:ascii="Times New Roman" w:hAnsi="Times New Roman"/>
          <w:sz w:val="20"/>
        </w:rPr>
        <w:t>”), and each lender from time to time party hereto (collectively, the “</w:t>
      </w:r>
      <w:r>
        <w:rPr>
          <w:rFonts w:ascii="Times New Roman" w:hAnsi="Times New Roman"/>
          <w:b/>
          <w:sz w:val="20"/>
        </w:rPr>
        <w:t>Lenders</w:t>
      </w:r>
      <w:r>
        <w:rPr>
          <w:rFonts w:ascii="Times New Roman" w:hAnsi="Times New Roman"/>
          <w:sz w:val="20"/>
        </w:rPr>
        <w:t>” and, individually, a “</w:t>
      </w:r>
      <w:r>
        <w:rPr>
          <w:rFonts w:ascii="Times New Roman" w:hAnsi="Times New Roman"/>
          <w:b/>
          <w:sz w:val="20"/>
        </w:rPr>
        <w:t>Lender</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 has requested that (a) substantially simultaneously with the satisfaction of the conditions precedent set forth in </w:t>
      </w:r>
      <w:r>
        <w:rPr>
          <w:rFonts w:ascii="Times New Roman" w:hAnsi="Times New Roman"/>
          <w:sz w:val="20"/>
          <w:u w:val="single"/>
        </w:rPr>
        <w:t>Article IV</w:t>
      </w:r>
      <w:r>
        <w:rPr>
          <w:rFonts w:ascii="Times New Roman" w:hAnsi="Times New Roman"/>
          <w:sz w:val="20"/>
        </w:rPr>
        <w:t xml:space="preserve"> below, the Lenders extend credit to the Borrower in the form of $75,000,000 of Commitments on the Closing Date as a secured credit facility and (b) from time to time, the Revolving Lenders make Revolving Loans and the Issuing Banks issue Letters of Credit, in each case,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Revolving Loans will be used from time to time for general corporate purposes, including (a) working capital, (b) acquisitions (including Permitted Investments) that are not prohibited by the terms of this Agreement and (c) standby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Lenders have indicated their willingness to lend, and each Issuing Bank has indicated its willingness to issue Letters of Credit, in each case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covenants and agreements herein contained, the parties hereto covenant and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and Accounting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Agreement, the following terms have the meanings set forth below: </w:t>
      </w:r>
    </w:p>
    <w:p>
      <w:pPr>
        <w:pStyle w:val="TextBody"/>
        <w:bidi w:val="0"/>
        <w:spacing w:before="120" w:after="0"/>
        <w:jc w:val="left"/>
        <w:rPr/>
      </w:pPr>
      <w:r>
        <w:rPr/>
        <w:t>“</w:t>
      </w:r>
      <w:r>
        <w:rPr>
          <w:rFonts w:ascii="Times New Roman" w:hAnsi="Times New Roman"/>
          <w:b/>
          <w:sz w:val="20"/>
        </w:rPr>
        <w:t>Accounting Change</w:t>
      </w:r>
      <w:r>
        <w:rPr>
          <w:rFonts w:ascii="Times New Roman" w:hAnsi="Times New Roman"/>
          <w:sz w:val="20"/>
        </w:rPr>
        <w:t xml:space="preserve">” has the meaning specified in the definition of “GAAP.” </w:t>
      </w:r>
    </w:p>
    <w:p>
      <w:pPr>
        <w:pStyle w:val="TextBody"/>
        <w:bidi w:val="0"/>
        <w:spacing w:before="240" w:after="0"/>
        <w:jc w:val="left"/>
        <w:rPr/>
      </w:pPr>
      <w:r>
        <w:rPr/>
        <w:t>“</w:t>
      </w:r>
      <w:r>
        <w:rPr>
          <w:rFonts w:ascii="Times New Roman" w:hAnsi="Times New Roman"/>
          <w:b/>
          <w:sz w:val="20"/>
        </w:rPr>
        <w:t>Acquired Indebtedness</w:t>
      </w:r>
      <w:r>
        <w:rPr>
          <w:rFonts w:ascii="Times New Roman" w:hAnsi="Times New Roman"/>
          <w:sz w:val="20"/>
        </w:rPr>
        <w:t xml:space="preserve">” means with respect to any Person (x) Indebtedness of any other Person or any of its Subsidiaries existing at the time such other Person becomes a Restricted Subsidiary or merges or amalgamates with or into or consolidates or otherwise combines with the Borrower or any Restricted Subsidiary and (y) Indebtedness secured by a Lien encumbering any asset acquired by such Person. Acquired Indebtedness shall be deemed to have been incurred, with respect to </w:t>
      </w:r>
      <w:r>
        <w:rPr>
          <w:rFonts w:ascii="Times New Roman" w:hAnsi="Times New Roman"/>
          <w:sz w:val="20"/>
          <w:u w:val="single"/>
        </w:rPr>
        <w:t>clause (x)</w:t>
      </w:r>
      <w:r>
        <w:rPr>
          <w:rFonts w:ascii="Times New Roman" w:hAnsi="Times New Roman"/>
          <w:sz w:val="20"/>
        </w:rPr>
        <w:t xml:space="preserve"> of the preceding sentence, on the date such Person becomes a Restricted Subsidiary or on the date of the relevant merger, amalgamation, consolidation, acquisition or other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Additional Lender</w:t>
      </w:r>
      <w:r>
        <w:rPr>
          <w:rFonts w:ascii="Times New Roman" w:hAnsi="Times New Roman"/>
          <w:sz w:val="20"/>
        </w:rPr>
        <w:t xml:space="preserve">” means, at any time, any bank, other financial institution or institutional investor that, in any case, is not an existing Lender and that agrees to provide any portion of any Incremental Loan in accordance with </w:t>
      </w:r>
      <w:r>
        <w:rPr>
          <w:rFonts w:ascii="Times New Roman" w:hAnsi="Times New Roman"/>
          <w:sz w:val="20"/>
          <w:u w:val="single"/>
        </w:rPr>
        <w:t>Section 2.16</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each Additional Lender (other than any Person that is a Lender, an Affiliate of a Lender or an Approved Fund of a Lender at such time) shall be subject to the approval of the Administrative Agent and/or the Issuing Banks (such approval not to be unreasonably withheld, conditioned or delayed), in each case to the extent any such consent would be required from the Administrative Agent and/or the Issuing Banks under </w:t>
      </w:r>
      <w:r>
        <w:rPr>
          <w:rFonts w:ascii="Times New Roman" w:hAnsi="Times New Roman"/>
          <w:sz w:val="20"/>
          <w:u w:val="single"/>
        </w:rPr>
        <w:t>Section 11.07(b)(iii)(B)</w:t>
      </w:r>
      <w:r>
        <w:rPr>
          <w:rFonts w:ascii="Times New Roman" w:hAnsi="Times New Roman"/>
          <w:sz w:val="20"/>
        </w:rPr>
        <w:t xml:space="preserve"> and/or </w:t>
      </w:r>
      <w:r>
        <w:rPr>
          <w:rFonts w:ascii="Times New Roman" w:hAnsi="Times New Roman"/>
          <w:sz w:val="20"/>
          <w:u w:val="single"/>
        </w:rPr>
        <w:t>(C)</w:t>
      </w:r>
      <w:r>
        <w:rPr>
          <w:rFonts w:ascii="Times New Roman" w:hAnsi="Times New Roman"/>
          <w:sz w:val="20"/>
        </w:rPr>
        <w:t xml:space="preserve">, respectively, for an assignment of Loans to such Additional Lender. </w:t>
      </w:r>
    </w:p>
    <w:p>
      <w:pPr>
        <w:pStyle w:val="TextBody"/>
        <w:bidi w:val="0"/>
        <w:spacing w:before="240" w:after="0"/>
        <w:jc w:val="left"/>
        <w:rPr/>
      </w:pPr>
      <w:r>
        <w:rPr/>
        <w:t>“</w:t>
      </w:r>
      <w:r>
        <w:rPr>
          <w:rFonts w:ascii="Times New Roman" w:hAnsi="Times New Roman"/>
          <w:b/>
          <w:sz w:val="20"/>
        </w:rPr>
        <w:t>Adjusted Term SOFR</w:t>
      </w:r>
      <w:r>
        <w:rPr>
          <w:rFonts w:ascii="Times New Roman" w:hAnsi="Times New Roman"/>
          <w:sz w:val="20"/>
        </w:rPr>
        <w:t xml:space="preserve">” means the applicable Term SOFR, plus the Term SOFR Adjustment. </w:t>
      </w:r>
    </w:p>
    <w:p>
      <w:pPr>
        <w:pStyle w:val="TextBody"/>
        <w:bidi w:val="0"/>
        <w:spacing w:before="240" w:after="0"/>
        <w:jc w:val="left"/>
        <w:rPr/>
      </w:pPr>
      <w:r>
        <w:rPr/>
        <w:t>“</w:t>
      </w:r>
      <w:r>
        <w:rPr>
          <w:rFonts w:ascii="Times New Roman" w:hAnsi="Times New Roman"/>
          <w:b/>
          <w:sz w:val="20"/>
        </w:rPr>
        <w:t>Administrative Agent</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sz w:val="20"/>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11.02</w:t>
      </w:r>
      <w:r>
        <w:rPr>
          <w:rFonts w:ascii="Times New Roman" w:hAnsi="Times New Roman"/>
          <w:sz w:val="20"/>
        </w:rPr>
        <w:t xml:space="preserve">, or such other address or account as the Administrative Agent may from time to time notify the Borrower and the Lenders. </w:t>
      </w:r>
    </w:p>
    <w:p>
      <w:pPr>
        <w:pStyle w:val="TextBody"/>
        <w:bidi w:val="0"/>
        <w:spacing w:before="240" w:after="0"/>
        <w:jc w:val="left"/>
        <w:rPr/>
      </w:pPr>
      <w:r>
        <w:rPr/>
        <w:t>“</w:t>
      </w:r>
      <w:r>
        <w:rPr>
          <w:rFonts w:ascii="Times New Roman" w:hAnsi="Times New Roman"/>
          <w:b/>
          <w:sz w:val="20"/>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b/>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means, with respect to any Person, another Person that directly, or indirectly through one or more intermediaries, Controls or is Controlled by or is under common Control with the Person specified. “</w:t>
      </w:r>
      <w:r>
        <w:rPr>
          <w:rFonts w:ascii="Times New Roman" w:hAnsi="Times New Roman"/>
          <w:b/>
          <w:sz w:val="20"/>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“Controlled” has the meaning correlative thereto. For the avoidance of doubt, none of the Lead Arranger, the Agents or their respective lending affiliates shall be deemed to be an Affiliate of the Borrower or any of its Subsidiaries. </w:t>
      </w:r>
    </w:p>
    <w:p>
      <w:pPr>
        <w:pStyle w:val="TextBody"/>
        <w:bidi w:val="0"/>
        <w:spacing w:before="240" w:after="0"/>
        <w:jc w:val="left"/>
        <w:rPr/>
      </w:pPr>
      <w:r>
        <w:rPr/>
        <w:t>“</w:t>
      </w:r>
      <w:r>
        <w:rPr>
          <w:rFonts w:ascii="Times New Roman" w:hAnsi="Times New Roman"/>
          <w:b/>
          <w:sz w:val="20"/>
        </w:rPr>
        <w:t>Affiliate Transaction</w:t>
      </w:r>
      <w:r>
        <w:rPr>
          <w:rFonts w:ascii="Times New Roman" w:hAnsi="Times New Roman"/>
          <w:sz w:val="20"/>
        </w:rPr>
        <w:t xml:space="preserve">” has the meaning specified </w:t>
      </w:r>
      <w:r>
        <w:rPr>
          <w:rFonts w:ascii="Times New Roman" w:hAnsi="Times New Roman"/>
          <w:sz w:val="20"/>
          <w:u w:val="single"/>
        </w:rPr>
        <w:t>Section 6.18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After-Acquired High Specification Vessels</w:t>
      </w:r>
      <w:r>
        <w:rPr>
          <w:rFonts w:ascii="Times New Roman" w:hAnsi="Times New Roman"/>
          <w:sz w:val="20"/>
        </w:rPr>
        <w:t xml:space="preserve">” has the meaning specified in the definition of “Excluded Foreign Flag Vessel.” </w:t>
      </w:r>
    </w:p>
    <w:p>
      <w:pPr>
        <w:pStyle w:val="TextBody"/>
        <w:bidi w:val="0"/>
        <w:spacing w:before="240" w:after="0"/>
        <w:jc w:val="left"/>
        <w:rPr/>
      </w:pPr>
      <w:r>
        <w:rPr/>
        <w:t>“</w:t>
      </w:r>
      <w:r>
        <w:rPr>
          <w:rFonts w:ascii="Times New Roman" w:hAnsi="Times New Roman"/>
          <w:b/>
          <w:sz w:val="20"/>
        </w:rPr>
        <w:t>Agency Fee Letter</w:t>
      </w:r>
      <w:r>
        <w:rPr>
          <w:rFonts w:ascii="Times New Roman" w:hAnsi="Times New Roman"/>
          <w:sz w:val="20"/>
        </w:rPr>
        <w:t xml:space="preserve">” means the Agency Fee Letter, dated as of August 13, 2024 by and among the Borrower and DNB, as amended, restated, amended and restated, supplemented or otherwise modified from time to time in accordance with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Agent Parties</w:t>
      </w:r>
      <w:r>
        <w:rPr>
          <w:rFonts w:ascii="Times New Roman" w:hAnsi="Times New Roman"/>
          <w:sz w:val="20"/>
        </w:rPr>
        <w:t xml:space="preserve">” has the meaning specified in </w:t>
      </w:r>
      <w:r>
        <w:rPr>
          <w:rFonts w:ascii="Times New Roman" w:hAnsi="Times New Roman"/>
          <w:sz w:val="20"/>
          <w:u w:val="single"/>
        </w:rPr>
        <w:t>Section 11.02(e).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Agent-Related Persons</w:t>
      </w:r>
      <w:r>
        <w:rPr>
          <w:rFonts w:ascii="Times New Roman" w:hAnsi="Times New Roman"/>
          <w:sz w:val="20"/>
        </w:rPr>
        <w:t xml:space="preserve">” means the Agents, together with their respective Affiliates, and the officers, directors, shareholders, employees, agents, attorney-in-fact, partners, trustees, advisors and other representatives of such Persons and of such Persons’ Affiliates. </w:t>
      </w:r>
    </w:p>
    <w:p>
      <w:pPr>
        <w:pStyle w:val="TextBody"/>
        <w:bidi w:val="0"/>
        <w:spacing w:before="240" w:after="0"/>
        <w:jc w:val="left"/>
        <w:rPr/>
      </w:pPr>
      <w:r>
        <w:rPr/>
        <w:t>“</w:t>
      </w:r>
      <w:r>
        <w:rPr>
          <w:rFonts w:ascii="Times New Roman" w:hAnsi="Times New Roman"/>
          <w:b/>
          <w:sz w:val="20"/>
        </w:rPr>
        <w:t>Agents</w:t>
      </w:r>
      <w:r>
        <w:rPr>
          <w:rFonts w:ascii="Times New Roman" w:hAnsi="Times New Roman"/>
          <w:sz w:val="20"/>
        </w:rPr>
        <w:t xml:space="preserve">” means, collectively, the Administrative Agent, the Collateral Agent, the Bookrunners, the Supplemental Administrative Agents (if any) and the Lead Arrangers. </w:t>
      </w:r>
    </w:p>
    <w:p>
      <w:pPr>
        <w:pStyle w:val="TextBody"/>
        <w:bidi w:val="0"/>
        <w:spacing w:before="240" w:after="0"/>
        <w:jc w:val="left"/>
        <w:rPr/>
      </w:pPr>
      <w:r>
        <w:rPr/>
        <w:t>“</w:t>
      </w:r>
      <w:r>
        <w:rPr>
          <w:rFonts w:ascii="Times New Roman" w:hAnsi="Times New Roman"/>
          <w:b/>
          <w:sz w:val="20"/>
        </w:rPr>
        <w:t>Aggregate Commitments</w:t>
      </w:r>
      <w:r>
        <w:rPr>
          <w:rFonts w:ascii="Times New Roman" w:hAnsi="Times New Roman"/>
          <w:sz w:val="20"/>
        </w:rPr>
        <w:t xml:space="preserve">” means the Commitments of all the Lenders.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Credit Agreement, as amended, restated, amended and restated, modified or supplemented from time to time in accordance with the terms hereof. </w:t>
      </w:r>
    </w:p>
    <w:p>
      <w:pPr>
        <w:pStyle w:val="TextBody"/>
        <w:bidi w:val="0"/>
        <w:spacing w:before="240" w:after="0"/>
        <w:jc w:val="left"/>
        <w:rPr/>
      </w:pPr>
      <w:r>
        <w:rPr/>
        <w:t>“</w:t>
      </w:r>
      <w:r>
        <w:rPr>
          <w:rFonts w:ascii="Times New Roman" w:hAnsi="Times New Roman"/>
          <w:b/>
          <w:sz w:val="20"/>
        </w:rPr>
        <w:t>Agreement Currency</w:t>
      </w:r>
      <w:r>
        <w:rPr>
          <w:rFonts w:ascii="Times New Roman" w:hAnsi="Times New Roman"/>
          <w:sz w:val="20"/>
        </w:rPr>
        <w:t xml:space="preserve">” has the meaning specified in </w:t>
      </w:r>
      <w:r>
        <w:rPr>
          <w:rFonts w:ascii="Times New Roman" w:hAnsi="Times New Roman"/>
          <w:sz w:val="20"/>
          <w:u w:val="single"/>
        </w:rPr>
        <w:t>Section 2.21(b)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Ancillary Fees</w:t>
      </w:r>
      <w:r>
        <w:rPr>
          <w:rFonts w:ascii="Times New Roman" w:hAnsi="Times New Roman"/>
          <w:sz w:val="20"/>
        </w:rPr>
        <w:t xml:space="preserve">” has the meaning specified in </w:t>
      </w:r>
      <w:r>
        <w:rPr>
          <w:rFonts w:ascii="Times New Roman" w:hAnsi="Times New Roman"/>
          <w:sz w:val="20"/>
          <w:u w:val="single"/>
        </w:rPr>
        <w:t>Section 11.01(b)(ix)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means all laws, rules, and regulations of any jurisdiction applicable to the Borrower or any of its Subsidiaries from time to time concerning or relating to bribery, or corruption, including, but not limited to, the U.S. Foreign Corrupt Practices Act of 1977, as amended, and the UK Bribery Act 2010. </w:t>
      </w:r>
    </w:p>
    <w:p>
      <w:pPr>
        <w:pStyle w:val="TextBody"/>
        <w:bidi w:val="0"/>
        <w:spacing w:before="240" w:after="0"/>
        <w:jc w:val="left"/>
        <w:rPr/>
      </w:pPr>
      <w:r>
        <w:rPr/>
        <w:t>“</w:t>
      </w:r>
      <w:r>
        <w:rPr>
          <w:rFonts w:ascii="Times New Roman" w:hAnsi="Times New Roman"/>
          <w:b/>
          <w:sz w:val="20"/>
        </w:rPr>
        <w:t>Applicable Commitment Fee</w:t>
      </w:r>
      <w:r>
        <w:rPr>
          <w:rFonts w:ascii="Times New Roman" w:hAnsi="Times New Roman"/>
          <w:sz w:val="20"/>
        </w:rPr>
        <w:t xml:space="preserve">” means a percentage </w:t>
      </w:r>
      <w:r>
        <w:rPr>
          <w:rFonts w:ascii="Times New Roman" w:hAnsi="Times New Roman"/>
          <w:i/>
          <w:sz w:val="20"/>
        </w:rPr>
        <w:t xml:space="preserve">per annum </w:t>
      </w:r>
      <w:r>
        <w:rPr>
          <w:rFonts w:ascii="Times New Roman" w:hAnsi="Times New Roman"/>
          <w:sz w:val="20"/>
        </w:rPr>
        <w:t xml:space="preserve">equal to 1.00%. </w:t>
      </w:r>
    </w:p>
    <w:p>
      <w:pPr>
        <w:pStyle w:val="TextBody"/>
        <w:bidi w:val="0"/>
        <w:spacing w:before="240" w:after="0"/>
        <w:jc w:val="left"/>
        <w:rPr/>
      </w:pPr>
      <w:r>
        <w:rPr/>
        <w:t>“</w:t>
      </w:r>
      <w:r>
        <w:rPr>
          <w:rFonts w:ascii="Times New Roman" w:hAnsi="Times New Roman"/>
          <w:b/>
          <w:sz w:val="20"/>
        </w:rPr>
        <w:t>Applicable Creditor</w:t>
      </w:r>
      <w:r>
        <w:rPr>
          <w:rFonts w:ascii="Times New Roman" w:hAnsi="Times New Roman"/>
          <w:sz w:val="20"/>
        </w:rPr>
        <w:t xml:space="preserve">” has the meaning specified in </w:t>
      </w:r>
      <w:r>
        <w:rPr>
          <w:rFonts w:ascii="Times New Roman" w:hAnsi="Times New Roman"/>
          <w:sz w:val="20"/>
          <w:u w:val="single"/>
        </w:rPr>
        <w:t>Section 2.21(b)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applicable decimal place</w:t>
      </w:r>
      <w:r>
        <w:rPr>
          <w:rFonts w:ascii="Times New Roman" w:hAnsi="Times New Roman"/>
          <w:sz w:val="20"/>
        </w:rPr>
        <w:t xml:space="preserve">” has the meaning specified in </w:t>
      </w:r>
      <w:r>
        <w:rPr>
          <w:rFonts w:ascii="Times New Roman" w:hAnsi="Times New Roman"/>
          <w:sz w:val="20"/>
          <w:u w:val="single"/>
        </w:rPr>
        <w:t>Section 1.04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Applicable Indebtedness</w:t>
      </w:r>
      <w:r>
        <w:rPr>
          <w:rFonts w:ascii="Times New Roman" w:hAnsi="Times New Roman"/>
          <w:sz w:val="20"/>
        </w:rPr>
        <w:t xml:space="preserve">” has the meaning specified in the definition of “Weighted Average Life to Maturity.” </w:t>
      </w:r>
    </w:p>
    <w:p>
      <w:pPr>
        <w:pStyle w:val="TextBody"/>
        <w:bidi w:val="0"/>
        <w:spacing w:before="240" w:after="0"/>
        <w:jc w:val="left"/>
        <w:rPr/>
      </w:pPr>
      <w:r>
        <w:rPr/>
        <w:t>“</w:t>
      </w:r>
      <w:r>
        <w:rPr>
          <w:rFonts w:ascii="Times New Roman" w:hAnsi="Times New Roman"/>
          <w:b/>
          <w:sz w:val="20"/>
        </w:rPr>
        <w:t>Applicable Jurisdiction</w:t>
      </w:r>
      <w:r>
        <w:rPr>
          <w:rFonts w:ascii="Times New Roman" w:hAnsi="Times New Roman"/>
          <w:sz w:val="20"/>
        </w:rPr>
        <w:t xml:space="preserve">” means the United States and any other jurisdiction approved by the Required Lenders of the applicable Class and the Administrative Agent, in each case, acting reasonably and in good faith. </w:t>
      </w:r>
    </w:p>
    <w:p>
      <w:pPr>
        <w:pStyle w:val="TextBody"/>
        <w:bidi w:val="0"/>
        <w:spacing w:before="240" w:after="0"/>
        <w:jc w:val="left"/>
        <w:rPr/>
      </w:pPr>
      <w:r>
        <w:rPr/>
        <w:t>“</w:t>
      </w:r>
      <w:r>
        <w:rPr>
          <w:rFonts w:ascii="Times New Roman" w:hAnsi="Times New Roman"/>
          <w:b/>
          <w:sz w:val="20"/>
        </w:rPr>
        <w:t>Applicable Proceeds Threshold Amount</w:t>
      </w:r>
      <w:r>
        <w:rPr>
          <w:rFonts w:ascii="Times New Roman" w:hAnsi="Times New Roman"/>
          <w:sz w:val="20"/>
        </w:rPr>
        <w:t xml:space="preserve">” has the meaning specified in </w:t>
      </w:r>
      <w:r>
        <w:rPr>
          <w:rFonts w:ascii="Times New Roman" w:hAnsi="Times New Roman"/>
          <w:sz w:val="20"/>
          <w:u w:val="single"/>
        </w:rPr>
        <w:t>Section 7.05(c)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Applicable Rate</w:t>
      </w:r>
      <w:r>
        <w:rPr>
          <w:rFonts w:ascii="Times New Roman" w:hAnsi="Times New Roman"/>
          <w:sz w:val="20"/>
        </w:rPr>
        <w:t xml:space="preserve">” means, for any day, with respect to any Revolving Loans, SOFR Rate Loan or Base Rate Loan, as the case may be, the rate </w:t>
      </w:r>
      <w:r>
        <w:rPr>
          <w:rFonts w:ascii="Times New Roman" w:hAnsi="Times New Roman"/>
          <w:i/>
          <w:sz w:val="20"/>
        </w:rPr>
        <w:t xml:space="preserve">per annum </w:t>
      </w:r>
      <w:r>
        <w:rPr>
          <w:rFonts w:ascii="Times New Roman" w:hAnsi="Times New Roman"/>
          <w:sz w:val="20"/>
        </w:rPr>
        <w:t xml:space="preserve">set forth in the grid below, based upon the Total Net Leverage Ratio set forth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465"/>
        <w:gridCol w:w="224"/>
        <w:gridCol w:w="101"/>
        <w:gridCol w:w="1885"/>
        <w:gridCol w:w="60"/>
        <w:gridCol w:w="224"/>
        <w:gridCol w:w="243"/>
        <w:gridCol w:w="1790"/>
        <w:gridCol w:w="275"/>
        <w:gridCol w:w="156"/>
        <w:gridCol w:w="223"/>
        <w:gridCol w:w="1648"/>
        <w:gridCol w:w="278"/>
      </w:tblGrid>
      <w:tr>
        <w:trPr/>
        <w:tc>
          <w:tcPr>
            <w:tcW w:w="146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8294" w:type="dxa"/>
            <w:gridSpan w:val="12"/>
            <w:tcBorders/>
            <w:vAlign w:val="bottom"/>
          </w:tcPr>
          <w:p>
            <w:pPr>
              <w:pStyle w:val="TableContents"/>
              <w:pBdr>
                <w:bottom w:val="single" w:sz="8" w:space="1" w:color="000000"/>
              </w:pBdr>
              <w:bidi w:val="0"/>
              <w:spacing w:before="0" w:after="0"/>
              <w:jc w:val="center"/>
              <w:rPr>
                <w:rFonts w:ascii="Times New Roman" w:hAnsi="Times New Roman"/>
                <w:b/>
                <w:i/>
                <w:sz w:val="16"/>
              </w:rPr>
            </w:pPr>
            <w:r>
              <w:rPr>
                <w:rFonts w:ascii="Times New Roman" w:hAnsi="Times New Roman"/>
                <w:b/>
                <w:i/>
                <w:sz w:val="16"/>
              </w:rPr>
              <w:t>Grid</w:t>
            </w:r>
          </w:p>
        </w:tc>
        <w:tc>
          <w:tcPr>
            <w:tcW w:w="278" w:type="dxa"/>
            <w:tcBorders/>
            <w:vAlign w:val="bottom"/>
          </w:tcPr>
          <w:p>
            <w:pPr>
              <w:pStyle w:val="TableContents"/>
              <w:bidi w:val="0"/>
              <w:spacing w:before="0" w:after="283"/>
              <w:jc w:val="left"/>
              <w:rPr/>
            </w:pPr>
            <w:r>
              <w:rPr/>
              <w:t> </w:t>
            </w:r>
          </w:p>
        </w:tc>
      </w:tr>
      <w:tr>
        <w:trPr/>
        <w:tc>
          <w:tcPr>
            <w:tcW w:w="14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224" w:type="dxa"/>
            <w:tcBorders/>
            <w:vAlign w:val="bottom"/>
          </w:tcPr>
          <w:p>
            <w:pPr>
              <w:pStyle w:val="TableContents"/>
              <w:bidi w:val="0"/>
              <w:spacing w:before="0" w:after="283"/>
              <w:jc w:val="left"/>
              <w:rPr/>
            </w:pPr>
            <w:r>
              <w:rPr/>
              <w:t>  </w:t>
            </w:r>
          </w:p>
        </w:tc>
        <w:tc>
          <w:tcPr>
            <w:tcW w:w="19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Net Leverage</w:t>
              <w:br/>
              <w:t>Ratio</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0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SOFR Rate Margin</w:t>
            </w:r>
          </w:p>
        </w:tc>
        <w:tc>
          <w:tcPr>
            <w:tcW w:w="2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Base Rate Margin</w:t>
            </w:r>
          </w:p>
        </w:tc>
        <w:tc>
          <w:tcPr>
            <w:tcW w:w="278" w:type="dxa"/>
            <w:tcBorders/>
            <w:vAlign w:val="bottom"/>
          </w:tcPr>
          <w:p>
            <w:pPr>
              <w:pStyle w:val="TableContents"/>
              <w:bidi w:val="0"/>
              <w:spacing w:before="0" w:after="283"/>
              <w:jc w:val="left"/>
              <w:rPr/>
            </w:pPr>
            <w:r>
              <w:rPr/>
              <w:t> </w:t>
            </w:r>
          </w:p>
        </w:tc>
      </w:tr>
      <w:tr>
        <w:trPr/>
        <w:tc>
          <w:tcPr>
            <w:tcW w:w="14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2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85" w:type="dxa"/>
            <w:tcBorders/>
            <w:shd w:fill="CCEEFF" w:val="clear"/>
            <w:vAlign w:val="bottom"/>
          </w:tcPr>
          <w:p>
            <w:pPr>
              <w:pStyle w:val="TableContents"/>
              <w:bidi w:val="0"/>
              <w:spacing w:before="0" w:after="283"/>
              <w:jc w:val="right"/>
              <w:rPr/>
            </w:pPr>
            <w:r>
              <w:rPr>
                <w:u w:val="single"/>
              </w:rPr>
              <w:t>&lt;</w:t>
            </w:r>
            <w:r>
              <w:rPr/>
              <w:t> 0.50:1.00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2.75</w:t>
            </w:r>
          </w:p>
        </w:tc>
        <w:tc>
          <w:tcPr>
            <w:tcW w:w="2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1.75</w:t>
            </w:r>
          </w:p>
        </w:tc>
        <w:tc>
          <w:tcPr>
            <w:tcW w:w="278" w:type="dxa"/>
            <w:tcBorders/>
            <w:shd w:fill="CCEEFF" w:val="clear"/>
            <w:vAlign w:val="bottom"/>
          </w:tcPr>
          <w:p>
            <w:pPr>
              <w:pStyle w:val="TableContents"/>
              <w:bidi w:val="0"/>
              <w:spacing w:before="0" w:after="283"/>
              <w:jc w:val="left"/>
              <w:rPr/>
            </w:pPr>
            <w:r>
              <w:rPr/>
              <w:t>% </w:t>
            </w:r>
          </w:p>
        </w:tc>
      </w:tr>
      <w:tr>
        <w:trPr/>
        <w:tc>
          <w:tcPr>
            <w:tcW w:w="1465"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22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85" w:type="dxa"/>
            <w:tcBorders/>
            <w:vAlign w:val="bottom"/>
          </w:tcPr>
          <w:p>
            <w:pPr>
              <w:pStyle w:val="TableContents"/>
              <w:bidi w:val="0"/>
              <w:spacing w:before="0" w:after="283"/>
              <w:jc w:val="right"/>
              <w:rPr/>
            </w:pPr>
            <w:r>
              <w:rPr>
                <w:u w:val="single"/>
              </w:rPr>
              <w:t>&lt;</w:t>
            </w:r>
            <w:r>
              <w:rPr/>
              <w:t> 1.50:1.00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3.00</w:t>
            </w:r>
          </w:p>
        </w:tc>
        <w:tc>
          <w:tcPr>
            <w:tcW w:w="2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2.00</w:t>
            </w:r>
          </w:p>
        </w:tc>
        <w:tc>
          <w:tcPr>
            <w:tcW w:w="278" w:type="dxa"/>
            <w:tcBorders/>
            <w:vAlign w:val="bottom"/>
          </w:tcPr>
          <w:p>
            <w:pPr>
              <w:pStyle w:val="TableContents"/>
              <w:bidi w:val="0"/>
              <w:spacing w:before="0" w:after="283"/>
              <w:jc w:val="left"/>
              <w:rPr/>
            </w:pPr>
            <w:r>
              <w:rPr/>
              <w:t>% </w:t>
            </w:r>
          </w:p>
        </w:tc>
      </w:tr>
      <w:tr>
        <w:trPr/>
        <w:tc>
          <w:tcPr>
            <w:tcW w:w="14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22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85" w:type="dxa"/>
            <w:tcBorders/>
            <w:shd w:fill="CCEEFF" w:val="clear"/>
            <w:vAlign w:val="bottom"/>
          </w:tcPr>
          <w:p>
            <w:pPr>
              <w:pStyle w:val="TableContents"/>
              <w:bidi w:val="0"/>
              <w:spacing w:before="0" w:after="283"/>
              <w:jc w:val="right"/>
              <w:rPr/>
            </w:pPr>
            <w:r>
              <w:rPr>
                <w:u w:val="single"/>
              </w:rPr>
              <w:t>&lt;</w:t>
            </w:r>
            <w:r>
              <w:rPr/>
              <w:t> 2.00:1.00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3.25</w:t>
            </w:r>
          </w:p>
        </w:tc>
        <w:tc>
          <w:tcPr>
            <w:tcW w:w="2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2.25</w:t>
            </w:r>
          </w:p>
        </w:tc>
        <w:tc>
          <w:tcPr>
            <w:tcW w:w="278" w:type="dxa"/>
            <w:tcBorders/>
            <w:shd w:fill="CCEEFF" w:val="clear"/>
            <w:vAlign w:val="bottom"/>
          </w:tcPr>
          <w:p>
            <w:pPr>
              <w:pStyle w:val="TableContents"/>
              <w:bidi w:val="0"/>
              <w:spacing w:before="0" w:after="283"/>
              <w:jc w:val="left"/>
              <w:rPr/>
            </w:pPr>
            <w:r>
              <w:rPr/>
              <w:t>% </w:t>
            </w:r>
          </w:p>
        </w:tc>
      </w:tr>
      <w:tr>
        <w:trPr/>
        <w:tc>
          <w:tcPr>
            <w:tcW w:w="1465"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22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85" w:type="dxa"/>
            <w:tcBorders/>
            <w:vAlign w:val="bottom"/>
          </w:tcPr>
          <w:p>
            <w:pPr>
              <w:pStyle w:val="TableContents"/>
              <w:bidi w:val="0"/>
              <w:spacing w:before="0" w:after="283"/>
              <w:jc w:val="right"/>
              <w:rPr/>
            </w:pPr>
            <w:r>
              <w:rPr>
                <w:u w:val="single"/>
              </w:rPr>
              <w:t>&lt;</w:t>
            </w:r>
            <w:r>
              <w:rPr/>
              <w:t> 2.50:1.00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3.50</w:t>
            </w:r>
          </w:p>
        </w:tc>
        <w:tc>
          <w:tcPr>
            <w:tcW w:w="2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2.50</w:t>
            </w:r>
          </w:p>
        </w:tc>
        <w:tc>
          <w:tcPr>
            <w:tcW w:w="278" w:type="dxa"/>
            <w:tcBorders/>
            <w:vAlign w:val="bottom"/>
          </w:tcPr>
          <w:p>
            <w:pPr>
              <w:pStyle w:val="TableContents"/>
              <w:bidi w:val="0"/>
              <w:spacing w:before="0" w:after="283"/>
              <w:jc w:val="left"/>
              <w:rPr/>
            </w:pPr>
            <w:r>
              <w:rPr/>
              <w:t>% </w:t>
            </w:r>
          </w:p>
        </w:tc>
      </w:tr>
      <w:tr>
        <w:trPr/>
        <w:tc>
          <w:tcPr>
            <w:tcW w:w="14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22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85" w:type="dxa"/>
            <w:tcBorders/>
            <w:shd w:fill="CCEEFF" w:val="clear"/>
            <w:vAlign w:val="bottom"/>
          </w:tcPr>
          <w:p>
            <w:pPr>
              <w:pStyle w:val="TableContents"/>
              <w:bidi w:val="0"/>
              <w:spacing w:before="0" w:after="283"/>
              <w:jc w:val="right"/>
              <w:rPr/>
            </w:pPr>
            <w:r>
              <w:rPr/>
              <w:t>&gt; 2.50:1.00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3.75</w:t>
            </w:r>
          </w:p>
        </w:tc>
        <w:tc>
          <w:tcPr>
            <w:tcW w:w="2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2.75</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increase or decrease in the Applicable Rate under the grid set forth above with respect to Base Rate Loans or SOFR Rate Loans, as the case may be, resulting from a change in the Total Net Leverage Ratio shall become effective as of the first Business Day immediately following the date a Compliance Certificate is delivered in respect of the preceding fiscal quarter pursuant to </w:t>
      </w:r>
      <w:r>
        <w:rPr>
          <w:rFonts w:ascii="Times New Roman" w:hAnsi="Times New Roman"/>
          <w:sz w:val="20"/>
          <w:u w:val="single"/>
        </w:rPr>
        <w:t>Section 6.02(b)</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 Compliance Certificate is not delivered when due in accordance with </w:t>
      </w:r>
      <w:r>
        <w:rPr>
          <w:rFonts w:ascii="Times New Roman" w:hAnsi="Times New Roman"/>
          <w:sz w:val="20"/>
          <w:u w:val="single"/>
        </w:rPr>
        <w:t>Section 6.02(b)</w:t>
      </w:r>
      <w:r>
        <w:rPr>
          <w:rFonts w:ascii="Times New Roman" w:hAnsi="Times New Roman"/>
          <w:sz w:val="20"/>
        </w:rPr>
        <w:t xml:space="preserve">, then Pricing Level 5 shall apply as of the first Business Day after the date on which such Compliance Certificate was required to have been delivered until such Compliance Certificate is delivered to the Administrative Agent. From the Closing Date until such time as a compliance certificate is delivered to the Administrative Agent in accordance with </w:t>
      </w:r>
      <w:r>
        <w:rPr>
          <w:rFonts w:ascii="Times New Roman" w:hAnsi="Times New Roman"/>
          <w:sz w:val="20"/>
          <w:u w:val="single"/>
        </w:rPr>
        <w:t>Section 6.02(b)</w:t>
      </w:r>
      <w:r>
        <w:rPr>
          <w:rFonts w:ascii="Times New Roman" w:hAnsi="Times New Roman"/>
          <w:sz w:val="20"/>
        </w:rPr>
        <w:t xml:space="preserve">, the Applicable Rate shall be determined based on the Compliance Certificate delivered pursuant to </w:t>
      </w:r>
      <w:r>
        <w:rPr>
          <w:rFonts w:ascii="Times New Roman" w:hAnsi="Times New Roman"/>
          <w:sz w:val="20"/>
          <w:u w:val="single"/>
        </w:rPr>
        <w:t>Section 4.01(h)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one Business Day of receipt of the applicable information under </w:t>
      </w:r>
      <w:r>
        <w:rPr>
          <w:rFonts w:ascii="Times New Roman" w:hAnsi="Times New Roman"/>
          <w:sz w:val="20"/>
          <w:u w:val="single"/>
        </w:rPr>
        <w:t>Section 6.02(a)</w:t>
      </w:r>
      <w:r>
        <w:rPr>
          <w:rFonts w:ascii="Times New Roman" w:hAnsi="Times New Roman"/>
          <w:sz w:val="20"/>
        </w:rPr>
        <w:t xml:space="preserve">, the Administrative Agent shall give each Lender electronic (including e-mail and Internet or intranet websites, including the Platform) notice of the Applicable Rate in effect from such date. In the event that any financial statement or certificate delivered pursuant to </w:t>
      </w:r>
      <w:r>
        <w:rPr>
          <w:rFonts w:ascii="Times New Roman" w:hAnsi="Times New Roman"/>
          <w:sz w:val="20"/>
          <w:u w:val="single"/>
        </w:rPr>
        <w:t>Section 6.02</w:t>
      </w:r>
      <w:r>
        <w:rPr>
          <w:rFonts w:ascii="Times New Roman" w:hAnsi="Times New Roman"/>
          <w:sz w:val="20"/>
        </w:rPr>
        <w:t xml:space="preserve"> is determined to be inaccurate (at a time prior to the satisfaction of the Termination Conditions), and such inaccuracy, if corrected, would have led to the application of a higher Applicable Rate for any period (an “</w:t>
      </w:r>
      <w:r>
        <w:rPr>
          <w:rFonts w:ascii="Times New Roman" w:hAnsi="Times New Roman"/>
          <w:b/>
          <w:sz w:val="20"/>
        </w:rPr>
        <w:t>Applicable Rate Period</w:t>
      </w:r>
      <w:r>
        <w:rPr>
          <w:rFonts w:ascii="Times New Roman" w:hAnsi="Times New Roman"/>
          <w:sz w:val="20"/>
        </w:rPr>
        <w:t xml:space="preserve">”) than the Applicable Rate applied for such Applicable Rate Period, then (a) the Borrower shall promptly (and in any event within five Business Days) following such determination deliver to the Administrative Agent correct financial statements and certificates required by </w:t>
      </w:r>
      <w:r>
        <w:rPr>
          <w:rFonts w:ascii="Times New Roman" w:hAnsi="Times New Roman"/>
          <w:sz w:val="20"/>
          <w:u w:val="single"/>
        </w:rPr>
        <w:t>Section 6.02</w:t>
      </w:r>
      <w:r>
        <w:rPr>
          <w:rFonts w:ascii="Times New Roman" w:hAnsi="Times New Roman"/>
          <w:sz w:val="20"/>
        </w:rPr>
        <w:t xml:space="preserve"> for such Applicable Rate Period, (b) the Applicable Rate for such Applicable Rate Period shall be determined as if the Total Net Leverage Ratio were determined based on the amounts set forth in such correct financial statements and certificates and (c) the Borrower shall promptly (and in any event within ten Business Days) following delivery of such corrected financial statements and certificates pay to the Administrative Agent the accrued additional interest owing as a result of such increased Applicable Rate for such Applicable Rate Period. Notwithstanding anything to the contrary set forth herein, the provisions of this paragraph (but not any of the other provisions of this definition preceding this paragraph) may be amended or waived with respect to any Class with the consent of only the Borrower and the Required Lenders of such Class. </w:t>
      </w:r>
    </w:p>
    <w:p>
      <w:pPr>
        <w:pStyle w:val="TextBody"/>
        <w:bidi w:val="0"/>
        <w:spacing w:before="240" w:after="0"/>
        <w:jc w:val="left"/>
        <w:rPr/>
      </w:pPr>
      <w:r>
        <w:rPr/>
        <w:t>“</w:t>
      </w:r>
      <w:r>
        <w:rPr>
          <w:rFonts w:ascii="Times New Roman" w:hAnsi="Times New Roman"/>
          <w:b/>
          <w:sz w:val="20"/>
        </w:rPr>
        <w:t>Applicable Rate Period</w:t>
      </w:r>
      <w:r>
        <w:rPr>
          <w:rFonts w:ascii="Times New Roman" w:hAnsi="Times New Roman"/>
          <w:sz w:val="20"/>
        </w:rPr>
        <w:t xml:space="preserve">” has the meaning specified in the definition of “Applicable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Appropriate Lender</w:t>
      </w:r>
      <w:r>
        <w:rPr>
          <w:rFonts w:ascii="Times New Roman" w:hAnsi="Times New Roman"/>
          <w:sz w:val="20"/>
        </w:rPr>
        <w:t xml:space="preserve">” means, at any time, with respect to Loans of any Class, the Lenders of such Class. </w:t>
      </w:r>
    </w:p>
    <w:p>
      <w:pPr>
        <w:pStyle w:val="TextBody"/>
        <w:bidi w:val="0"/>
        <w:spacing w:before="240" w:after="0"/>
        <w:jc w:val="left"/>
        <w:rPr/>
      </w:pPr>
      <w:r>
        <w:rPr/>
        <w:t>“</w:t>
      </w:r>
      <w:r>
        <w:rPr>
          <w:rFonts w:ascii="Times New Roman" w:hAnsi="Times New Roman"/>
          <w:b/>
          <w:sz w:val="20"/>
        </w:rPr>
        <w:t>Approved Flag Jurisdiction</w:t>
      </w:r>
      <w:r>
        <w:rPr>
          <w:rFonts w:ascii="Times New Roman" w:hAnsi="Times New Roman"/>
          <w:sz w:val="20"/>
        </w:rPr>
        <w:t xml:space="preserve">” means (x) the United States of America, Mexico, Brazil, Vanuatu, Marshall Islands, Guyana, Colombia, and (y) any other flag state constituting an internationally recognized open ship registry used by U.S. shipping companies (as determined in good faith by the Borrower) or other flag state instituting a cabotage regime, which in the Borrower’s or any Restricted Subsidiary’s good faith judgment is necessary or desirable in order to pursue customer opportunities in such non-U.S. jurisdictions, in each case under this </w:t>
      </w:r>
      <w:r>
        <w:rPr>
          <w:rFonts w:ascii="Times New Roman" w:hAnsi="Times New Roman"/>
          <w:sz w:val="20"/>
          <w:u w:val="single"/>
        </w:rPr>
        <w:t xml:space="preserve">clause (y) </w:t>
      </w:r>
      <w:r>
        <w:rPr>
          <w:rFonts w:ascii="Times New Roman" w:hAnsi="Times New Roman"/>
          <w:sz w:val="20"/>
        </w:rPr>
        <w:t xml:space="preserve">subject to the approval of the Administrative Agent, such approval not to be unreasonably withheld, conditioned or delayed. </w:t>
      </w:r>
    </w:p>
    <w:p>
      <w:pPr>
        <w:pStyle w:val="TextBody"/>
        <w:bidi w:val="0"/>
        <w:spacing w:before="240" w:after="0"/>
        <w:jc w:val="left"/>
        <w:rPr/>
      </w:pPr>
      <w:r>
        <w:rPr/>
        <w:t>“</w:t>
      </w:r>
      <w:r>
        <w:rPr>
          <w:rFonts w:ascii="Times New Roman" w:hAnsi="Times New Roman"/>
          <w:b/>
          <w:sz w:val="20"/>
        </w:rPr>
        <w:t>Approved Fund</w:t>
      </w:r>
      <w:r>
        <w:rPr>
          <w:rFonts w:ascii="Times New Roman" w:hAnsi="Times New Roman"/>
          <w:sz w:val="20"/>
        </w:rPr>
        <w:t xml:space="preserve">” means, with respect to any Lender, any Fund that is administered, advised or managed by (a) such Lender, (b) an Affiliate of such Lender or (c) an entity or an Affiliate of an entity that administers, advises or manages such Lender. </w:t>
      </w:r>
    </w:p>
    <w:p>
      <w:pPr>
        <w:pStyle w:val="TextBody"/>
        <w:bidi w:val="0"/>
        <w:spacing w:before="240" w:after="0"/>
        <w:jc w:val="left"/>
        <w:rPr/>
      </w:pPr>
      <w:r>
        <w:rPr/>
        <w:t>“</w:t>
      </w:r>
      <w:r>
        <w:rPr>
          <w:rFonts w:ascii="Times New Roman" w:hAnsi="Times New Roman"/>
          <w:b/>
          <w:sz w:val="20"/>
        </w:rPr>
        <w:t>Assignment and Assumption</w:t>
      </w:r>
      <w:r>
        <w:rPr>
          <w:rFonts w:ascii="Times New Roman" w:hAnsi="Times New Roman"/>
          <w:sz w:val="20"/>
        </w:rPr>
        <w:t xml:space="preserve">” means an Assignment and Assumption substantially in the form of </w:t>
      </w:r>
      <w:r>
        <w:rPr>
          <w:rFonts w:ascii="Times New Roman" w:hAnsi="Times New Roman"/>
          <w:sz w:val="20"/>
          <w:u w:val="single"/>
        </w:rPr>
        <w:t>Exhibit D</w:t>
      </w:r>
      <w:r>
        <w:rPr>
          <w:rFonts w:ascii="Times New Roman" w:hAnsi="Times New Roman"/>
          <w:sz w:val="20"/>
        </w:rPr>
        <w:t xml:space="preserve"> or any other form (including electronic documentation generated by an electronic platform) approved by the Administrative Agent. </w:t>
      </w:r>
    </w:p>
    <w:p>
      <w:pPr>
        <w:pStyle w:val="TextBody"/>
        <w:bidi w:val="0"/>
        <w:spacing w:before="240" w:after="0"/>
        <w:jc w:val="left"/>
        <w:rPr/>
      </w:pPr>
      <w:r>
        <w:rPr/>
        <w:t>“</w:t>
      </w:r>
      <w:r>
        <w:rPr>
          <w:rFonts w:ascii="Times New Roman" w:hAnsi="Times New Roman"/>
          <w:b/>
          <w:sz w:val="20"/>
        </w:rPr>
        <w:t>Associate</w:t>
      </w:r>
      <w:r>
        <w:rPr>
          <w:rFonts w:ascii="Times New Roman" w:hAnsi="Times New Roman"/>
          <w:sz w:val="20"/>
        </w:rPr>
        <w:t xml:space="preserve">” means (i) any Person engaged in a Similar Business of which the Borrower or its Restricted Subsidiaries are the legal and beneficial owners of between 20% and 50% of all outstanding Voting Stock and (ii) any joint venture entered into by the Borrower or any Restricted Subsidiary. </w:t>
      </w:r>
    </w:p>
    <w:p>
      <w:pPr>
        <w:pStyle w:val="TextBody"/>
        <w:bidi w:val="0"/>
        <w:spacing w:before="240" w:after="0"/>
        <w:jc w:val="left"/>
        <w:rPr/>
      </w:pPr>
      <w:r>
        <w:rPr/>
        <w:t>“</w:t>
      </w:r>
      <w:r>
        <w:rPr>
          <w:rFonts w:ascii="Times New Roman" w:hAnsi="Times New Roman"/>
          <w:b/>
          <w:sz w:val="20"/>
        </w:rPr>
        <w:t>Attorney Costs</w:t>
      </w:r>
      <w:r>
        <w:rPr>
          <w:rFonts w:ascii="Times New Roman" w:hAnsi="Times New Roman"/>
          <w:sz w:val="20"/>
        </w:rPr>
        <w:t xml:space="preserve">” means all reasonable (so long as no Event of Default has occurred and is continuing) and documented in reasonable detail fees, expenses, charges and disbursements of any law firm or other external legal counsel. </w:t>
      </w:r>
    </w:p>
    <w:p>
      <w:pPr>
        <w:pStyle w:val="TextBody"/>
        <w:bidi w:val="0"/>
        <w:spacing w:before="240" w:after="0"/>
        <w:jc w:val="left"/>
        <w:rPr/>
      </w:pPr>
      <w:r>
        <w:rPr/>
        <w:t>“</w:t>
      </w:r>
      <w:r>
        <w:rPr>
          <w:rFonts w:ascii="Times New Roman" w:hAnsi="Times New Roman"/>
          <w:b/>
          <w:sz w:val="20"/>
        </w:rPr>
        <w:t>Auto-Renewal Letter of Credit</w:t>
      </w:r>
      <w:r>
        <w:rPr>
          <w:rFonts w:ascii="Times New Roman" w:hAnsi="Times New Roman"/>
          <w:sz w:val="20"/>
        </w:rPr>
        <w:t>” has the meaning specified in</w:t>
      </w:r>
      <w:r>
        <w:rPr>
          <w:rFonts w:ascii="Times New Roman" w:hAnsi="Times New Roman"/>
          <w:sz w:val="20"/>
          <w:u w:val="single"/>
        </w:rPr>
        <w:t xml:space="preserve"> Section 2.04(b)(iii).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Available Amount</w:t>
      </w:r>
      <w:r>
        <w:rPr>
          <w:rFonts w:ascii="Times New Roman" w:hAnsi="Times New Roman"/>
          <w:sz w:val="20"/>
        </w:rPr>
        <w:t xml:space="preserve">” has the meaning specified in </w:t>
      </w:r>
      <w:r>
        <w:rPr>
          <w:rFonts w:ascii="Times New Roman" w:hAnsi="Times New Roman"/>
          <w:sz w:val="20"/>
          <w:u w:val="single"/>
        </w:rPr>
        <w:t>Section 7.06(d)(v)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Available Tenor</w:t>
      </w:r>
      <w:r>
        <w:rPr>
          <w:rFonts w:ascii="Times New Roman" w:hAnsi="Times New Roman"/>
          <w:sz w:val="20"/>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hAnsi="Times New Roman"/>
          <w:sz w:val="20"/>
          <w:u w:val="single"/>
        </w:rPr>
        <w:t>Section 3.09(e).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sz w:val="20"/>
        </w:rPr>
        <w:t>Base Rate</w:t>
      </w:r>
      <w:r>
        <w:rPr>
          <w:rFonts w:ascii="Times New Roman" w:hAnsi="Times New Roman"/>
          <w:sz w:val="20"/>
        </w:rPr>
        <w:t xml:space="preserve">” means for any day a fluctuating rate </w:t>
      </w:r>
      <w:r>
        <w:rPr>
          <w:rFonts w:ascii="Times New Roman" w:hAnsi="Times New Roman"/>
          <w:i/>
          <w:sz w:val="20"/>
        </w:rPr>
        <w:t xml:space="preserve">per annum </w:t>
      </w:r>
      <w:r>
        <w:rPr>
          <w:rFonts w:ascii="Times New Roman" w:hAnsi="Times New Roman"/>
          <w:sz w:val="20"/>
        </w:rPr>
        <w:t xml:space="preserve">equal to the highest of (a) the Federal Funds Rate </w:t>
      </w:r>
      <w:r>
        <w:rPr>
          <w:rFonts w:ascii="Times New Roman" w:hAnsi="Times New Roman"/>
          <w:i/>
          <w:sz w:val="20"/>
          <w:u w:val="single"/>
        </w:rPr>
        <w:t>plus</w:t>
      </w:r>
      <w:r>
        <w:rPr>
          <w:rFonts w:ascii="Times New Roman" w:hAnsi="Times New Roman"/>
          <w:sz w:val="20"/>
        </w:rPr>
        <w:t xml:space="preserve"> 1/2 of 1%, (b) the Prime Rate, and (c) the SOFR on such day (or, if such day is not a Business Day, the immediately preceding Business Day) for an Interest Period of one month after giving effect to a “floor” of 0.00% </w:t>
      </w:r>
      <w:r>
        <w:rPr>
          <w:rFonts w:ascii="Times New Roman" w:hAnsi="Times New Roman"/>
          <w:i/>
          <w:sz w:val="20"/>
        </w:rPr>
        <w:t xml:space="preserve">per annum </w:t>
      </w:r>
      <w:r>
        <w:rPr>
          <w:rFonts w:ascii="Times New Roman" w:hAnsi="Times New Roman"/>
          <w:sz w:val="20"/>
        </w:rPr>
        <w:t xml:space="preserve">plus 1.00%; </w:t>
      </w:r>
      <w:r>
        <w:rPr>
          <w:rFonts w:ascii="Times New Roman" w:hAnsi="Times New Roman"/>
          <w:i/>
          <w:sz w:val="20"/>
        </w:rPr>
        <w:t xml:space="preserve">provided </w:t>
      </w:r>
      <w:r>
        <w:rPr>
          <w:rFonts w:ascii="Times New Roman" w:hAnsi="Times New Roman"/>
          <w:sz w:val="20"/>
        </w:rPr>
        <w:t xml:space="preserve">that, notwithstanding the foregoing, the “Base Rate” with respect to any Revolving Loans shall in no event be less than 0.00% </w:t>
      </w:r>
      <w:r>
        <w:rPr>
          <w:rFonts w:ascii="Times New Roman" w:hAnsi="Times New Roman"/>
          <w:i/>
          <w:sz w:val="20"/>
        </w:rPr>
        <w:t>per annum</w:t>
      </w:r>
      <w:r>
        <w:rPr>
          <w:rFonts w:ascii="Times New Roman" w:hAnsi="Times New Roman"/>
          <w:sz w:val="20"/>
        </w:rPr>
        <w:t xml:space="preserve">. If the Administrative Agent shall have determined (which determination shall be conclusive absent manifest error) that it is unable to ascertain the Federal Funds Rate or Adjusted Term SOFR for any reason, including the inability or failure of the Administrative Agent to obtain sufficient quotations in accordance with the terms of the definition of Federal Funds Rate, the Base Rate shall be determined without regard to </w:t>
      </w:r>
      <w:r>
        <w:rPr>
          <w:rFonts w:ascii="Times New Roman" w:hAnsi="Times New Roman"/>
          <w:sz w:val="20"/>
          <w:u w:val="single"/>
        </w:rPr>
        <w:t>clause (b)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above, as applicable, until the circumstances giving rise to such inability no longer exist. Any change in the Base Rate due to a change in the Prime Rate, the Federal Funds Rate or Adjusted Term SOFR shall be effective from and including the effective day of such change in the Prime Rate, the Federal Funds Rate or Adjusted Term SOFR, respectively. If the Base Rate is being used as an alternate rate of interest pursuant to </w:t>
      </w:r>
      <w:r>
        <w:rPr>
          <w:rFonts w:ascii="Times New Roman" w:hAnsi="Times New Roman"/>
          <w:sz w:val="20"/>
          <w:u w:val="single"/>
        </w:rPr>
        <w:t>Section 3.09</w:t>
      </w:r>
      <w:r>
        <w:rPr>
          <w:rFonts w:ascii="Times New Roman" w:hAnsi="Times New Roman"/>
          <w:sz w:val="20"/>
        </w:rPr>
        <w:t xml:space="preserve"> (for the avoidance of doubt, only until an amendment to the applicable rate of interest has become effective in accordance with the terms of this Agreement), then the Base Rate shall be the greater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and shall be determined without reference to </w:t>
      </w:r>
      <w:r>
        <w:rPr>
          <w:rFonts w:ascii="Times New Roman" w:hAnsi="Times New Roman"/>
          <w:sz w:val="20"/>
          <w:u w:val="single"/>
        </w:rPr>
        <w:t>clause (c)</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b/>
          <w:sz w:val="20"/>
        </w:rPr>
        <w:t>Base Rate Loan</w:t>
      </w:r>
      <w:r>
        <w:rPr>
          <w:rFonts w:ascii="Times New Roman" w:hAnsi="Times New Roman"/>
          <w:sz w:val="20"/>
        </w:rPr>
        <w:t xml:space="preserve">” means a Loan that bears interest based on the Base Rate. </w:t>
      </w:r>
    </w:p>
    <w:p>
      <w:pPr>
        <w:pStyle w:val="TextBody"/>
        <w:bidi w:val="0"/>
        <w:spacing w:before="240" w:after="0"/>
        <w:jc w:val="left"/>
        <w:rPr/>
      </w:pPr>
      <w:r>
        <w:rPr/>
        <w:t>“</w:t>
      </w:r>
      <w:r>
        <w:rPr>
          <w:rFonts w:ascii="Times New Roman" w:hAnsi="Times New Roman"/>
          <w:b/>
          <w:sz w:val="20"/>
        </w:rPr>
        <w:t>Benchmark</w:t>
      </w:r>
      <w:r>
        <w:rPr>
          <w:rFonts w:ascii="Times New Roman" w:hAnsi="Times New Roman"/>
          <w:sz w:val="20"/>
        </w:rPr>
        <w:t xml:space="preserve">” means, initially, in the case of Term SOFR Borrowings, Adjusted Term SOFR; </w:t>
      </w:r>
      <w:r>
        <w:rPr>
          <w:rFonts w:ascii="Times New Roman" w:hAnsi="Times New Roman"/>
          <w:i/>
          <w:sz w:val="20"/>
        </w:rPr>
        <w:t>provided</w:t>
      </w:r>
      <w:r>
        <w:rPr>
          <w:rFonts w:ascii="Times New Roman" w:hAnsi="Times New Roman"/>
          <w:sz w:val="20"/>
        </w:rPr>
        <w:t xml:space="preserve"> that if a replacement of the Benchmark has occurred pursuant to Section 3.09(b), then “Benchmark” means the applicable Benchmark Replacement to the extent that such Benchmark Replacement has become effective pursuant to </w:t>
      </w:r>
      <w:r>
        <w:rPr>
          <w:rFonts w:ascii="Times New Roman" w:hAnsi="Times New Roman"/>
          <w:sz w:val="20"/>
          <w:u w:val="single"/>
        </w:rPr>
        <w:t>Section 3.09(b).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Benchmark Replacement</w:t>
      </w:r>
      <w:r>
        <w:rPr>
          <w:rFonts w:ascii="Times New Roman" w:hAnsi="Times New Roman"/>
          <w:sz w:val="20"/>
        </w:rPr>
        <w:t xml:space="preserve">” means, for any Available Tenor, the first alternative set forth in the order below that can be determined by the Administrative Agent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(1) the sum of (a) Adjusted Term SOFR and (b) the related Benchmark Replacement Adjustment; </w:t>
      </w:r>
    </w:p>
    <w:p>
      <w:pPr>
        <w:pStyle w:val="TextBody"/>
        <w:bidi w:val="0"/>
        <w:spacing w:before="120" w:after="0"/>
        <w:jc w:val="left"/>
        <w:rPr>
          <w:rFonts w:ascii="Times New Roman" w:hAnsi="Times New Roman"/>
          <w:sz w:val="20"/>
        </w:rPr>
      </w:pPr>
      <w:r>
        <w:rPr>
          <w:rFonts w:ascii="Times New Roman" w:hAnsi="Times New Roman"/>
          <w:sz w:val="20"/>
        </w:rPr>
        <w:t xml:space="preserve">(2) the sum of (a) Daily Simple SOFR and (b) the related Benchmark Replacement Adjustment; </w:t>
      </w:r>
    </w:p>
    <w:p>
      <w:pPr>
        <w:pStyle w:val="TextBody"/>
        <w:bidi w:val="0"/>
        <w:spacing w:before="120" w:after="0"/>
        <w:jc w:val="left"/>
        <w:rPr>
          <w:rFonts w:ascii="Times New Roman" w:hAnsi="Times New Roman"/>
          <w:sz w:val="20"/>
        </w:rPr>
      </w:pPr>
      <w:r>
        <w:rPr>
          <w:rFonts w:ascii="Times New Roman" w:hAnsi="Times New Roman"/>
          <w:sz w:val="20"/>
        </w:rPr>
        <w:t xml:space="preserve">(3)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Dollars and (b) the related Benchmark Replacement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in the case of </w:t>
      </w:r>
      <w:r>
        <w:rPr>
          <w:rFonts w:ascii="Times New Roman" w:hAnsi="Times New Roman"/>
          <w:sz w:val="20"/>
          <w:u w:val="single"/>
        </w:rPr>
        <w:t>clause (1)</w:t>
      </w:r>
      <w:r>
        <w:rPr>
          <w:rFonts w:ascii="Times New Roman" w:hAnsi="Times New Roman"/>
          <w:sz w:val="20"/>
        </w:rPr>
        <w:t xml:space="preserve">, such Unadjusted Benchmark Replacement is displayed on a screen or other information service that publishes such rate from time to time as selected by the Administrative Agent in its reasonable discretion;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Adjusted Term SOFR and (b) the related Benchmark Replacement Adjustment, as set forth in </w:t>
      </w:r>
      <w:r>
        <w:rPr>
          <w:rFonts w:ascii="Times New Roman" w:hAnsi="Times New Roman"/>
          <w:sz w:val="20"/>
          <w:u w:val="single"/>
        </w:rPr>
        <w:t>clause (1)</w:t>
      </w:r>
      <w:r>
        <w:rPr>
          <w:rFonts w:ascii="Times New Roman" w:hAnsi="Times New Roman"/>
          <w:sz w:val="20"/>
        </w:rPr>
        <w:t xml:space="preserve"> of this definition (subject to the first proviso above). </w:t>
      </w:r>
    </w:p>
    <w:p>
      <w:pPr>
        <w:pStyle w:val="TextBody"/>
        <w:bidi w:val="0"/>
        <w:spacing w:before="240" w:after="0"/>
        <w:jc w:val="left"/>
        <w:rPr/>
      </w:pPr>
      <w:r>
        <w:rPr/>
        <w:t>“</w:t>
      </w:r>
      <w:r>
        <w:rPr>
          <w:rFonts w:ascii="Times New Roman" w:hAnsi="Times New Roman"/>
          <w:b/>
          <w:sz w:val="20"/>
        </w:rPr>
        <w:t>Benchmark Replacement Adjustment</w:t>
      </w:r>
      <w:r>
        <w:rPr>
          <w:rFonts w:ascii="Times New Roman" w:hAnsi="Times New Roman"/>
          <w:sz w:val="20"/>
        </w:rPr>
        <w:t xml:space="preserve">” means, with respect to any replacement of the then-current Benchmark with an Unadjusted Benchmark Replacement for any applicable Interest Period and Available Tenor for any setting of such Unadjusted Benchmark Replacement: </w:t>
      </w:r>
    </w:p>
    <w:p>
      <w:pPr>
        <w:pStyle w:val="TextBody"/>
        <w:bidi w:val="0"/>
        <w:spacing w:before="120" w:after="0"/>
        <w:jc w:val="left"/>
        <w:rPr>
          <w:rFonts w:ascii="Times New Roman" w:hAnsi="Times New Roman"/>
          <w:sz w:val="20"/>
        </w:rPr>
      </w:pPr>
      <w:r>
        <w:rPr>
          <w:rFonts w:ascii="Times New Roman" w:hAnsi="Times New Roman"/>
          <w:sz w:val="20"/>
        </w:rPr>
        <w:t xml:space="preserve">(1) for purposes of </w:t>
      </w:r>
      <w:r>
        <w:rPr>
          <w:rFonts w:ascii="Times New Roman" w:hAnsi="Times New Roman"/>
          <w:sz w:val="20"/>
          <w:u w:val="single"/>
        </w:rPr>
        <w:t>clauses (1)</w:t>
      </w:r>
      <w:r>
        <w:rPr>
          <w:rFonts w:ascii="Times New Roman" w:hAnsi="Times New Roman"/>
          <w:sz w:val="20"/>
        </w:rPr>
        <w:t xml:space="preserve"> and </w:t>
      </w:r>
      <w:r>
        <w:rPr>
          <w:rFonts w:ascii="Times New Roman" w:hAnsi="Times New Roman"/>
          <w:sz w:val="20"/>
          <w:u w:val="single"/>
        </w:rPr>
        <w:t>(2)</w:t>
      </w:r>
      <w:r>
        <w:rPr>
          <w:rFonts w:ascii="Times New Roman" w:hAnsi="Times New Roman"/>
          <w:sz w:val="20"/>
        </w:rPr>
        <w:t xml:space="preserve"> of the definition of “Benchmark Replacement,” the first alternative set forth in the order below that can be determined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w:t>
      </w:r>
    </w:p>
    <w:p>
      <w:pPr>
        <w:pStyle w:val="TextBody"/>
        <w:bidi w:val="0"/>
        <w:spacing w:before="120" w:after="0"/>
        <w:jc w:val="left"/>
        <w:rPr>
          <w:rFonts w:ascii="Times New Roman" w:hAnsi="Times New Roman"/>
          <w:sz w:val="20"/>
        </w:rPr>
      </w:pPr>
      <w:r>
        <w:rPr>
          <w:rFonts w:ascii="Times New Roman" w:hAnsi="Times New Roman"/>
          <w:sz w:val="20"/>
        </w:rPr>
        <w:t xml:space="preserve">(b)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 </w:t>
      </w:r>
    </w:p>
    <w:p>
      <w:pPr>
        <w:pStyle w:val="TextBody"/>
        <w:bidi w:val="0"/>
        <w:spacing w:before="120" w:after="0"/>
        <w:jc w:val="left"/>
        <w:rPr>
          <w:rFonts w:ascii="Times New Roman" w:hAnsi="Times New Roman"/>
          <w:sz w:val="20"/>
        </w:rPr>
      </w:pPr>
      <w:r>
        <w:rPr>
          <w:rFonts w:ascii="Times New Roman" w:hAnsi="Times New Roman"/>
          <w:sz w:val="20"/>
        </w:rPr>
        <w:t xml:space="preserve">(2) for purposes of </w:t>
      </w:r>
      <w:r>
        <w:rPr>
          <w:rFonts w:ascii="Times New Roman" w:hAnsi="Times New Roman"/>
          <w:sz w:val="20"/>
          <w:u w:val="single"/>
        </w:rPr>
        <w:t>clause (3)</w:t>
      </w:r>
      <w:r>
        <w:rPr>
          <w:rFonts w:ascii="Times New Roman" w:hAnsi="Times New Roman"/>
          <w:sz w:val="20"/>
        </w:rPr>
        <w:t xml:space="preserve">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w:t>
      </w:r>
      <w:r>
        <w:rPr>
          <w:rFonts w:ascii="Times New Roman" w:hAnsi="Times New Roman"/>
          <w:i/>
          <w:sz w:val="20"/>
        </w:rPr>
        <w:t>provided</w:t>
      </w:r>
      <w:r>
        <w:rPr>
          <w:rFonts w:ascii="Times New Roman" w:hAnsi="Times New Roman"/>
          <w:sz w:val="20"/>
        </w:rPr>
        <w:t xml:space="preserve"> that, in the case of </w:t>
      </w:r>
      <w:r>
        <w:rPr>
          <w:rFonts w:ascii="Times New Roman" w:hAnsi="Times New Roman"/>
          <w:sz w:val="20"/>
          <w:u w:val="single"/>
        </w:rPr>
        <w:t>clause (1)</w:t>
      </w:r>
      <w:r>
        <w:rPr>
          <w:rFonts w:ascii="Times New Roman" w:hAnsi="Times New Roman"/>
          <w:sz w:val="20"/>
        </w:rPr>
        <w:t xml:space="preserve"> above, such adjustment is displayed on a screen or other information service that publishes such Benchmark Replacement Adjustment from time to time as selected by the Administrative Agent in its reasonable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 Replacement Conforming Changes</w:t>
      </w:r>
      <w:r>
        <w:rPr>
          <w:rFonts w:ascii="Times New Roman" w:hAnsi="Times New Roman"/>
          <w:sz w:val="20"/>
        </w:rPr>
        <w:t xml:space="preserve">”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that no market practice for the administration of such Benchmark Replacement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b/>
          <w:sz w:val="20"/>
        </w:rPr>
        <w:t>Benchmark Replacement Date</w:t>
      </w:r>
      <w:r>
        <w:rPr>
          <w:rFonts w:ascii="Times New Roman" w:hAnsi="Times New Roman"/>
          <w:sz w:val="20"/>
        </w:rPr>
        <w:t xml:space="preserve">” means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w:t>
      </w:r>
      <w:r>
        <w:rPr>
          <w:rFonts w:ascii="Times New Roman" w:hAnsi="Times New Roman"/>
          <w:sz w:val="20"/>
          <w:u w:val="single"/>
        </w:rPr>
        <w:t>clause (3)</w:t>
      </w:r>
      <w:r>
        <w:rPr>
          <w:rFonts w:ascii="Times New Roman" w:hAnsi="Times New Roman"/>
          <w:sz w:val="20"/>
        </w:rPr>
        <w:t xml:space="preserve"> of the definition of “Benchmark Transition Event,” the date of the public statement or publication of information referenced therein; or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Term SOFR Transition Event, the date that is thirty (30) days after the date a Term SOFR Notice is provided to the Lenders and the Borrower pursuant to this </w:t>
      </w:r>
      <w:r>
        <w:rPr>
          <w:rFonts w:ascii="Times New Roman" w:hAnsi="Times New Roman"/>
          <w:sz w:val="20"/>
          <w:u w:val="single"/>
        </w:rPr>
        <w:t>Section 3.09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 Transition Event</w:t>
      </w:r>
      <w:r>
        <w:rPr>
          <w:rFonts w:ascii="Times New Roman" w:hAnsi="Times New Roman"/>
          <w:sz w:val="20"/>
        </w:rPr>
        <w:t xml:space="preserve">” means, with respect to any Benchmark,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sz w:val="20"/>
        </w:rPr>
        <w:t xml:space="preserve">provided </w:t>
      </w:r>
      <w:r>
        <w:rPr>
          <w:rFonts w:ascii="Times New Roman" w:hAnsi="Times New Roman"/>
          <w:sz w:val="20"/>
        </w:rPr>
        <w:t xml:space="preserve">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hAnsi="Times New Roman"/>
          <w:i/>
          <w:sz w:val="20"/>
        </w:rPr>
        <w:t xml:space="preserve">provided </w:t>
      </w:r>
      <w:r>
        <w:rPr>
          <w:rFonts w:ascii="Times New Roman" w:hAnsi="Times New Roman"/>
          <w:sz w:val="20"/>
        </w:rPr>
        <w:t xml:space="preserve">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b/>
          <w:sz w:val="20"/>
        </w:rPr>
        <w:t>Benchmark Unavailability Period</w:t>
      </w:r>
      <w:r>
        <w:rPr>
          <w:rFonts w:ascii="Times New Roman" w:hAnsi="Times New Roman"/>
          <w:sz w:val="20"/>
        </w:rPr>
        <w:t xml:space="preserve">” means, with respect to any Benchmark, the period (if any) (x) beginning at the time that a Benchmark Replacement Date pursuant to </w:t>
      </w:r>
      <w:r>
        <w:rPr>
          <w:rFonts w:ascii="Times New Roman" w:hAnsi="Times New Roman"/>
          <w:sz w:val="20"/>
          <w:u w:val="single"/>
        </w:rPr>
        <w:t>clauses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of that definition has occurred if, at such time, no Benchmark Replacement has replaced the then-current Benchmark for all purposes hereunder and under any Loan Document in accordance with this </w:t>
      </w:r>
      <w:r>
        <w:rPr>
          <w:rFonts w:ascii="Times New Roman" w:hAnsi="Times New Roman"/>
          <w:sz w:val="20"/>
          <w:u w:val="single"/>
        </w:rPr>
        <w:t>Section 3.09</w:t>
      </w:r>
      <w:r>
        <w:rPr>
          <w:rFonts w:ascii="Times New Roman" w:hAnsi="Times New Roman"/>
          <w:sz w:val="20"/>
        </w:rPr>
        <w:t xml:space="preserve"> and (y) ending at the time that a Benchmark Replacement has replaced the then-current Benchmark for all purposes hereunder and under any Loan Document in accordance with this </w:t>
      </w:r>
      <w:r>
        <w:rPr>
          <w:rFonts w:ascii="Times New Roman" w:hAnsi="Times New Roman"/>
          <w:sz w:val="20"/>
          <w:u w:val="single"/>
        </w:rPr>
        <w:t>Section 3.09.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Beneficial Ownership Certification</w:t>
      </w:r>
      <w:r>
        <w:rPr>
          <w:rFonts w:ascii="Times New Roman" w:hAnsi="Times New Roman"/>
          <w:sz w:val="20"/>
        </w:rPr>
        <w:t xml:space="preserve">” means a certification regarding beneficial ownership as required by the Beneficial Ownership Regulation. </w:t>
      </w:r>
    </w:p>
    <w:p>
      <w:pPr>
        <w:pStyle w:val="TextBody"/>
        <w:bidi w:val="0"/>
        <w:spacing w:before="240" w:after="0"/>
        <w:jc w:val="left"/>
        <w:rPr/>
      </w:pPr>
      <w:r>
        <w:rPr/>
        <w:t>“</w:t>
      </w:r>
      <w:r>
        <w:rPr>
          <w:rFonts w:ascii="Times New Roman" w:hAnsi="Times New Roman"/>
          <w:b/>
          <w:sz w:val="20"/>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b/>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b/>
          <w:sz w:val="20"/>
        </w:rPr>
        <w:t>Blocked Account</w:t>
      </w:r>
      <w:r>
        <w:rPr>
          <w:rFonts w:ascii="Times New Roman" w:hAnsi="Times New Roman"/>
          <w:sz w:val="20"/>
        </w:rPr>
        <w:t xml:space="preserve">” has the meaning assigned to such term in </w:t>
      </w:r>
      <w:r>
        <w:rPr>
          <w:rFonts w:ascii="Times New Roman" w:hAnsi="Times New Roman"/>
          <w:sz w:val="20"/>
          <w:u w:val="single"/>
        </w:rPr>
        <w:t>Section 6.11(c).</w:t>
      </w:r>
      <w:r>
        <w:rPr>
          <w:rFonts w:ascii="Times New Roman" w:hAnsi="Times New Roman"/>
          <w:sz w:val="20"/>
        </w:rPr>
        <w:t xml:space="preserve"> “</w:t>
      </w:r>
      <w:r>
        <w:rPr>
          <w:rFonts w:ascii="Times New Roman" w:hAnsi="Times New Roman"/>
          <w:b/>
          <w:sz w:val="20"/>
        </w:rPr>
        <w:t>Blocking Event</w:t>
      </w:r>
      <w:r>
        <w:rPr>
          <w:rFonts w:ascii="Times New Roman" w:hAnsi="Times New Roman"/>
          <w:sz w:val="20"/>
        </w:rPr>
        <w:t>” has the meaning assigned to such term in</w:t>
      </w:r>
      <w:r>
        <w:rPr>
          <w:rFonts w:ascii="Times New Roman" w:hAnsi="Times New Roman"/>
          <w:sz w:val="20"/>
          <w:u w:val="single"/>
        </w:rPr>
        <w:t xml:space="preserve"> Section 9.01(e)(ii).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as to any Person, the board of directors, board of managers or other governing body of such Person, or if such Person is owned or managed by a single entity, the board of directors, board of managers or other governing body of such entity, and the term “directors” means members of the Board of Directors. </w:t>
      </w:r>
    </w:p>
    <w:p>
      <w:pPr>
        <w:pStyle w:val="TextBody"/>
        <w:bidi w:val="0"/>
        <w:spacing w:before="240" w:after="0"/>
        <w:jc w:val="left"/>
        <w:rPr/>
      </w:pPr>
      <w:r>
        <w:rPr/>
        <w:t>“</w:t>
      </w:r>
      <w:r>
        <w:rPr>
          <w:rFonts w:ascii="Times New Roman" w:hAnsi="Times New Roman"/>
          <w:b/>
          <w:sz w:val="20"/>
        </w:rPr>
        <w:t>Bookrunners</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has the meaning specified in the introductory paragraph to this Agreement. “Borrower Materials”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Borrowing</w:t>
      </w:r>
      <w:r>
        <w:rPr>
          <w:rFonts w:ascii="Times New Roman" w:hAnsi="Times New Roman"/>
          <w:sz w:val="20"/>
        </w:rPr>
        <w:t xml:space="preserve">” means a borrowing consisting of Loans of the same Class and Type made, converted or continued on the same date and, in the case of SOFR Rate Loans, having the same Interest Period.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(i) any day that is not a Saturday, Sunday or other day on which commercial banks in New York City are authorized or required by law to remain closed and (ii) with respect to all notices, determinations, fundings and payments in connection with any SOFR Rate Loans, the term “Business Day” means any day which is a Business Day described in </w:t>
      </w:r>
      <w:r>
        <w:rPr>
          <w:rFonts w:ascii="Times New Roman" w:hAnsi="Times New Roman"/>
          <w:sz w:val="20"/>
          <w:u w:val="single"/>
        </w:rPr>
        <w:t>clause (i)</w:t>
      </w:r>
      <w:r>
        <w:rPr>
          <w:rFonts w:ascii="Times New Roman" w:hAnsi="Times New Roman"/>
          <w:sz w:val="20"/>
        </w:rPr>
        <w:t xml:space="preserve"> and which is also a U.S. Government Securities Business Day. </w:t>
      </w:r>
    </w:p>
    <w:p>
      <w:pPr>
        <w:pStyle w:val="TextBody"/>
        <w:bidi w:val="0"/>
        <w:spacing w:before="240" w:after="0"/>
        <w:jc w:val="left"/>
        <w:rPr/>
      </w:pPr>
      <w:r>
        <w:rPr/>
        <w:t>“</w:t>
      </w:r>
      <w:r>
        <w:rPr>
          <w:rFonts w:ascii="Times New Roman" w:hAnsi="Times New Roman"/>
          <w:b/>
          <w:sz w:val="20"/>
        </w:rPr>
        <w:t>Business Successor</w:t>
      </w:r>
      <w:r>
        <w:rPr>
          <w:rFonts w:ascii="Times New Roman" w:hAnsi="Times New Roman"/>
          <w:sz w:val="20"/>
        </w:rPr>
        <w:t xml:space="preserve">” means (i) any former Subsidiary of the Borrower and (ii) any Person that, after the Closing Date, has acquired, merged or consolidated with a Subsidiary of the Borrower (that results in such Subsidiary ceasing to be a Subsidiary of the Borrower), or acquired (in one transaction or a series of transactions) all or substantially all of the property and assets or business of a Subsidiary or assets constituting a business unit, line of business or division of a Subsidiary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Capitalized Lease Obligation</w:t>
      </w:r>
      <w:r>
        <w:rPr>
          <w:rFonts w:ascii="Times New Roman" w:hAnsi="Times New Roman"/>
          <w:sz w:val="20"/>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w:t>
      </w:r>
    </w:p>
    <w:p>
      <w:pPr>
        <w:pStyle w:val="TextBody"/>
        <w:bidi w:val="0"/>
        <w:spacing w:before="240" w:after="0"/>
        <w:jc w:val="left"/>
        <w:rPr/>
      </w:pPr>
      <w:r>
        <w:rPr/>
        <w:t>“</w:t>
      </w:r>
      <w:r>
        <w:rPr>
          <w:rFonts w:ascii="Times New Roman" w:hAnsi="Times New Roman"/>
          <w:b/>
          <w:sz w:val="20"/>
        </w:rPr>
        <w:t>Capitalized Leases</w:t>
      </w:r>
      <w:r>
        <w:rPr>
          <w:rFonts w:ascii="Times New Roman" w:hAnsi="Times New Roman"/>
          <w:sz w:val="20"/>
        </w:rPr>
        <w:t xml:space="preserve">” means all capital or finance leases that have been or are required to be, in accordance with GAAP as in effect on the Closing Date, recorded as capitalized leases; </w:t>
      </w:r>
      <w:r>
        <w:rPr>
          <w:rFonts w:ascii="Times New Roman" w:hAnsi="Times New Roman"/>
          <w:i/>
          <w:sz w:val="20"/>
        </w:rPr>
        <w:t xml:space="preserve">provided </w:t>
      </w:r>
      <w:r>
        <w:rPr>
          <w:rFonts w:ascii="Times New Roman" w:hAnsi="Times New Roman"/>
          <w:sz w:val="20"/>
        </w:rPr>
        <w:t xml:space="preserve">that for all purposes hereunder the amount of obligations under any Capitalized Lease shall be the amount thereof accounted for as a liability in accordance with GAAP as in effect on the Closing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all obligations of the Borrower and its Restricted Subsidiaries that are or would be characterized as an operating lease as determined in accordance with GAAP prior to the adoption of Accounting Standards Codification Topic 842, “Leases,” shall be accounted for as an operating lease (and not as a Capitalized Lease) for purposes of this Agreement regardless of any change in GAAP following the Closing Date (that would otherwise require such obligation to be recharacterized as a Capitalized Lease). </w:t>
      </w:r>
    </w:p>
    <w:p>
      <w:pPr>
        <w:pStyle w:val="TextBody"/>
        <w:bidi w:val="0"/>
        <w:spacing w:before="240" w:after="0"/>
        <w:jc w:val="left"/>
        <w:rPr/>
      </w:pPr>
      <w:r>
        <w:rPr/>
        <w:t>“</w:t>
      </w:r>
      <w:r>
        <w:rPr>
          <w:rFonts w:ascii="Times New Roman" w:hAnsi="Times New Roman"/>
          <w:b/>
          <w:sz w:val="20"/>
        </w:rPr>
        <w:t>Captive Insurance Subsidiary</w:t>
      </w:r>
      <w:r>
        <w:rPr>
          <w:rFonts w:ascii="Times New Roman" w:hAnsi="Times New Roman"/>
          <w:sz w:val="20"/>
        </w:rPr>
        <w:t xml:space="preserve">” means any Subsidiary of the Borrower that is subject to regulation as an insurance company (or any Subsidiary thereof). </w:t>
      </w:r>
    </w:p>
    <w:p>
      <w:pPr>
        <w:pStyle w:val="TextBody"/>
        <w:bidi w:val="0"/>
        <w:spacing w:before="240" w:after="0"/>
        <w:jc w:val="left"/>
        <w:rPr/>
      </w:pPr>
      <w:r>
        <w:rPr/>
        <w:t>“</w:t>
      </w:r>
      <w:r>
        <w:rPr>
          <w:rFonts w:ascii="Times New Roman" w:hAnsi="Times New Roman"/>
          <w:b/>
          <w:sz w:val="20"/>
        </w:rPr>
        <w:t>Cash Collateral Account</w:t>
      </w:r>
      <w:r>
        <w:rPr>
          <w:rFonts w:ascii="Times New Roman" w:hAnsi="Times New Roman"/>
          <w:sz w:val="20"/>
        </w:rPr>
        <w:t xml:space="preserve">” means an account held at (or through), and subject to the sole dominion and control of, the Administrative Agent. </w:t>
      </w:r>
    </w:p>
    <w:p>
      <w:pPr>
        <w:pStyle w:val="TextBody"/>
        <w:bidi w:val="0"/>
        <w:spacing w:before="240" w:after="0"/>
        <w:jc w:val="left"/>
        <w:rPr/>
      </w:pPr>
      <w:r>
        <w:rPr/>
        <w:t>“</w:t>
      </w:r>
      <w:r>
        <w:rPr>
          <w:rFonts w:ascii="Times New Roman" w:hAnsi="Times New Roman"/>
          <w:b/>
          <w:sz w:val="20"/>
        </w:rPr>
        <w:t>Cash Collateralize</w:t>
      </w:r>
      <w:r>
        <w:rPr>
          <w:rFonts w:ascii="Times New Roman" w:hAnsi="Times New Roman"/>
          <w:sz w:val="20"/>
        </w:rPr>
        <w:t>” means, in respect of an Obligation, to provide and pledge (as a first priority perfected security interest) cash collateral in Dollars, at a location and pursuant to documentation in form and substance satisfactory to Administrative Agent or an Issuing Bank, as applicable (and “</w:t>
      </w:r>
      <w:r>
        <w:rPr>
          <w:rFonts w:ascii="Times New Roman" w:hAnsi="Times New Roman"/>
          <w:b/>
          <w:sz w:val="20"/>
        </w:rPr>
        <w:t>Cash Collateralization</w:t>
      </w:r>
      <w:r>
        <w:rPr>
          <w:rFonts w:ascii="Times New Roman" w:hAnsi="Times New Roman"/>
          <w:sz w:val="20"/>
        </w:rPr>
        <w:t>” has a corresponding meaning). “</w:t>
      </w:r>
      <w:r>
        <w:rPr>
          <w:rFonts w:ascii="Times New Roman" w:hAnsi="Times New Roman"/>
          <w:b/>
          <w:sz w:val="20"/>
        </w:rPr>
        <w:t>Cash Collateral</w:t>
      </w:r>
      <w:r>
        <w:rPr>
          <w:rFonts w:ascii="Times New Roman" w:hAnsi="Times New Roman"/>
          <w:sz w:val="20"/>
        </w:rPr>
        <w:t xml:space="preserve">” shall have a meaning correlative to the foregoing and shall include the proceeds of such cash collateral and other credit support.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means any of the following types of Investments (including for the avoidance of doubt, cash), to the extent owned by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(a) Dollars; </w:t>
      </w:r>
    </w:p>
    <w:p>
      <w:pPr>
        <w:pStyle w:val="TextBody"/>
        <w:bidi w:val="0"/>
        <w:spacing w:before="120" w:after="0"/>
        <w:jc w:val="left"/>
        <w:rPr>
          <w:rFonts w:ascii="Times New Roman" w:hAnsi="Times New Roman"/>
          <w:sz w:val="20"/>
        </w:rPr>
      </w:pPr>
      <w:r>
        <w:rPr>
          <w:rFonts w:ascii="Times New Roman" w:hAnsi="Times New Roman"/>
          <w:sz w:val="20"/>
        </w:rPr>
        <w:t xml:space="preserve">(b) securities issued or directly and fully guaranteed or insured by the United States, government, a member of the European Union or, in each case any agency or instrumentality thereof the securities of which are guaranteed as a full faith and credit obligation of such government with maturities of one year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(c) certificates of deposit, time deposits, eurodollar time deposits, overnight bank deposits, demand deposits or bankers’ acceptances with maturities of one year or less from the date of acquisition, in each case with a Lender or any other financial institution whose short-term unsecured debt rating is A or A2 or above as obtained from either S&amp;P or Moody’s having capital and surplus of not less than $250,000,000 (or the foreign currency equivalent thereof as of the date of such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repurchase obligations for underlying securities of the types described in</w:t>
      </w:r>
      <w:r>
        <w:rPr>
          <w:rFonts w:ascii="Times New Roman" w:hAnsi="Times New Roman"/>
          <w:sz w:val="20"/>
          <w:u w:val="single"/>
        </w:rPr>
        <w:t xml:space="preserve"> clauses (c)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above or </w:t>
      </w:r>
      <w:r>
        <w:rPr>
          <w:rFonts w:ascii="Times New Roman" w:hAnsi="Times New Roman"/>
          <w:sz w:val="20"/>
          <w:u w:val="single"/>
        </w:rPr>
        <w:t>clauses (g)</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below and securities with maturities of one year or less from the date of acquisition backed by standby letters of credit, in each case, entered into with any financial institution meeting the qualifications specified in</w:t>
      </w:r>
      <w:r>
        <w:rPr>
          <w:rFonts w:ascii="Times New Roman" w:hAnsi="Times New Roman"/>
          <w:sz w:val="20"/>
          <w:u w:val="single"/>
        </w:rPr>
        <w:t xml:space="preserve"> clause (d)</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(e) commercial paper and variable or fixed rate notes issued by any financial institution meeting the qualifications specified in </w:t>
      </w:r>
      <w:r>
        <w:rPr>
          <w:rFonts w:ascii="Times New Roman" w:hAnsi="Times New Roman"/>
          <w:sz w:val="20"/>
          <w:u w:val="single"/>
        </w:rPr>
        <w:t>clause (d)</w:t>
      </w:r>
      <w:r>
        <w:rPr>
          <w:rFonts w:ascii="Times New Roman" w:hAnsi="Times New Roman"/>
          <w:sz w:val="20"/>
        </w:rPr>
        <w:t xml:space="preserve"> above (or by the parent company thereof) with maturities of one year or less from the date of creation; </w:t>
      </w:r>
    </w:p>
    <w:p>
      <w:pPr>
        <w:pStyle w:val="TextBody"/>
        <w:bidi w:val="0"/>
        <w:spacing w:before="120" w:after="0"/>
        <w:jc w:val="left"/>
        <w:rPr>
          <w:rFonts w:ascii="Times New Roman" w:hAnsi="Times New Roman"/>
          <w:sz w:val="20"/>
        </w:rPr>
      </w:pPr>
      <w:r>
        <w:rPr>
          <w:rFonts w:ascii="Times New Roman" w:hAnsi="Times New Roman"/>
          <w:sz w:val="20"/>
        </w:rPr>
        <w:t xml:space="preserve">(f) marketable short-term money market and similar highly liquid funds having a rating of at least P-2 or A-2 from Moody’s or S&amp;P, respectively (or, if at any time neither Moody’s nor S&amp;P shall be rating such obligations, an equivalent rating from another nationally recognized statistical rating agency); </w:t>
      </w:r>
    </w:p>
    <w:p>
      <w:pPr>
        <w:pStyle w:val="TextBody"/>
        <w:bidi w:val="0"/>
        <w:spacing w:before="120" w:after="0"/>
        <w:jc w:val="left"/>
        <w:rPr>
          <w:rFonts w:ascii="Times New Roman" w:hAnsi="Times New Roman"/>
          <w:sz w:val="20"/>
        </w:rPr>
      </w:pPr>
      <w:r>
        <w:rPr>
          <w:rFonts w:ascii="Times New Roman" w:hAnsi="Times New Roman"/>
          <w:sz w:val="20"/>
        </w:rPr>
        <w:t xml:space="preserve">(g) readily marketable direct obligations issued by and directly and fully guaranteed or insured by any state, commonwealth, province or territory of the United States or any political subdivision or taxing authority thereof, in each case rated at least A by S&amp;P or A by Moody’s (or, if at any time neither Moody’s nor S&amp;P shall be rating such obligations, an equivalent rating from another nationally recognized statistical rating agency) with maturities of 12 months or less from the date of acquisition; and </w:t>
      </w:r>
    </w:p>
    <w:p>
      <w:pPr>
        <w:pStyle w:val="TextBody"/>
        <w:bidi w:val="0"/>
        <w:spacing w:before="120" w:after="0"/>
        <w:jc w:val="left"/>
        <w:rPr>
          <w:rFonts w:ascii="Times New Roman" w:hAnsi="Times New Roman"/>
          <w:sz w:val="20"/>
        </w:rPr>
      </w:pPr>
      <w:r>
        <w:rPr>
          <w:rFonts w:ascii="Times New Roman" w:hAnsi="Times New Roman"/>
          <w:sz w:val="20"/>
        </w:rPr>
        <w:t xml:space="preserve">(h) Investments with average maturities of 12 months or less from the date of acquisition in money market funds rated AAA (or the equivalent thereof) or better by S&amp;P or Aaa (or the equivalent thereof) or better by Moody’s (or, if at any time neither Moody’s nor S&amp;P shall be rating such obligations, an equivalent rating from another nationally recognized statistical rating agency) and have portfolio assets of at least U.S.$1,000,000,000.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(h)</w:t>
      </w:r>
      <w:r>
        <w:rPr>
          <w:rFonts w:ascii="Times New Roman" w:hAnsi="Times New Roman"/>
          <w:sz w:val="20"/>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(h)</w:t>
      </w:r>
      <w:r>
        <w:rPr>
          <w:rFonts w:ascii="Times New Roman" w:hAnsi="Times New Roman"/>
          <w:sz w:val="20"/>
        </w:rPr>
        <w:t xml:space="preserve"> above and in this paragraph. Notwithstanding the foregoing, Cash Equivalents shall include amounts denominated in Dollars, Canadian dollars, Australian dollars, pounds sterling, yen, euro, or any other national currency of any member state of the European Union; provided that (other than as set forth in </w:t>
      </w:r>
      <w:r>
        <w:rPr>
          <w:rFonts w:ascii="Times New Roman" w:hAnsi="Times New Roman"/>
          <w:sz w:val="20"/>
          <w:u w:val="single"/>
        </w:rPr>
        <w:t>clause (a)</w:t>
      </w:r>
      <w:r>
        <w:rPr>
          <w:rFonts w:ascii="Times New Roman" w:hAnsi="Times New Roman"/>
          <w:sz w:val="20"/>
        </w:rPr>
        <w:t xml:space="preserve"> above) such amounts, except amounts used to pay obligations of the Borrower or any Restricted Subsidiary denominated in any currency other than Dollars in the ordinary course of business, are converted into Dollars as promptly as practicable and in any event within ten Business Days following the receipt of such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Cash Management Bank</w:t>
      </w:r>
      <w:r>
        <w:rPr>
          <w:rFonts w:ascii="Times New Roman" w:hAnsi="Times New Roman"/>
          <w:sz w:val="20"/>
        </w:rPr>
        <w:t xml:space="preserve">” means any Person that is a Lender or Agent or an Affiliate of a Lender or Agent (a) on the Closing Date (with respect to any Cash Management Services entered into prior to the Closing Date), (b) at the time it initially provides any Cash Management Services to the Borrower or any Restricted Subsidiary, or (c) at the time that the Person to whom the Cash Management Services are provided is merged with the Borrower or becomes or is merged with a Restricted Subsidiary (with respect to any Cash Management Services entered into prior to the date of such merger or such Person becoming a Restricted Subsidiary), in each case whether or not such Person subsequently ceases to be a Lender or Agent or an Affiliate of a Lender or Agent. </w:t>
      </w:r>
    </w:p>
    <w:p>
      <w:pPr>
        <w:pStyle w:val="TextBody"/>
        <w:bidi w:val="0"/>
        <w:spacing w:before="240" w:after="0"/>
        <w:jc w:val="left"/>
        <w:rPr/>
      </w:pPr>
      <w:r>
        <w:rPr/>
        <w:t>“</w:t>
      </w:r>
      <w:r>
        <w:rPr>
          <w:rFonts w:ascii="Times New Roman" w:hAnsi="Times New Roman"/>
          <w:b/>
          <w:sz w:val="20"/>
        </w:rPr>
        <w:t>Cash Management Obligations</w:t>
      </w:r>
      <w:r>
        <w:rPr>
          <w:rFonts w:ascii="Times New Roman" w:hAnsi="Times New Roman"/>
          <w:sz w:val="20"/>
        </w:rPr>
        <w:t xml:space="preserve">” means obligations owed by the Borrower or any Restricted Subsidiary to any Cash Management Bank in respect of or in connection with any Cash Management Services and designated by the Cash Management Bank and the Borrower in writing to the Administrative Agent as “Cash Management Obligations.” </w:t>
      </w:r>
    </w:p>
    <w:p>
      <w:pPr>
        <w:pStyle w:val="TextBody"/>
        <w:bidi w:val="0"/>
        <w:spacing w:before="240" w:after="0"/>
        <w:jc w:val="left"/>
        <w:rPr/>
      </w:pPr>
      <w:r>
        <w:rPr/>
        <w:t>“</w:t>
      </w:r>
      <w:r>
        <w:rPr>
          <w:rFonts w:ascii="Times New Roman" w:hAnsi="Times New Roman"/>
          <w:b/>
          <w:sz w:val="20"/>
        </w:rPr>
        <w:t>Cash Management Services</w:t>
      </w:r>
      <w:r>
        <w:rPr>
          <w:rFonts w:ascii="Times New Roman" w:hAnsi="Times New Roman"/>
          <w:sz w:val="20"/>
        </w:rPr>
        <w:t xml:space="preserve">” means any agreement or arrangement to provide cash management services, including treasury, depository, overdraft, credit card processing, credit or debit card, purchase card, electronic funds transfer and other cash management arrangements. </w:t>
      </w:r>
    </w:p>
    <w:p>
      <w:pPr>
        <w:pStyle w:val="TextBody"/>
        <w:bidi w:val="0"/>
        <w:spacing w:before="240" w:after="0"/>
        <w:jc w:val="left"/>
        <w:rPr/>
      </w:pPr>
      <w:r>
        <w:rPr/>
        <w:t>“</w:t>
      </w:r>
      <w:r>
        <w:rPr>
          <w:rFonts w:ascii="Times New Roman" w:hAnsi="Times New Roman"/>
          <w:b/>
          <w:sz w:val="20"/>
        </w:rPr>
        <w:t>Casualty Event</w:t>
      </w:r>
      <w:r>
        <w:rPr>
          <w:rFonts w:ascii="Times New Roman" w:hAnsi="Times New Roman"/>
          <w:sz w:val="20"/>
        </w:rPr>
        <w:t xml:space="preserve">” means any event that gives rise to the receipt by a Loan Party of any insurance proceeds or condemnation awards in respect of any equipment, fixed assets or real property (including any improvements thereon) to replace or repair such equipment, fixed assets or real property. </w:t>
      </w:r>
    </w:p>
    <w:p>
      <w:pPr>
        <w:pStyle w:val="TextBody"/>
        <w:bidi w:val="0"/>
        <w:spacing w:before="240" w:after="0"/>
        <w:jc w:val="left"/>
        <w:rPr/>
      </w:pPr>
      <w:r>
        <w:rPr/>
        <w:t>“</w:t>
      </w:r>
      <w:r>
        <w:rPr>
          <w:rFonts w:ascii="Times New Roman" w:hAnsi="Times New Roman"/>
          <w:b/>
          <w:sz w:val="20"/>
        </w:rPr>
        <w:t>Change in Law</w:t>
      </w:r>
      <w:r>
        <w:rPr>
          <w:rFonts w:ascii="Times New Roman" w:hAnsi="Times New Roman"/>
          <w:sz w:val="20"/>
        </w:rPr>
        <w:t xml:space="preserve">” means the occurrence, after the date of this Agreement,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adoption or taking effect of any law, rule, regulation or treaty (excluding the taking effect after the date of this Agreement of a law, rule, regulation or treaty adopted prior to the date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any law, rule, regulation or treaty or in the administration, interpretation or application thereof by any Governmental Authority or (c) the making or issuance of any request, guideline or directive (whether or not having the force of law) by any Governmental Authority. It is understood and agreed that (i) the Dodd-Frank Wall Street Reform and Consumer Protection Act (Pub. L. 111-203, H.R. 4173), all Laws relating thereto, all interpretations and applications thereof and any compliance by a Lender with any and all requests, rules, guidelines, requirements and directives thereunder or issued in connection therewith or in implementation thereof or relating thereto and (ii) all requests, rules, guidelines, requirements or directives issued by any United States or foreign regulatory authority in connection with the implementation of the recommendations of the Bank for International Settlements or the Basel Committee on Banking Regulations and Supervisory Practices (or any successor or similar authority) in each case pursuant to Basel III, shall, for the purposes of this Agreement, be deemed to be adopted subsequent to the date hereof and a Change in Law regardless of the date enacted, adopted, issued, promulgated or implemented.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Change of Control</w:t>
      </w:r>
      <w:r>
        <w:rPr>
          <w:rFonts w:ascii="Times New Roman" w:hAnsi="Times New Roman"/>
          <w:sz w:val="20"/>
        </w:rPr>
        <w:t xml:space="preserve">” means the earliest to occur of: </w:t>
      </w:r>
    </w:p>
    <w:p>
      <w:pPr>
        <w:pStyle w:val="TextBody"/>
        <w:bidi w:val="0"/>
        <w:spacing w:before="120" w:after="0"/>
        <w:jc w:val="left"/>
        <w:rPr>
          <w:rFonts w:ascii="Times New Roman" w:hAnsi="Times New Roman"/>
          <w:sz w:val="20"/>
        </w:rPr>
      </w:pPr>
      <w:r>
        <w:rPr>
          <w:rFonts w:ascii="Times New Roman" w:hAnsi="Times New Roman"/>
          <w:sz w:val="20"/>
        </w:rPr>
        <w:t xml:space="preserve">(a) (i) at any time while the Voting Stock of the Borrower (or any Parent Entity) is publicly traded, the Borrower (or such Parent Entity) becomes aware of (by way of a report or any other filing pursuant to Section 13(d) of the Exchange Act, proxy, vote, written notice or otherwise) or (ii) at any other time, any “person” or “group” (as each term is used in Sections 13(d) and 14(d) of the Exchange Act as in effect on the Closing Date), other than one or more Permitted Holders or any Parent Entity, that is or becomes the “beneficial owner” (as defined in Rules 13d-3 and 13d-5 of the Exchange Act as in effect on the Closing Date) of more than 50% of the total voting power of the Voting Stock of the Borrower (or any Parent Entity); </w:t>
      </w:r>
      <w:r>
        <w:rPr>
          <w:rFonts w:ascii="Times New Roman" w:hAnsi="Times New Roman"/>
          <w:i/>
          <w:sz w:val="20"/>
        </w:rPr>
        <w:t xml:space="preserve">provided </w:t>
      </w:r>
      <w:r>
        <w:rPr>
          <w:rFonts w:ascii="Times New Roman" w:hAnsi="Times New Roman"/>
          <w:sz w:val="20"/>
        </w:rPr>
        <w:t xml:space="preserve">that (x) so long as the Borrower is a Subsidiary of any Parent Entity, no person shall be deemed to be or become a beneficial owner of more than 50% of the total voting power of the Voting Stock of the Borrower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notwithstanding the foregoing or the other provisions of this Agreement, so long as the change in total voting power of the Voting Stock of the Borrower (or any Parent Entity) as set forth in this clause (a) is a result of the Sponsors ceasing to hold their Equity Interests in connection with any Qualifying IPO or any other Equity Offering after any Qualifying IPO (including, for the avoidance of doubt, any block trades and/or secondary offering), no “Change of Control” shall occur; or </w:t>
      </w:r>
    </w:p>
    <w:p>
      <w:pPr>
        <w:pStyle w:val="TextBody"/>
        <w:bidi w:val="0"/>
        <w:spacing w:before="120" w:after="0"/>
        <w:jc w:val="left"/>
        <w:rPr>
          <w:rFonts w:ascii="Times New Roman" w:hAnsi="Times New Roman"/>
          <w:sz w:val="20"/>
        </w:rPr>
      </w:pPr>
      <w:r>
        <w:rPr>
          <w:rFonts w:ascii="Times New Roman" w:hAnsi="Times New Roman"/>
          <w:sz w:val="20"/>
        </w:rPr>
        <w:t xml:space="preserve">(b) the sale or transfer, in one or a series of related transactions, of all or substantially all of the assets of the Borrower and its Restricted Subsidiaries, taken as a whole, to a Person (other than the Borrower or any of its Restricted Subsidiaries or one or more Permitted Holders) and any “person” or “group” (each, as defined in </w:t>
      </w:r>
      <w:r>
        <w:rPr>
          <w:rFonts w:ascii="Times New Roman" w:hAnsi="Times New Roman"/>
          <w:sz w:val="20"/>
          <w:u w:val="single"/>
        </w:rPr>
        <w:t>clause (a)</w:t>
      </w:r>
      <w:r>
        <w:rPr>
          <w:rFonts w:ascii="Times New Roman" w:hAnsi="Times New Roman"/>
          <w:sz w:val="20"/>
        </w:rPr>
        <w:t xml:space="preserve"> above), other than one or more Permitted Holders or any Parent Entity, is or becomes the “beneficial owner” (as so defined) of more than 50% of the total voting power of the Voting Stock of the transferee Person in such sale or transfer of assets, as the case may be; </w:t>
      </w:r>
      <w:r>
        <w:rPr>
          <w:rFonts w:ascii="Times New Roman" w:hAnsi="Times New Roman"/>
          <w:i/>
          <w:sz w:val="20"/>
        </w:rPr>
        <w:t xml:space="preserve">provided </w:t>
      </w:r>
      <w:r>
        <w:rPr>
          <w:rFonts w:ascii="Times New Roman" w:hAnsi="Times New Roman"/>
          <w:sz w:val="20"/>
        </w:rPr>
        <w:t xml:space="preserve">that (x) so long as the Borrower is a Subsidiary of any Parent Entity, no person shall be deemed to be or become a beneficial owner of more than 50% of the total voting power of the Voting Stock of the Borrower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agreement, (ii) if any group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(v) for purposes of this definition, a time charter of, bareboat charter or other contract for, vessels to customers in the ordinary course of business shall not be deemed a sale or transfer of assets under </w:t>
      </w:r>
      <w:r>
        <w:rPr>
          <w:rFonts w:ascii="Times New Roman" w:hAnsi="Times New Roman"/>
          <w:sz w:val="20"/>
          <w:u w:val="single"/>
        </w:rPr>
        <w:t>clause (a)</w:t>
      </w:r>
      <w:r>
        <w:rPr>
          <w:rFonts w:ascii="Times New Roman" w:hAnsi="Times New Roman"/>
          <w:sz w:val="20"/>
        </w:rPr>
        <w:t xml:space="preserve"> above and (vi) a Change of Control shall not occur as a result of any Reorganization Transactions and any transactions relating thereto.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xml:space="preserve">” when used in reference to, </w:t>
      </w:r>
    </w:p>
    <w:p>
      <w:pPr>
        <w:pStyle w:val="TextBody"/>
        <w:bidi w:val="0"/>
        <w:spacing w:before="120" w:after="0"/>
        <w:jc w:val="left"/>
        <w:rPr>
          <w:rFonts w:ascii="Times New Roman" w:hAnsi="Times New Roman"/>
          <w:sz w:val="20"/>
        </w:rPr>
      </w:pPr>
      <w:r>
        <w:rPr>
          <w:rFonts w:ascii="Times New Roman" w:hAnsi="Times New Roman"/>
          <w:sz w:val="20"/>
        </w:rPr>
        <w:t xml:space="preserve">(a) any Loan or Borrowing, refers to whether such Loan, or the Loans comprising such Borrowing, are Revolving Loans, Incremental Loans, Refinancing Loans or Extended Loans,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Commitment, refers to whether such Commitment is a Commitment in respect of Revolving Loans, Refinancing Commitment (and, in the case of a Refinancing Commitment, the Class of Loans to which such commitment relates) or a Commitment in respect of a Class of Loans to be made pursuant to an Incremental Amendment or an Extension Amendment,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Lender, refers to whether such Lender has a Loan or Commitment with respect to a particular Class of Loans or Commitments. Refinancing Commitments and Refinancing Loans that have different terms and conditions shall be construed to be in different Classes. </w:t>
            </w:r>
          </w:p>
        </w:tc>
      </w:tr>
    </w:tbl>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means August 13, 2024. </w:t>
      </w:r>
    </w:p>
    <w:p>
      <w:pPr>
        <w:pStyle w:val="TextBody"/>
        <w:bidi w:val="0"/>
        <w:spacing w:before="240" w:after="0"/>
        <w:jc w:val="left"/>
        <w:rPr/>
      </w:pPr>
      <w:r>
        <w:rPr/>
        <w:t>“</w:t>
      </w:r>
      <w:r>
        <w:rPr>
          <w:rFonts w:ascii="Times New Roman" w:hAnsi="Times New Roman"/>
          <w:b/>
          <w:sz w:val="20"/>
        </w:rPr>
        <w:t>Closing Date Consolidated Net Tangible Assets</w:t>
      </w:r>
      <w:r>
        <w:rPr>
          <w:rFonts w:ascii="Times New Roman" w:hAnsi="Times New Roman"/>
          <w:sz w:val="20"/>
        </w:rPr>
        <w:t xml:space="preserve">” means $818,331,499. </w:t>
      </w:r>
    </w:p>
    <w:p>
      <w:pPr>
        <w:pStyle w:val="TextBody"/>
        <w:bidi w:val="0"/>
        <w:spacing w:before="240" w:after="0"/>
        <w:jc w:val="left"/>
        <w:rPr/>
      </w:pPr>
      <w:r>
        <w:rPr/>
        <w:t>“</w:t>
      </w:r>
      <w:r>
        <w:rPr>
          <w:rFonts w:ascii="Times New Roman" w:hAnsi="Times New Roman"/>
          <w:b/>
          <w:sz w:val="20"/>
        </w:rPr>
        <w:t>Closing Date Total Net Leverage Ratio</w:t>
      </w:r>
      <w:r>
        <w:rPr>
          <w:rFonts w:ascii="Times New Roman" w:hAnsi="Times New Roman"/>
          <w:sz w:val="20"/>
        </w:rPr>
        <w:t xml:space="preserve">” means 1.67 to 1.00.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Collateral</w:t>
      </w:r>
      <w:r>
        <w:rPr>
          <w:rFonts w:ascii="Times New Roman" w:hAnsi="Times New Roman"/>
          <w:sz w:val="20"/>
        </w:rPr>
        <w:t xml:space="preserve">” means all the “Collateral” (or equivalent term) as defined in any Collateral Document (including the Vessel Collateral), and all other property that is subject or purported to be subject to any Lien in favor of the Collateral Agent for the benefit of the Secured Parties pursuant to any Collateral Document, but in any event excluding all Excluded Assets. </w:t>
      </w:r>
    </w:p>
    <w:p>
      <w:pPr>
        <w:pStyle w:val="TextBody"/>
        <w:bidi w:val="0"/>
        <w:spacing w:before="240" w:after="0"/>
        <w:jc w:val="left"/>
        <w:rPr/>
      </w:pPr>
      <w:r>
        <w:rPr/>
        <w:t>“</w:t>
      </w:r>
      <w:r>
        <w:rPr>
          <w:rFonts w:ascii="Times New Roman" w:hAnsi="Times New Roman"/>
          <w:b/>
          <w:sz w:val="20"/>
        </w:rPr>
        <w:t>Collateral Agent</w:t>
      </w:r>
      <w:r>
        <w:rPr>
          <w:rFonts w:ascii="Times New Roman" w:hAnsi="Times New Roman"/>
          <w:sz w:val="20"/>
        </w:rPr>
        <w:t xml:space="preserve">” means, initially, Wilmington Trust, National Association, </w:t>
      </w:r>
      <w:r>
        <w:rPr>
          <w:rFonts w:ascii="Times New Roman" w:hAnsi="Times New Roman"/>
          <w:color w:val="0000FF"/>
          <w:sz w:val="20"/>
          <w:u w:val="single"/>
          <w:bdr w:val="double" w:sz="2" w:space="1" w:color="000000"/>
        </w:rPr>
        <w:t xml:space="preserve">(a) prior to the First Amendment Effective Date, </w:t>
      </w:r>
      <w:r>
        <w:rPr>
          <w:rFonts w:ascii="Times New Roman" w:hAnsi="Times New Roman"/>
          <w:sz w:val="20"/>
        </w:rPr>
        <w:t xml:space="preserve">as collateral agent under the Loan Documents, and </w:t>
      </w:r>
      <w:r>
        <w:rPr>
          <w:rFonts w:ascii="Times New Roman" w:hAnsi="Times New Roman"/>
          <w:color w:val="0000FF"/>
          <w:sz w:val="20"/>
          <w:u w:val="single"/>
          <w:bdr w:val="double" w:sz="2" w:space="1" w:color="000000"/>
        </w:rPr>
        <w:t>(b) thereafter, as Collateral Trustee under the First Amendment Collateral Trust Agreement and the other Loan Documents, and</w:t>
      </w:r>
      <w:r>
        <w:rPr>
          <w:rFonts w:ascii="Times New Roman" w:hAnsi="Times New Roman"/>
          <w:sz w:val="20"/>
        </w:rPr>
        <w:t xml:space="preserve"> any successor thereto. </w:t>
      </w:r>
    </w:p>
    <w:p>
      <w:pPr>
        <w:pStyle w:val="TextBody"/>
        <w:bidi w:val="0"/>
        <w:spacing w:before="240" w:after="0"/>
        <w:jc w:val="left"/>
        <w:rPr/>
      </w:pPr>
      <w:r>
        <w:rPr/>
        <w:t>“</w:t>
      </w:r>
      <w:r>
        <w:rPr>
          <w:rFonts w:ascii="Times New Roman" w:hAnsi="Times New Roman"/>
          <w:b/>
          <w:sz w:val="20"/>
        </w:rPr>
        <w:t>Collateral Agency Fee Letter</w:t>
      </w:r>
      <w:r>
        <w:rPr>
          <w:rFonts w:ascii="Times New Roman" w:hAnsi="Times New Roman"/>
          <w:sz w:val="20"/>
        </w:rPr>
        <w:t xml:space="preserve">”means the Fee Letter, dated as of August 13, 2024, by and among the Borrower and the Collateral Agent, as amended, restated, amended and restated, supplemented or otherwise modified from time to time in accordance with the terms thereof. </w:t>
      </w:r>
    </w:p>
    <w:p>
      <w:pPr>
        <w:pStyle w:val="TextBody"/>
        <w:bidi w:val="0"/>
        <w:spacing w:before="240" w:after="0"/>
        <w:jc w:val="left"/>
        <w:rPr/>
      </w:pPr>
      <w:r>
        <w:rPr/>
        <w:t>“</w:t>
      </w:r>
      <w:r>
        <w:rPr>
          <w:rFonts w:ascii="Times New Roman" w:hAnsi="Times New Roman"/>
          <w:b/>
          <w:sz w:val="20"/>
        </w:rPr>
        <w:t>Collateral Agreement</w:t>
      </w:r>
      <w:r>
        <w:rPr>
          <w:rFonts w:ascii="Times New Roman" w:hAnsi="Times New Roman"/>
          <w:sz w:val="20"/>
        </w:rPr>
        <w:t xml:space="preserve">” means </w:t>
      </w:r>
      <w:r>
        <w:rPr>
          <w:rFonts w:ascii="Times New Roman" w:hAnsi="Times New Roman"/>
          <w:color w:val="0000FF"/>
          <w:sz w:val="20"/>
          <w:u w:val="single"/>
          <w:bdr w:val="double" w:sz="2" w:space="1" w:color="000000"/>
        </w:rPr>
        <w:t>(a)</w:t>
      </w:r>
      <w:r>
        <w:rPr>
          <w:rFonts w:ascii="Times New Roman" w:hAnsi="Times New Roman"/>
          <w:sz w:val="20"/>
        </w:rPr>
        <w:t xml:space="preserve"> the First </w:t>
      </w:r>
      <w:r>
        <w:rPr>
          <w:rFonts w:ascii="Times New Roman" w:hAnsi="Times New Roman"/>
          <w:strike/>
          <w:color w:val="FF0000"/>
          <w:sz w:val="20"/>
        </w:rPr>
        <w:t>Lien Guaranty and</w:t>
      </w:r>
      <w:r>
        <w:rPr>
          <w:rFonts w:ascii="Times New Roman" w:hAnsi="Times New Roman"/>
          <w:color w:val="0000FF"/>
          <w:sz w:val="20"/>
          <w:u w:val="single"/>
          <w:bdr w:val="double" w:sz="2" w:space="1" w:color="000000"/>
        </w:rPr>
        <w:t>Amendment</w:t>
      </w:r>
      <w:r>
        <w:rPr>
          <w:rFonts w:ascii="Times New Roman" w:hAnsi="Times New Roman"/>
          <w:sz w:val="20"/>
        </w:rPr>
        <w:t xml:space="preserve"> Collateral Agreement </w:t>
      </w:r>
      <w:r>
        <w:rPr>
          <w:rFonts w:ascii="Times New Roman" w:hAnsi="Times New Roman"/>
          <w:strike/>
          <w:color w:val="FF0000"/>
          <w:sz w:val="20"/>
        </w:rPr>
        <w:t>executed by the Loan Parties party thereto,</w:t>
      </w:r>
      <w:r>
        <w:rPr>
          <w:rFonts w:ascii="Times New Roman" w:hAnsi="Times New Roman"/>
          <w:color w:val="0000FF"/>
          <w:sz w:val="20"/>
          <w:u w:val="single"/>
          <w:bdr w:val="double" w:sz="2" w:space="1" w:color="000000"/>
        </w:rPr>
        <w:t>or (b) a first lien guaranty and collateral agreement</w:t>
      </w:r>
      <w:r>
        <w:rPr>
          <w:rFonts w:ascii="Times New Roman" w:hAnsi="Times New Roman"/>
          <w:sz w:val="20"/>
        </w:rPr>
        <w:t xml:space="preserve"> substantially in the form of </w:t>
      </w:r>
      <w:r>
        <w:rPr>
          <w:rFonts w:ascii="Times New Roman" w:hAnsi="Times New Roman"/>
          <w:sz w:val="20"/>
          <w:u w:val="single"/>
        </w:rPr>
        <w:t>Exhibit F</w:t>
      </w:r>
      <w:r>
        <w:rPr>
          <w:rFonts w:ascii="Times New Roman" w:hAnsi="Times New Roman"/>
          <w:sz w:val="20"/>
        </w:rPr>
        <w:t xml:space="preserve">, </w:t>
      </w:r>
      <w:r>
        <w:rPr>
          <w:rFonts w:ascii="Times New Roman" w:hAnsi="Times New Roman"/>
          <w:color w:val="0000FF"/>
          <w:sz w:val="20"/>
          <w:u w:val="single"/>
          <w:bdr w:val="double" w:sz="2" w:space="1" w:color="000000"/>
        </w:rPr>
        <w:t xml:space="preserve">in each case </w:t>
      </w:r>
      <w:r>
        <w:rPr>
          <w:rFonts w:ascii="Times New Roman" w:hAnsi="Times New Roman"/>
          <w:sz w:val="20"/>
        </w:rPr>
        <w:t xml:space="preserve">together with each Collateral Agreement Supplement thereto executed and delivered pursuant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Collateral Agreement Supplement</w:t>
      </w:r>
      <w:r>
        <w:rPr>
          <w:rFonts w:ascii="Times New Roman" w:hAnsi="Times New Roman"/>
          <w:sz w:val="20"/>
        </w:rPr>
        <w:t xml:space="preserve">” has the meaning specified in the Collateral Agreement. </w:t>
      </w:r>
    </w:p>
    <w:p>
      <w:pPr>
        <w:pStyle w:val="TextBody"/>
        <w:bidi w:val="0"/>
        <w:spacing w:before="240" w:after="0"/>
        <w:jc w:val="left"/>
        <w:rPr/>
      </w:pPr>
      <w:r>
        <w:rPr/>
        <w:t>“</w:t>
      </w:r>
      <w:r>
        <w:rPr>
          <w:rFonts w:ascii="Times New Roman" w:hAnsi="Times New Roman"/>
          <w:b/>
          <w:sz w:val="20"/>
        </w:rPr>
        <w:t>Collateral Coverage Ratio</w:t>
      </w:r>
      <w:r>
        <w:rPr>
          <w:rFonts w:ascii="Times New Roman" w:hAnsi="Times New Roman"/>
          <w:sz w:val="20"/>
        </w:rPr>
        <w:t xml:space="preserve">” means as of any date of determination, the ratio of (a) Collateral Value Amount to (b) Consolidated First and Second Lien Debt, in each case, as of such date of determination. </w:t>
      </w:r>
    </w:p>
    <w:p>
      <w:pPr>
        <w:pStyle w:val="TextBody"/>
        <w:bidi w:val="0"/>
        <w:spacing w:before="240" w:after="0"/>
        <w:jc w:val="left"/>
        <w:rPr/>
      </w:pPr>
      <w:r>
        <w:rPr/>
        <w:t>“</w:t>
      </w:r>
      <w:r>
        <w:rPr>
          <w:rFonts w:ascii="Times New Roman" w:hAnsi="Times New Roman"/>
          <w:b/>
          <w:sz w:val="20"/>
        </w:rPr>
        <w:t>Collateral Documents</w:t>
      </w:r>
      <w:r>
        <w:rPr>
          <w:rFonts w:ascii="Times New Roman" w:hAnsi="Times New Roman"/>
          <w:sz w:val="20"/>
        </w:rPr>
        <w:t xml:space="preserve">” means, collectively, the Collateral Agreement, the Collateral Trust Agreement </w:t>
      </w:r>
      <w:r>
        <w:rPr>
          <w:rFonts w:ascii="Times New Roman" w:hAnsi="Times New Roman"/>
          <w:strike/>
          <w:color w:val="FF0000"/>
          <w:sz w:val="20"/>
        </w:rPr>
        <w:t>(if any)</w:t>
      </w:r>
      <w:r>
        <w:rPr>
          <w:rFonts w:ascii="Times New Roman" w:hAnsi="Times New Roman"/>
          <w:sz w:val="20"/>
        </w:rPr>
        <w:t xml:space="preserve">, the Vessel </w:t>
      </w:r>
      <w:r>
        <w:rPr>
          <w:rFonts w:ascii="Times New Roman" w:hAnsi="Times New Roman"/>
          <w:strike/>
          <w:color w:val="FF0000"/>
          <w:sz w:val="20"/>
        </w:rPr>
        <w:t>Mortgage</w:t>
      </w:r>
      <w:r>
        <w:rPr>
          <w:rFonts w:ascii="Times New Roman" w:hAnsi="Times New Roman"/>
          <w:color w:val="0000FF"/>
          <w:sz w:val="20"/>
          <w:u w:val="single"/>
          <w:bdr w:val="double" w:sz="2" w:space="1" w:color="000000"/>
        </w:rPr>
        <w:t xml:space="preserve">Mortgages </w:t>
      </w:r>
      <w:r>
        <w:rPr>
          <w:rFonts w:ascii="Times New Roman" w:hAnsi="Times New Roman"/>
          <w:sz w:val="20"/>
        </w:rPr>
        <w:t xml:space="preserve">, the Mortgages (if any), each of the collateral assignments, Collateral Agreement Supplements, security agreements, </w:t>
      </w:r>
      <w:r>
        <w:rPr>
          <w:rFonts w:ascii="Times New Roman" w:hAnsi="Times New Roman"/>
          <w:color w:val="0000FF"/>
          <w:sz w:val="20"/>
          <w:u w:val="single"/>
          <w:bdr w:val="double" w:sz="2" w:space="1" w:color="000000"/>
        </w:rPr>
        <w:t xml:space="preserve">collateral assignments of vessel construction contracts, </w:t>
      </w:r>
      <w:r>
        <w:rPr>
          <w:rFonts w:ascii="Times New Roman" w:hAnsi="Times New Roman"/>
          <w:sz w:val="20"/>
        </w:rPr>
        <w:t xml:space="preserve">pledge agreements, account control agreements (if any) or other similar agreements delivered to the Agents and the Lenders pursuant to </w:t>
      </w:r>
      <w:r>
        <w:rPr>
          <w:rFonts w:ascii="Times New Roman" w:hAnsi="Times New Roman"/>
          <w:sz w:val="20"/>
          <w:u w:val="single"/>
        </w:rPr>
        <w:t>Sections 4.01(a)(iii)</w:t>
      </w:r>
      <w:r>
        <w:rPr>
          <w:rFonts w:ascii="Times New Roman" w:hAnsi="Times New Roman"/>
          <w:sz w:val="20"/>
        </w:rPr>
        <w:t xml:space="preserve">, </w:t>
      </w:r>
      <w:r>
        <w:rPr>
          <w:rFonts w:ascii="Times New Roman" w:hAnsi="Times New Roman"/>
          <w:sz w:val="20"/>
          <w:u w:val="single"/>
        </w:rPr>
        <w:t>6.11</w:t>
      </w:r>
      <w:r>
        <w:rPr>
          <w:rFonts w:ascii="Times New Roman" w:hAnsi="Times New Roman"/>
          <w:sz w:val="20"/>
        </w:rPr>
        <w:t xml:space="preserve">, </w:t>
      </w:r>
      <w:r>
        <w:rPr>
          <w:rFonts w:ascii="Times New Roman" w:hAnsi="Times New Roman"/>
          <w:sz w:val="20"/>
          <w:u w:val="single"/>
        </w:rPr>
        <w:t>6.12</w:t>
      </w:r>
      <w:r>
        <w:rPr>
          <w:rFonts w:ascii="Times New Roman" w:hAnsi="Times New Roman"/>
          <w:sz w:val="20"/>
        </w:rPr>
        <w:t xml:space="preserve"> or </w:t>
      </w:r>
      <w:r>
        <w:rPr>
          <w:rFonts w:ascii="Times New Roman" w:hAnsi="Times New Roman"/>
          <w:sz w:val="20"/>
          <w:u w:val="single"/>
        </w:rPr>
        <w:t>6.15</w:t>
      </w:r>
      <w:r>
        <w:rPr>
          <w:rFonts w:ascii="Times New Roman" w:hAnsi="Times New Roman"/>
          <w:color w:val="0000FF"/>
          <w:sz w:val="20"/>
          <w:u w:val="single"/>
          <w:bdr w:val="double" w:sz="2" w:space="1" w:color="000000"/>
        </w:rPr>
        <w:t xml:space="preserve"> or pursuant to the First Amendment Junior Lien Intercreditor Agreement (or any other Intercreditor Agreement)</w:t>
      </w:r>
      <w:r>
        <w:rPr>
          <w:rFonts w:ascii="Times New Roman" w:hAnsi="Times New Roman"/>
          <w:sz w:val="20"/>
        </w:rPr>
        <w:t xml:space="preserve">, and each of the other agreements, instruments or documents that creates or purports to create a Lien in favor of the Collateral Agent for the benefit of the Secured Parties. </w:t>
      </w:r>
    </w:p>
    <w:p>
      <w:pPr>
        <w:pStyle w:val="TextBody"/>
        <w:bidi w:val="0"/>
        <w:spacing w:before="240" w:after="0"/>
        <w:jc w:val="left"/>
        <w:rPr/>
      </w:pPr>
      <w:r>
        <w:rPr/>
        <w:t>“</w:t>
      </w:r>
      <w:r>
        <w:rPr>
          <w:rFonts w:ascii="Times New Roman" w:hAnsi="Times New Roman"/>
          <w:b/>
          <w:sz w:val="20"/>
        </w:rPr>
        <w:t>Collateral Trust Agreement</w:t>
      </w:r>
      <w:r>
        <w:rPr>
          <w:rFonts w:ascii="Times New Roman" w:hAnsi="Times New Roman"/>
          <w:sz w:val="20"/>
        </w:rPr>
        <w:t xml:space="preserve">” means </w:t>
      </w:r>
      <w:r>
        <w:rPr>
          <w:rFonts w:ascii="Times New Roman" w:hAnsi="Times New Roman"/>
          <w:color w:val="0000FF"/>
          <w:sz w:val="20"/>
          <w:u w:val="single"/>
          <w:bdr w:val="double" w:sz="2" w:space="1" w:color="000000"/>
        </w:rPr>
        <w:t>(a)</w:t>
      </w:r>
      <w:r>
        <w:rPr>
          <w:rFonts w:ascii="Times New Roman" w:hAnsi="Times New Roman"/>
          <w:sz w:val="20"/>
        </w:rPr>
        <w:t xml:space="preserve"> the </w:t>
      </w:r>
      <w:r>
        <w:rPr>
          <w:rFonts w:ascii="Times New Roman" w:hAnsi="Times New Roman"/>
          <w:color w:val="0000FF"/>
          <w:sz w:val="20"/>
          <w:u w:val="single"/>
          <w:bdr w:val="double" w:sz="2" w:space="1" w:color="000000"/>
        </w:rPr>
        <w:t xml:space="preserve">First Amendment </w:t>
      </w:r>
      <w:r>
        <w:rPr>
          <w:rFonts w:ascii="Times New Roman" w:hAnsi="Times New Roman"/>
          <w:sz w:val="20"/>
        </w:rPr>
        <w:t>Collateral Trust Agreement</w:t>
      </w:r>
      <w:r>
        <w:rPr>
          <w:rFonts w:ascii="Times New Roman" w:hAnsi="Times New Roman"/>
          <w:color w:val="0000FF"/>
          <w:sz w:val="20"/>
          <w:u w:val="single"/>
          <w:bdr w:val="double" w:sz="2" w:space="1" w:color="000000"/>
        </w:rPr>
        <w:t xml:space="preserve">, (b) a collateral trust agreement </w:t>
      </w:r>
      <w:r>
        <w:rPr>
          <w:rFonts w:ascii="Times New Roman" w:hAnsi="Times New Roman"/>
          <w:sz w:val="20"/>
        </w:rPr>
        <w:t xml:space="preserve">substantially in the form attached hereto as </w:t>
      </w:r>
      <w:r>
        <w:rPr>
          <w:rFonts w:ascii="Times New Roman" w:hAnsi="Times New Roman"/>
          <w:sz w:val="20"/>
          <w:u w:val="single"/>
        </w:rPr>
        <w:t>Exhibit L</w:t>
      </w:r>
      <w:r>
        <w:rPr>
          <w:rFonts w:ascii="Times New Roman" w:hAnsi="Times New Roman"/>
          <w:sz w:val="20"/>
        </w:rPr>
        <w:t xml:space="preserve"> (as the same may be modified in a manner satisfactory to the Administrative Agent, the Collateral Agent, the Required Lenders and the Borrower), or,</w:t>
      </w:r>
      <w:r>
        <w:rPr>
          <w:rFonts w:ascii="Times New Roman" w:hAnsi="Times New Roman"/>
          <w:color w:val="0000FF"/>
          <w:sz w:val="20"/>
          <w:u w:val="single"/>
          <w:bdr w:val="double" w:sz="2" w:space="1" w:color="000000"/>
        </w:rPr>
        <w:t xml:space="preserve"> (c)</w:t>
      </w:r>
      <w:r>
        <w:rPr>
          <w:rFonts w:ascii="Times New Roman" w:hAnsi="Times New Roman"/>
          <w:sz w:val="20"/>
        </w:rPr>
        <w:t xml:space="preserve"> if requested by the providers of other secured Indebtedness permitted hereunder, another collateral trust arrangement reasonably satisfactory to the Administrative Agent, the Collateral Trustee, the Required Lenders and the Borrower, in each case as amended, restated, amended and restated, modified or supplemented from time to time in accordance with the terms hereof and thereof. </w:t>
      </w:r>
      <w:r>
        <w:rPr>
          <w:rFonts w:ascii="Times New Roman" w:hAnsi="Times New Roman"/>
          <w:strike/>
          <w:color w:val="FF0000"/>
          <w:sz w:val="20"/>
        </w:rPr>
        <w:t xml:space="preserve">Upon the request of the Borrower, the Administrative Agent and the Collateral Trustee will execute and deliver a Collateral Trust Agreement (or a joinder or supplement to an existing Collateral Trust Agreement) with one or more Debt Representatives for Indebtedness permitted hereunder; </w:t>
      </w:r>
      <w:r>
        <w:rPr>
          <w:rFonts w:ascii="Times New Roman" w:hAnsi="Times New Roman"/>
          <w:i/>
          <w:strike/>
          <w:color w:val="FF0000"/>
          <w:sz w:val="20"/>
        </w:rPr>
        <w:t xml:space="preserve">provided </w:t>
      </w:r>
      <w:r>
        <w:rPr>
          <w:rFonts w:ascii="Times New Roman" w:hAnsi="Times New Roman"/>
          <w:strike/>
          <w:color w:val="FF0000"/>
          <w:sz w:val="20"/>
        </w:rPr>
        <w:t xml:space="preserve">that the Borrower shall not make such request unless such Indebtedness and related Liens are permitted by (including with respect to priority) the Loan Documents; </w:t>
      </w:r>
      <w:r>
        <w:rPr>
          <w:rFonts w:ascii="Times New Roman" w:hAnsi="Times New Roman"/>
          <w:i/>
          <w:strike/>
          <w:color w:val="FF0000"/>
          <w:sz w:val="20"/>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trike/>
          <w:color w:val="FF0000"/>
          <w:sz w:val="20"/>
        </w:rPr>
        <w:t xml:space="preserve">further, </w:t>
      </w:r>
      <w:r>
        <w:rPr>
          <w:rFonts w:ascii="Times New Roman" w:hAnsi="Times New Roman"/>
          <w:strike/>
          <w:color w:val="FF0000"/>
          <w:sz w:val="20"/>
        </w:rPr>
        <w:t>that any amendments or modifications to the Loan Documents to reflect a Collateral Trust Agreement structure (including replacing references to the Collateral Agent with references to the Collateral Trustee and modifying the Collateral Documents so that such Collateral Documents secure all Indebtedness subject to the Collateral Trust Agreement) shall require the consent of the Administrative Agent (such consent not to be unreasonably withheld, conditioned or delayed).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Collateral Trustee</w:t>
      </w:r>
      <w:r>
        <w:rPr>
          <w:rFonts w:ascii="Times New Roman" w:hAnsi="Times New Roman"/>
          <w:sz w:val="20"/>
        </w:rPr>
        <w:t xml:space="preserve">” means the Collateral Agent under the Loan Documents in their role as collateral trustee under any Collateral Trust Agreement, as applicable, together with any successors thereto. </w:t>
      </w:r>
    </w:p>
    <w:p>
      <w:pPr>
        <w:pStyle w:val="TextBody"/>
        <w:bidi w:val="0"/>
        <w:spacing w:before="240" w:after="0"/>
        <w:jc w:val="left"/>
        <w:rPr/>
      </w:pPr>
      <w:r>
        <w:rPr/>
        <w:t>“</w:t>
      </w:r>
      <w:r>
        <w:rPr>
          <w:rFonts w:ascii="Times New Roman" w:hAnsi="Times New Roman"/>
          <w:b/>
          <w:sz w:val="20"/>
        </w:rPr>
        <w:t>Collateral Value Amount</w:t>
      </w:r>
      <w:r>
        <w:rPr>
          <w:rFonts w:ascii="Times New Roman" w:hAnsi="Times New Roman"/>
          <w:sz w:val="20"/>
        </w:rPr>
        <w:t xml:space="preserve">” means an amount equal to the sum of (a) the Vessel Collateral Value Amount as determined on or about the applicable Measurement Date (but, in any case, no earlier than thirty (30) days prior to the applicable Measurement Date and no later than five days after the Measurement Date), </w:t>
      </w:r>
      <w:r>
        <w:rPr>
          <w:rFonts w:ascii="Times New Roman" w:hAnsi="Times New Roman"/>
          <w:i/>
          <w:sz w:val="20"/>
        </w:rPr>
        <w:t xml:space="preserve">plus </w:t>
      </w:r>
      <w:r>
        <w:rPr>
          <w:rFonts w:ascii="Times New Roman" w:hAnsi="Times New Roman"/>
          <w:sz w:val="20"/>
        </w:rPr>
        <w:t xml:space="preserve">(b) cash Collateral provided in favor of the Secured Parties in a blocked account (which, at the option of the Borrower, may be an interest-bearing blocked account with interest bearing at market rates) prior to the applicable Measurement Date. </w:t>
      </w:r>
    </w:p>
    <w:p>
      <w:pPr>
        <w:pStyle w:val="TextBody"/>
        <w:bidi w:val="0"/>
        <w:spacing w:before="240" w:after="0"/>
        <w:jc w:val="left"/>
        <w:rPr/>
      </w:pPr>
      <w:r>
        <w:rPr/>
        <w:t>“</w:t>
      </w:r>
      <w:r>
        <w:rPr>
          <w:rFonts w:ascii="Times New Roman" w:hAnsi="Times New Roman"/>
          <w:b/>
          <w:sz w:val="20"/>
        </w:rPr>
        <w:t>Commitment</w:t>
      </w:r>
      <w:r>
        <w:rPr>
          <w:rFonts w:ascii="Times New Roman" w:hAnsi="Times New Roman"/>
          <w:sz w:val="20"/>
        </w:rPr>
        <w:t xml:space="preserve">” means the commitment of a Lender to make or otherwise fund any Revolving Loan and to acquire participations in Letters of Credit hereunder and “Commitments” means such commitments of all Lenders in the aggregate. The amount of each Lender’s Commitment, if any, is set forth on </w:t>
      </w:r>
      <w:r>
        <w:rPr>
          <w:rFonts w:ascii="Times New Roman" w:hAnsi="Times New Roman"/>
          <w:sz w:val="20"/>
          <w:u w:val="single"/>
        </w:rPr>
        <w:t>Schedule 2.01</w:t>
      </w:r>
      <w:r>
        <w:rPr>
          <w:rFonts w:ascii="Times New Roman" w:hAnsi="Times New Roman"/>
          <w:sz w:val="20"/>
        </w:rPr>
        <w:t xml:space="preserve"> under the caption “Commitment” or in the applicable Assignment and Assumption, subject to any increase, adjustment or reduction pursuant to the terms and conditions hereof including </w:t>
      </w:r>
      <w:r>
        <w:rPr>
          <w:rFonts w:ascii="Times New Roman" w:hAnsi="Times New Roman"/>
          <w:sz w:val="20"/>
          <w:u w:val="single"/>
        </w:rPr>
        <w:t>Section 2.16</w:t>
      </w:r>
      <w:r>
        <w:rPr>
          <w:rFonts w:ascii="Times New Roman" w:hAnsi="Times New Roman"/>
          <w:sz w:val="20"/>
        </w:rPr>
        <w:t xml:space="preserve">. The aggregate amount of the Commitments as of the Closing Date is $75,000,000. </w:t>
      </w:r>
    </w:p>
    <w:p>
      <w:pPr>
        <w:pStyle w:val="TextBody"/>
        <w:bidi w:val="0"/>
        <w:spacing w:before="240" w:after="0"/>
        <w:jc w:val="left"/>
        <w:rPr/>
      </w:pPr>
      <w:r>
        <w:rPr/>
        <w:t>“</w:t>
      </w:r>
      <w:r>
        <w:rPr>
          <w:rFonts w:ascii="Times New Roman" w:hAnsi="Times New Roman"/>
          <w:b/>
          <w:sz w:val="20"/>
        </w:rPr>
        <w:t>Commitment Period</w:t>
      </w:r>
      <w:r>
        <w:rPr>
          <w:rFonts w:ascii="Times New Roman" w:hAnsi="Times New Roman"/>
          <w:sz w:val="20"/>
        </w:rPr>
        <w:t xml:space="preserve">” means the period from the Closing Date to but excluding the Commitment Termination Date. </w:t>
      </w:r>
    </w:p>
    <w:p>
      <w:pPr>
        <w:pStyle w:val="TextBody"/>
        <w:bidi w:val="0"/>
        <w:spacing w:before="240" w:after="0"/>
        <w:jc w:val="left"/>
        <w:rPr/>
      </w:pPr>
      <w:r>
        <w:rPr/>
        <w:t>“</w:t>
      </w:r>
      <w:r>
        <w:rPr>
          <w:rFonts w:ascii="Times New Roman" w:hAnsi="Times New Roman"/>
          <w:b/>
          <w:sz w:val="20"/>
        </w:rPr>
        <w:t>Commitment Termination Date</w:t>
      </w:r>
      <w:r>
        <w:rPr>
          <w:rFonts w:ascii="Times New Roman" w:hAnsi="Times New Roman"/>
          <w:sz w:val="20"/>
        </w:rPr>
        <w:t xml:space="preserve">” means the earliest to occur of (a) one day prior to the Maturity Date, (b) the date the Commitments, including Commitments in respect of Letters of Credit, are permanently reduced to zero pursuant to </w:t>
      </w:r>
      <w:r>
        <w:rPr>
          <w:rFonts w:ascii="Times New Roman" w:hAnsi="Times New Roman"/>
          <w:sz w:val="20"/>
          <w:u w:val="single"/>
        </w:rPr>
        <w:t>Section 2.08</w:t>
      </w:r>
      <w:r>
        <w:rPr>
          <w:rFonts w:ascii="Times New Roman" w:hAnsi="Times New Roman"/>
          <w:sz w:val="20"/>
        </w:rPr>
        <w:t xml:space="preserve">, and (c) the date of the termination of the Commitments pursuant to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Committed Loan Notice</w:t>
      </w:r>
      <w:r>
        <w:rPr>
          <w:rFonts w:ascii="Times New Roman" w:hAnsi="Times New Roman"/>
          <w:sz w:val="20"/>
        </w:rPr>
        <w:t xml:space="preserve">” means a written notice of a Borrowing pursuant to </w:t>
      </w:r>
      <w:r>
        <w:rPr>
          <w:rFonts w:ascii="Times New Roman" w:hAnsi="Times New Roman"/>
          <w:sz w:val="20"/>
          <w:u w:val="single"/>
        </w:rPr>
        <w:t>Article II</w:t>
      </w:r>
      <w:r>
        <w:rPr>
          <w:rFonts w:ascii="Times New Roman" w:hAnsi="Times New Roman"/>
          <w:sz w:val="20"/>
        </w:rPr>
        <w:t xml:space="preserve">, which shall be substantially in the form of </w:t>
      </w:r>
      <w:r>
        <w:rPr>
          <w:rFonts w:ascii="Times New Roman" w:hAnsi="Times New Roman"/>
          <w:sz w:val="20"/>
          <w:u w:val="single"/>
        </w:rPr>
        <w:t>Exhibit A-1</w:t>
      </w:r>
      <w:r>
        <w:rPr>
          <w:rFonts w:ascii="Times New Roman" w:hAnsi="Times New Roman"/>
          <w:sz w:val="20"/>
        </w:rPr>
        <w:t xml:space="preserve"> or such other form as the Administrative Agent may reasonably agree. </w:t>
      </w:r>
    </w:p>
    <w:p>
      <w:pPr>
        <w:pStyle w:val="TextBody"/>
        <w:bidi w:val="0"/>
        <w:spacing w:before="240" w:after="0"/>
        <w:jc w:val="left"/>
        <w:rPr/>
      </w:pPr>
      <w:r>
        <w:rPr/>
        <w:t>“</w:t>
      </w:r>
      <w:r>
        <w:rPr>
          <w:rFonts w:ascii="Times New Roman" w:hAnsi="Times New Roman"/>
          <w:b/>
          <w:sz w:val="20"/>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240" w:after="0"/>
        <w:jc w:val="left"/>
        <w:rPr/>
      </w:pPr>
      <w:r>
        <w:rPr/>
        <w:t>“</w:t>
      </w:r>
      <w:r>
        <w:rPr>
          <w:rFonts w:ascii="Times New Roman" w:hAnsi="Times New Roman"/>
          <w:b/>
          <w:sz w:val="20"/>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Connection Income Taxes</w:t>
      </w:r>
      <w:r>
        <w:rPr>
          <w:rFonts w:ascii="Times New Roman" w:hAnsi="Times New Roman"/>
          <w:sz w:val="20"/>
        </w:rPr>
        <w:t xml:space="preserve">” means Other Connection Taxes that are imposed on or measured by net income (however denominated) or capital or that are franchise Taxes or branch profits Taxes. </w:t>
      </w:r>
    </w:p>
    <w:p>
      <w:pPr>
        <w:pStyle w:val="TextBody"/>
        <w:bidi w:val="0"/>
        <w:spacing w:before="240" w:after="0"/>
        <w:jc w:val="left"/>
        <w:rPr/>
      </w:pPr>
      <w:r>
        <w:rPr/>
        <w:t>“</w:t>
      </w:r>
      <w:r>
        <w:rPr>
          <w:rFonts w:ascii="Times New Roman" w:hAnsi="Times New Roman"/>
          <w:b/>
          <w:sz w:val="20"/>
        </w:rPr>
        <w:t>Consolidated Adjusted EBITDA</w:t>
      </w:r>
      <w:r>
        <w:rPr>
          <w:rFonts w:ascii="Times New Roman" w:hAnsi="Times New Roman"/>
          <w:sz w:val="20"/>
        </w:rPr>
        <w:t xml:space="preserve">” means, with respect to any Person for any Test Period, the Consolidated Net Income of such Person for such Test Period: </w:t>
      </w:r>
    </w:p>
    <w:p>
      <w:pPr>
        <w:pStyle w:val="TextBody"/>
        <w:bidi w:val="0"/>
        <w:spacing w:before="120" w:after="0"/>
        <w:jc w:val="left"/>
        <w:rPr>
          <w:rFonts w:ascii="Times New Roman" w:hAnsi="Times New Roman"/>
          <w:sz w:val="20"/>
        </w:rPr>
      </w:pPr>
      <w:r>
        <w:rPr>
          <w:rFonts w:ascii="Times New Roman" w:hAnsi="Times New Roman"/>
          <w:sz w:val="20"/>
        </w:rPr>
        <w:t xml:space="preserve">(1) increased (without duplication) by: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deducted (and not added back) in computing Consolidated Net Income, Consolidated Interest Expense of such Person for such period (including (x) net payments and losses or any obligations on any Swap Obligations or other derivative instruments, (y) bank, letter of credit and other financing fees and (z) costs of surety bonds in connection with financing activities, plus amounts excluded from the definition of “Consolidated Interest Expense”);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deducted (and not added back) in computing Consolidated Net Income, (x) provision for Taxes based on gross receipts, income, profits, revenue or capital, including federal, foreign, state, provincial, territorial, local, unitary, excise, property, franchise, value added and similar Taxes (such as Delaware franchise Tax, Pennsylvania capital Tax and Texas margin Tax) and withholding Taxes (including any future Taxes or other levies which replace or are intended to be in lieu of such Taxes and any penalties, additions to Tax, and interest related to such Taxes or arising from Tax examinations) and similar Taxes of such Person paid or accrued during such period (including in respect of repatriated funds), (y) any distributions made to a Parent Entity or other direct or indirect holder of Equity Interests in the Borrower in respect of any such Taxes attributable to such Parent Entity or holder or pursuant to a Tax sharing arrangement or as a result of a Tax distribution or repatriated funds and (z) the net Tax expense associated with any adjustments made pursuant to the definition of “Consolidated Net Income”;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deducted (and not added back) in computing Consolidated Net Income, consolidated depreciation and amortization expense (as determined by the Borrower in accordance with GAAP) of such Person for such period;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deducted (and not added back) in computing Consolidated Net Income¸ any fees, costs, expenses or charges (other than consolidated depreciation and amortization expense (as determined by the Borrower in accordance with GAAP)) related to any actual, proposed or contemplated Equity Offering (including any expense relating to enhanced accounting functions or other transaction costs associated with becoming a public company, including Public Company Costs), Permitted Investment, Restricted Payment, acquisition, disposition or other transaction outside the ordinary course of business (whether or not successful or completed and including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transaction consummated prior to the Closing Date), including (i) such fees, expenses or charges (including rating agency fees, consulting fees and other related expenses and/or letter of credit or similar fees) related to the offering or incurrence of, or ongoing administration of this Agreement, the Second Lien Credit Agreement, any other credit facilities or debt instruments and any Securitization Fees, and (ii) any amendment, waiver or other modification of this Agreement, the Second Lien Credit Agreement, any Receivables Facilities, Securitization Facilities, any other credit facilities or debt instruments, any Securitization Fees, any other Indebtedness or any Equity Offering, in each case, whether or not consummated; provided, that the amount of adjustments made for cash items pursuant to</w:t>
      </w:r>
      <w:r>
        <w:rPr>
          <w:rFonts w:ascii="Times New Roman" w:hAnsi="Times New Roman"/>
          <w:sz w:val="20"/>
          <w:u w:val="single"/>
        </w:rPr>
        <w:t xml:space="preserve"> sub-clauses (d)</w:t>
      </w:r>
      <w:r>
        <w:rPr>
          <w:rFonts w:ascii="Times New Roman" w:hAnsi="Times New Roman"/>
          <w:sz w:val="20"/>
        </w:rPr>
        <w:t>,</w:t>
      </w:r>
      <w:r>
        <w:rPr>
          <w:rFonts w:ascii="Times New Roman" w:hAnsi="Times New Roman"/>
          <w:sz w:val="20"/>
          <w:u w:val="single"/>
        </w:rPr>
        <w:t xml:space="preserve"> (e)</w:t>
      </w:r>
      <w:r>
        <w:rPr>
          <w:rFonts w:ascii="Times New Roman" w:hAnsi="Times New Roman"/>
          <w:sz w:val="20"/>
        </w:rPr>
        <w:t>,</w:t>
      </w:r>
      <w:r>
        <w:rPr>
          <w:rFonts w:ascii="Times New Roman" w:hAnsi="Times New Roman"/>
          <w:sz w:val="20"/>
          <w:u w:val="single"/>
        </w:rPr>
        <w:t xml:space="preserve"> (g)</w:t>
      </w:r>
      <w:r>
        <w:rPr>
          <w:rFonts w:ascii="Times New Roman" w:hAnsi="Times New Roman"/>
          <w:sz w:val="20"/>
        </w:rPr>
        <w:t>,</w:t>
      </w:r>
      <w:r>
        <w:rPr>
          <w:rFonts w:ascii="Times New Roman" w:hAnsi="Times New Roman"/>
          <w:sz w:val="20"/>
          <w:u w:val="single"/>
        </w:rPr>
        <w:t xml:space="preserve"> (h)</w:t>
      </w:r>
      <w:r>
        <w:rPr>
          <w:rFonts w:ascii="Times New Roman" w:hAnsi="Times New Roman"/>
          <w:sz w:val="20"/>
        </w:rPr>
        <w:t>, and</w:t>
      </w:r>
      <w:r>
        <w:rPr>
          <w:rFonts w:ascii="Times New Roman" w:hAnsi="Times New Roman"/>
          <w:sz w:val="20"/>
          <w:u w:val="single"/>
        </w:rPr>
        <w:t xml:space="preserve"> (i)</w:t>
      </w:r>
      <w:r>
        <w:rPr>
          <w:rFonts w:ascii="Times New Roman" w:hAnsi="Times New Roman"/>
          <w:sz w:val="20"/>
        </w:rPr>
        <w:t> of this</w:t>
      </w:r>
      <w:r>
        <w:rPr>
          <w:rFonts w:ascii="Times New Roman" w:hAnsi="Times New Roman"/>
          <w:sz w:val="20"/>
          <w:u w:val="single"/>
        </w:rPr>
        <w:t xml:space="preserve"> clause (1)</w:t>
      </w:r>
      <w:r>
        <w:rPr>
          <w:rFonts w:ascii="Times New Roman" w:hAnsi="Times New Roman"/>
          <w:sz w:val="20"/>
        </w:rPr>
        <w:t xml:space="preserve"> in any period shall not exceed 30% of the aggregate amount of Consolidated Adjusted EBITDA for such period (calculated prior to giving effect to such capped amount under such clauses);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(e)(i) the amount of any restructuring charge, accrual, reserve (and adjustments to existing reserves) or expense, integration cost, inventory optimization programs or other business optimization, realignment or restructuring expense or cost (including charges directly related to the implementation of cost-savings initiatives and Tax restructurings) that is deducted (and not otherwise added back) in such period in computing Consolidated Net Income, including any costs incurred in connection with acquisitions or divestitures after the Closing Date, and (ii) fees, costs and expenses associated with litigation and settlement thereof; provided, that the amount of adjustments for cash items made pursuant to sub-</w:t>
      </w:r>
      <w:r>
        <w:rPr>
          <w:rFonts w:ascii="Times New Roman" w:hAnsi="Times New Roman"/>
          <w:sz w:val="20"/>
          <w:u w:val="single"/>
        </w:rPr>
        <w:t>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of this</w:t>
      </w:r>
      <w:r>
        <w:rPr>
          <w:rFonts w:ascii="Times New Roman" w:hAnsi="Times New Roman"/>
          <w:sz w:val="20"/>
          <w:u w:val="single"/>
        </w:rPr>
        <w:t xml:space="preserve"> clause (1)</w:t>
      </w:r>
      <w:r>
        <w:rPr>
          <w:rFonts w:ascii="Times New Roman" w:hAnsi="Times New Roman"/>
          <w:sz w:val="20"/>
        </w:rPr>
        <w:t xml:space="preserve"> in any period shall not exceed 30% of the aggregate amount of Consolidated Adjusted EBITDA for such period (calculated prior to giving effect to such capped amount under such clauses);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any other non-cash charges, write-downs, expenses, losses or items reducing Consolidated Net Income for such period including, without limitation, (i) any write-offs or write-downs, deferred revenue or impairment charges, (ii) impairment charges, amortization (or write offs) of financing costs (including debt discount, early extinguishments, debt issuance costs and commissions and other fees associated with Indebtedness, including Indebtedness under this Agreement) of such Person and its Subsidiaries and/or (iii) the impact of acquisition method accounting adjustment and any non-cash write-up, write-down or write-off with respect to re-valuing assets and liabilities in connection with any Investment, deferred revenue or any effects of adjustments resulting from the application of purchase accounting, purchase price accounting (including any step-up in inventory and loss of profit on the acquired inventory) (excluding non-cash losses on the sale of assets) (provided that if any such non-cash charge, write-down, expense, loss or item represents an accrual or reserve for potential cash items in any future period, (A) the Borrower may elect not to add back such non-cash charge, expense or loss in the current period and (B) to the extent the Borrower elects to add back such non-cash charge, the cash payment in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in such future period shall be subtracted from Consolidated Adjusted EBITDA when paid), or other items classified by the Borrower as special items less other non-cash items of income increasing Consolidated Net Income (excluding any amortization of a prepaid cash item that was paid in a prior period or such non-cash item of income to the extent it represents a receipt of cash in any future period and excluding non-cash gains on the sale of assets);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amount of readily identifiable and factually supportable pro forma “run rate” cost savings (including cost savings with respect to salary, benefit and other direct savings resulting from workforce reductions and facility, benefit and insurance savings and any savings expected to result from the reduction of Public Company Costs), operating expense reductions, other operating improvements (it is understood and agreed that “run rate” means the full recurring benefit for a period that is associated with any action taken, committed to be taken or expected to be taken, net of the amount of actual benefits realized during such period from such actions) projected by the Borrower in good faith to result from actions taken or expected to be taken within 24 months of the date thereof (including from any actions taken in whole or in part prior to such date), which will be added to Consolidated Adjusted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reduction of Public Company Costs), operating expense reductions, other operating improvements and initiatives and synergies had been realized on the first day of such period, net of the amount of actual benefits realized prior to or during such period from such actions (it being understood that the foregoing amounts or adjustments need not be made in compliance with Regulation S-X or other securities laws or regulations); </w:t>
      </w:r>
      <w:r>
        <w:rPr>
          <w:rFonts w:ascii="Times New Roman" w:hAnsi="Times New Roman"/>
          <w:i/>
          <w:sz w:val="20"/>
        </w:rPr>
        <w:t>provided</w:t>
      </w:r>
      <w:r>
        <w:rPr>
          <w:rFonts w:ascii="Times New Roman" w:hAnsi="Times New Roman"/>
          <w:sz w:val="20"/>
        </w:rPr>
        <w:t xml:space="preserve">, that the amount of adjustments for cash items made pursuant to </w:t>
      </w:r>
      <w:r>
        <w:rPr>
          <w:rFonts w:ascii="Times New Roman" w:hAnsi="Times New Roman"/>
          <w:sz w:val="20"/>
          <w:u w:val="single"/>
        </w:rPr>
        <w:t>sub-clauses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of this </w:t>
      </w:r>
      <w:r>
        <w:rPr>
          <w:rFonts w:ascii="Times New Roman" w:hAnsi="Times New Roman"/>
          <w:sz w:val="20"/>
          <w:u w:val="single"/>
        </w:rPr>
        <w:t>clause (1)</w:t>
      </w:r>
      <w:r>
        <w:rPr>
          <w:rFonts w:ascii="Times New Roman" w:hAnsi="Times New Roman"/>
          <w:sz w:val="20"/>
        </w:rPr>
        <w:t xml:space="preserve"> in any period shall not exceed 30% of the aggregate amount of Consolidated Adjusted EBITDA for such period (calculated prior to giving effect to such capped amount under such clauses);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to the extent deducted (and not added back) in computing Consolidated Net Income¸ any costs or expenses incurred by the Borrower or a Restricted Subsidiary or a Parent Entity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Equity Interests held by management, to the extent that such costs or expenses are non-cash or otherwise funded with cash proceeds contributed to the capital of the Borrower or net cash proceeds of an issuance of Equity Interests (other than Disqualified Equity Interests) of the Borrower; provided, that the amount of adjustments for cash items made pursuant to </w:t>
      </w:r>
      <w:r>
        <w:rPr>
          <w:rFonts w:ascii="Times New Roman" w:hAnsi="Times New Roman"/>
          <w:sz w:val="20"/>
          <w:u w:val="single"/>
        </w:rPr>
        <w:t>sub-clauses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of this </w:t>
      </w:r>
      <w:r>
        <w:rPr>
          <w:rFonts w:ascii="Times New Roman" w:hAnsi="Times New Roman"/>
          <w:sz w:val="20"/>
          <w:u w:val="single"/>
        </w:rPr>
        <w:t>clause (1)</w:t>
      </w:r>
      <w:r>
        <w:rPr>
          <w:rFonts w:ascii="Times New Roman" w:hAnsi="Times New Roman"/>
          <w:sz w:val="20"/>
        </w:rPr>
        <w:t xml:space="preserve"> in any period shall not exceed 30% of the aggregate amount of Consolidated Adjusted EBITDA for such period (calculated prior to giving effect to such capped amount under such clauses);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(i) unrealized or realized foreign exchange losses resulting from the impact of foreign currency changes and (ii) gains and losses due to fluctuations in currency values and related Tax effects determined in accordance with GAAP, provided, that the amount of adjustments for cash items made pursuant to sub-</w:t>
      </w:r>
      <w:r>
        <w:rPr>
          <w:rFonts w:ascii="Times New Roman" w:hAnsi="Times New Roman"/>
          <w:sz w:val="20"/>
          <w:u w:val="single"/>
        </w:rPr>
        <w:t>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of this </w:t>
      </w:r>
      <w:r>
        <w:rPr>
          <w:rFonts w:ascii="Times New Roman" w:hAnsi="Times New Roman"/>
          <w:sz w:val="20"/>
          <w:u w:val="single"/>
        </w:rPr>
        <w:t>clause (1)</w:t>
      </w:r>
      <w:r>
        <w:rPr>
          <w:rFonts w:ascii="Times New Roman" w:hAnsi="Times New Roman"/>
          <w:sz w:val="20"/>
        </w:rPr>
        <w:t xml:space="preserve"> in any period shall not exceed 30% of the aggregate amount of Consolidated Adjusted EBITDA for such period (calculated prior to giving effect to such capped amount under such clauses);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the amount of any non-cash costs, charges or expenses relating to payments made to stock appreciation or similar rights, stock option, restricted stock, phantom equity, profits interests or other interests or rights holders of the Borrower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any recovery of the Borrower or any of its Restricted Subsidiaries on account of any litigation, arbitration or bona fide dispute (whether determined through settlement, arbitration, judicial adjudication or otherwise) and any recovery of the Borrower or any of its Restricted Subsidiaries arising under or in respect of surety or similar arrangements to the extent such amounts were actually received and deducted (and not added back) in computing Consolidated Net Income;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any mark-to-market fair value adjustment to liability-classified warrants and any other similar liability-classified adjustments in respect of any warrants, options and similar arrangements in respect of Equity Interests of the Borrower, any Parent Entity or any of their Subsidiaries to the extent deducted (and not added back) in computing Consolidated Net Income;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any other non-cash adjustments to Consolidated Net Income included by the Borrower in calculating Consolidated Adjusted EBITDA for such period of a type reported in any public filing with the SEC, in each case, on a consolidated basis and consistent with applicable SEC guidelines regarding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(2) decreased (without duplication) to the extent added back in or otherwise increasing Consolidated Net Income for such period, by non-cash items of such Person for such period, excluding any non-cash items to the extent they represent the reversal of an accrual or reserve for a potential cash item that reduced Consolidated Adjusted EBITDA in any prior period (other than non-cash gains relating to the application of Accounting Standards Codification Topic 842—Leases (or any successor provision or other financial accounting standard having a similar result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“Consolidated Adjusted EBITDA” shall be calculated on a pro forma basis with such pro forma adjustments as are appropriate and consistent with the pro forma provisions set forth in the definition of “Fixed Charge Coverage Ratio” and </w:t>
      </w:r>
      <w:r>
        <w:rPr>
          <w:rFonts w:ascii="Times New Roman" w:hAnsi="Times New Roman"/>
          <w:sz w:val="20"/>
          <w:u w:val="single"/>
        </w:rPr>
        <w:t>Section 1.08</w:t>
      </w:r>
      <w:r>
        <w:rPr>
          <w:rFonts w:ascii="Times New Roman" w:hAnsi="Times New Roman"/>
          <w:sz w:val="20"/>
        </w:rPr>
        <w:t xml:space="preserve"> and to also give effect to (i) any acquisition of a Vessel (whether by out-right purchase thereof or by virtue of a merger of a company that is not the Borrower or a Restricted Subsidiary into the Borrower or a Restricted Subsidiary or acquisition by the Borrower or a Restricted Subsidiary of any other company that is not the Borrower or a Restricted Subsidiary (which acquisitions or mergers are not otherwise prohibited by this Agreement)), (ii) any acquisition or delivery of a newly constructed or converted Vessel of the Borrower or a Restricted Subsidiary (whether constructed or converted directly for the Borrower or a Restricted Subsidiary or constructed or converted for a third party and acquired by the Borrower or a Restricted Subsidiary within twelve (12) months after its delivery), or (iii) any reactivated Vessel that has been a Stacked Vessel for more than twelve months (including prior to the time of acquisition by the Borrower or any Restricted Subsidiary) (Vessels of the type described in </w:t>
      </w:r>
      <w:r>
        <w:rPr>
          <w:rFonts w:ascii="Times New Roman" w:hAnsi="Times New Roman"/>
          <w:sz w:val="20"/>
          <w:u w:val="single"/>
        </w:rPr>
        <w:t>clauses (i) – (iii)</w:t>
      </w:r>
      <w:r>
        <w:rPr>
          <w:rFonts w:ascii="Times New Roman" w:hAnsi="Times New Roman"/>
          <w:sz w:val="20"/>
        </w:rPr>
        <w:t>, the “</w:t>
      </w:r>
      <w:r>
        <w:rPr>
          <w:rFonts w:ascii="Times New Roman" w:hAnsi="Times New Roman"/>
          <w:b/>
          <w:sz w:val="20"/>
        </w:rPr>
        <w:t>Specified Vessels</w:t>
      </w:r>
      <w:r>
        <w:rPr>
          <w:rFonts w:ascii="Times New Roman" w:hAnsi="Times New Roman"/>
          <w:sz w:val="20"/>
        </w:rPr>
        <w:t xml:space="preserve">”) (including, but not limited to, offshore supply vessels, offshore service vessels, multi-purpose support vessels, service operation vessels, commissioning service operation vessels, other offshore wind-related vessels, construction support offshore vessels, flotels, other specialty vessels, other construction vessels, crewboats, fast supply vessels, anchor handling and towing supply vessels, tankers, tugs and tank barges) usable in the normal course of business of the Borrower or any of its Restricted Subsidiaries, that is (or are) subject to a Qualified Services Contract. </w:t>
      </w:r>
    </w:p>
    <w:p>
      <w:pPr>
        <w:pStyle w:val="TextBody"/>
        <w:bidi w:val="0"/>
        <w:spacing w:before="240" w:after="0"/>
        <w:jc w:val="left"/>
        <w:rPr>
          <w:rFonts w:ascii="Times New Roman" w:hAnsi="Times New Roman"/>
          <w:sz w:val="20"/>
        </w:rPr>
      </w:pPr>
      <w:r>
        <w:rPr>
          <w:rFonts w:ascii="Times New Roman" w:hAnsi="Times New Roman"/>
          <w:sz w:val="20"/>
        </w:rPr>
        <w:t>For purposes of this paragraph, the amount of Consolidated Adjusted EBITDA attributable to such Specified Vessel (or Specified Vessels) shall be factually supportable and calculated in good faith by a responsible financial or accounting officer of the Borrower, and shall include in the calculation of the Consolidated Adjusted EBITDA the revenues to be earned pursuant to the Qualified Services Contract relating to such Specified Vessel (or Specified Vessels), taking into account, where applicable, only contractual minimum amounts (and not, for the avoidance of doubt, on an annualized or other extended basis in excess of the minimum contractual length), and the estimated expenses related thereto. Such estimated expenses shall be based on the expenses previously incurred by any reactivated Stacked Vessel or, in the case of a new Specified Vessel (or Specified Vessels), the expenses of the most nearly comparable vessel in the Borrower’s fleet or, if no such comparable vessel exists, then on the industry average for expenses of comparable vessels; provided</w:t>
      </w:r>
      <w:r>
        <w:rPr>
          <w:rFonts w:ascii="Times New Roman" w:hAnsi="Times New Roman"/>
          <w:i/>
          <w:sz w:val="20"/>
        </w:rPr>
        <w:t xml:space="preserve">, however, </w:t>
      </w:r>
      <w:r>
        <w:rPr>
          <w:rFonts w:ascii="Times New Roman" w:hAnsi="Times New Roman"/>
          <w:sz w:val="20"/>
        </w:rPr>
        <w:t xml:space="preserve">in determining the estimated expenses attributable to such new Specified Vessel (or Specified Vessels), the calculation shall give effect to the interest expense attributable to the incurrence, assumption or guarantee of any Indebtedness relating to the construction, delivery, acquisition or reactivation of such new Specified Vessel (or Specified Vessels). Notwithstanding the foregoing, in any calculation of Consolidated Adjusted EBITDA based on this paragraph, the pro forma inclusion of Consolidated Adjusted EBITDA attributable to such Qualified Services Contract for the applicable period shall be reduced by the actual Consolidated Adjusted EBITDA from such new Specified Vessel (or Specified Vessels) previously earned and accounted for in the actual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applicable period. Any such adjustments pursuant to this paragraph shall be (x) reasonably acceptable to the Required Lenders (and deemed acceptable unless the Required Lenders, through the Administrative Agent, notify that the Borrower that such adjustments are not reasonable), (y) supported by delivery of an abstract of the relevant Qualified Services Contract, and (z) in the case of Qualified Services Contracts for Specified Vessels which are reactivated, off-set by any amounts included in Consolidated Adjusted EBITDA in respect of any Vessel taken off-contract which such Specified Vessel is replacing.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trailing actual Consolidated Adjusted EBITDA is not available for a newly acquired Specified Vessel, when determining Consolidated Adjusted EBITDA for such Specified Vessel, the pro forma calculation for such Specified Vessel will be based on the reasonably anticipated actual number of days of employment for such Specified Vessel for the year after acquisition and other reference data provided by the chief financial officer of the Parent Entity acting in good faith to the reasonable satisfaction of the Administrative Agent, which may include revenues to be earned pursuant to any Qualified Service Contract in accordance with the preceding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to “Restricted Subsidiary” in this definition may apply equally to any existing, any newly created or any newly acquired Restricted Subsidiaries. </w:t>
      </w:r>
    </w:p>
    <w:p>
      <w:pPr>
        <w:pStyle w:val="TextBody"/>
        <w:bidi w:val="0"/>
        <w:spacing w:before="240" w:after="0"/>
        <w:jc w:val="left"/>
        <w:rPr>
          <w:rFonts w:ascii="Times New Roman" w:hAnsi="Times New Roman"/>
          <w:sz w:val="20"/>
        </w:rPr>
      </w:pPr>
      <w:r>
        <w:rPr>
          <w:rFonts w:ascii="Times New Roman" w:hAnsi="Times New Roman"/>
          <w:sz w:val="20"/>
        </w:rPr>
        <w:t>The adjustments described in the foregoing five paragraphs shall be referred to herein as a “</w:t>
      </w:r>
      <w:r>
        <w:rPr>
          <w:rFonts w:ascii="Times New Roman" w:hAnsi="Times New Roman"/>
          <w:b/>
          <w:sz w:val="20"/>
        </w:rPr>
        <w:t>QSC Adjustment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Consolidated First and Second Lien Debt</w:t>
      </w:r>
      <w:r>
        <w:rPr>
          <w:rFonts w:ascii="Times New Roman" w:hAnsi="Times New Roman"/>
          <w:sz w:val="20"/>
        </w:rPr>
        <w:t xml:space="preserve">” means, as of any date of determination, the amount of Consolidated Total Debt outstanding under the Facility and outstanding under any other Indebtedness (other than Intercompany Indebtedness) that is First Lien Debt or “second lien” Junior Lien Debt. </w:t>
      </w:r>
    </w:p>
    <w:p>
      <w:pPr>
        <w:pStyle w:val="TextBody"/>
        <w:bidi w:val="0"/>
        <w:spacing w:before="240" w:after="0"/>
        <w:jc w:val="left"/>
        <w:rPr/>
      </w:pPr>
      <w:r>
        <w:rPr/>
        <w:t>“</w:t>
      </w:r>
      <w:r>
        <w:rPr>
          <w:rFonts w:ascii="Times New Roman" w:hAnsi="Times New Roman"/>
          <w:sz w:val="20"/>
        </w:rPr>
        <w:t>C</w:t>
      </w:r>
      <w:r>
        <w:rPr>
          <w:rFonts w:ascii="Times New Roman" w:hAnsi="Times New Roman"/>
          <w:b/>
          <w:sz w:val="20"/>
        </w:rPr>
        <w:t>onsolidated Interest Expense</w:t>
      </w:r>
      <w:r>
        <w:rPr>
          <w:rFonts w:ascii="Times New Roman" w:hAnsi="Times New Roman"/>
          <w:sz w:val="20"/>
        </w:rPr>
        <w:t xml:space="preserve">” means, with respect to any Person for any period, the sum, without duplication, of (a) the consolidated interest expense of such Person and its Restricted Subsidiaries for such period, whether paid or accrued (including, without limitation, amortization of original issue discount, the interest component of any deferred payment obligations, the interest component of all payments associated with Capitalized Lease Obligations, commissions, discounts and other fees and charges incurred in respect of letter of credit or bankers’ acceptance financings, and net payments (if any) pursuant to Swap Obligations but excluding (i) amortization of debt issuance costs and (ii) any nonrecurring charges relating to any premium or penalty paid, write off of deferred finance costs or original issue discount or other charges in connection with redeeming or otherwise retiring any Indebtedness prior to its maturity date, to the extent that any of such nonrecurring charges constitute interest expense) and (b) the consolidated interest expense of such Person and its Restricted Subsidiaries that was capitalized during such period; provided that Consolidated Interest Expense shall exclude any interest that is paid-in-kind or is imputed non-cash interest expense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But excluding solely for purposes of determining “Fixed Charges”, for the avoidance of doubt, (i) amortization of deferred financing costs, debt issuance costs, commissions, fees and expenses and any other amounts of non-cash interest other than referred to in </w:t>
      </w:r>
      <w:r>
        <w:rPr>
          <w:rFonts w:ascii="Times New Roman" w:hAnsi="Times New Roman"/>
          <w:sz w:val="20"/>
          <w:u w:val="single"/>
        </w:rPr>
        <w:t xml:space="preserve">clause (b) </w:t>
      </w:r>
      <w:r>
        <w:rPr>
          <w:rFonts w:ascii="Times New Roman" w:hAnsi="Times New Roman"/>
          <w:sz w:val="20"/>
        </w:rPr>
        <w:t xml:space="preserve">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Hedge Agreements, (iv) commissions, discounts, yield, make whole premium and other fees and charges (including any interest expense) incurred in connection with any permitted receivables financing, (v) any “additional interest” owing pursuant to a registration rights agreement with respect to any securities, (vi) any payments with respect to make-whole premiums or other breakage costs of any Indebtedness, including any Indebtedness issued in connection with the Transactions, (vii) penalties and interest relating to taxes, (viii) accretion or accrual of discounted liabilities not constituting Indebtedness, (ix) interest expense attributable to a direct or indirect Parent Entity resulting from push-down accounting, (x) any expense resulting from the discounting of Indebtedness in connection with the application of recapitalization or purchase accounting, (xi) any interest expense attributable to the exercise of appraisal rights and the settlement of any claims or actions (whether actual, contingent or potential) with respect thereto and with respect to any acquisition or Investment permitted hereunder, all as calculated on a consolidated basis in accordance with GAAP and (xii) annual agency fees paid to any trustees, administrative agents, collateral trustees, and collateral agents with respect to any secured or unsecured loans, debt facilities, debentures, bonds, commercial paper facilities or other forms of Indebtedness (including any security or intercreditor arrangements related thereto). For the avoidance of doubt, interest expense shall be determined after giving effect to any net payments made or received by the Borrower and the Restricted Subsidiaries in respect of Hedge Agreements relating to interest rate protection. </w:t>
      </w:r>
    </w:p>
    <w:p>
      <w:pPr>
        <w:pStyle w:val="TextBody"/>
        <w:bidi w:val="0"/>
        <w:spacing w:before="240" w:after="0"/>
        <w:jc w:val="left"/>
        <w:rPr/>
      </w:pPr>
      <w:r>
        <w:rPr/>
        <w:t>“</w:t>
      </w:r>
      <w:r>
        <w:rPr>
          <w:rFonts w:ascii="Times New Roman" w:hAnsi="Times New Roman"/>
          <w:b/>
          <w:sz w:val="20"/>
        </w:rPr>
        <w:t>Consolidated Net Debt</w:t>
      </w:r>
      <w:r>
        <w:rPr>
          <w:rFonts w:ascii="Times New Roman" w:hAnsi="Times New Roman"/>
          <w:sz w:val="20"/>
        </w:rPr>
        <w:t xml:space="preserve">” means, as of any date of determination, (a) Consolidated Total Debt </w:t>
      </w:r>
      <w:r>
        <w:rPr>
          <w:rFonts w:ascii="Times New Roman" w:hAnsi="Times New Roman"/>
          <w:i/>
          <w:sz w:val="20"/>
          <w:u w:val="single"/>
        </w:rPr>
        <w:t>minus</w:t>
      </w:r>
      <w:r>
        <w:rPr>
          <w:rFonts w:ascii="Times New Roman" w:hAnsi="Times New Roman"/>
          <w:sz w:val="20"/>
        </w:rPr>
        <w:t xml:space="preserve"> (b) the aggregate amount of cash and Cash Equivalents of the Borrower and the Restricted Subsidiaries as of such date that is not Restricted in an amount not to exceed $25,000,000. </w:t>
      </w:r>
    </w:p>
    <w:p>
      <w:pPr>
        <w:pStyle w:val="TextBody"/>
        <w:bidi w:val="0"/>
        <w:spacing w:before="240" w:after="0"/>
        <w:jc w:val="left"/>
        <w:rPr/>
      </w:pPr>
      <w:r>
        <w:rPr/>
        <w:t>“</w:t>
      </w:r>
      <w:r>
        <w:rPr>
          <w:rFonts w:ascii="Times New Roman" w:hAnsi="Times New Roman"/>
          <w:b/>
          <w:sz w:val="20"/>
        </w:rPr>
        <w:t>Consolidated Net Income</w:t>
      </w:r>
      <w:r>
        <w:rPr>
          <w:rFonts w:ascii="Times New Roman" w:hAnsi="Times New Roman"/>
          <w:sz w:val="20"/>
        </w:rPr>
        <w:t xml:space="preserve">” means, with respect to any Person for any period, the consolidated net income (or loss) of such Person and its Restricted Subsidiaries, determined in accordance with GAAP and before any reduction in respect of preferred stock dividends,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Net Income (but not loss) of any Person that is not a Restricted Subsidiary or that is accounted for by the equity method of accounting shall be included only to the extent of the amount of dividends or distributions paid in cash to the referent Person or a Restricted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(2) except to the extent of the amount of dividends or distributions paid to Restricted Subsidiaries which are Guarantors, the Net Income of any Restricted Subsidiary which is not a Guarantor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unrealized losses and gains under derivative instruments included in the determination of Consolidated Net Income, including, without limitation those resulting from the application of FASB ASC Topic No. 815, Derivatives and Hedging,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(4) the cumulative effect of a change in accounting principles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(5) any income (loss) from the extinguishment, conversion, modification or cancellation of Indebtedness, Swap Obligations or other derivative instruments (including deferred financing costs written off, premiums paid or other expenses incurred)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(6) any unrealized or realized gain or loss resulting in such period from currency translation increases or decreases or transaction gains or losses and any other realized or unrealized foreign exchange gains or losses relating to the translation of assets and liabilities denominated in foreign currencies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(7) (i) any impairment charge, write-off or write-down, including impairment charges, write-offs or write-downs related to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and the amortization of intangibles arising pursuant to GAAP and (ii) gains, losses or charges arising from Accounting Standards Codification Topic 820—Fair Value Measurements and Disclosures shall be excluded, and </w:t>
      </w:r>
    </w:p>
    <w:p>
      <w:pPr>
        <w:pStyle w:val="TextBody"/>
        <w:bidi w:val="0"/>
        <w:spacing w:before="120" w:after="0"/>
        <w:jc w:val="left"/>
        <w:rPr>
          <w:rFonts w:ascii="Times New Roman" w:hAnsi="Times New Roman"/>
          <w:sz w:val="20"/>
        </w:rPr>
      </w:pPr>
      <w:r>
        <w:rPr>
          <w:rFonts w:ascii="Times New Roman" w:hAnsi="Times New Roman"/>
          <w:sz w:val="20"/>
        </w:rPr>
        <w:t>(8) any extraordinary, non-recurring, unusual or infrequent items shall be excluded (other than any gains or losses from dispositions of property or assets in the ordinary course of business (it being acknowledged and agreed that sales of Vessels permitted under</w:t>
      </w:r>
      <w:r>
        <w:rPr>
          <w:rFonts w:ascii="Times New Roman" w:hAnsi="Times New Roman"/>
          <w:sz w:val="20"/>
          <w:u w:val="single"/>
        </w:rPr>
        <w:t xml:space="preserve"> Section 7.05</w:t>
      </w:r>
      <w:r>
        <w:rPr>
          <w:rFonts w:ascii="Times New Roman" w:hAnsi="Times New Roman"/>
          <w:sz w:val="20"/>
        </w:rPr>
        <w:t xml:space="preserve"> of this Agreement are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notwithstanding the preceding, (a) there shall be excluded from Consolidated Net Income any nonrecurring charges relating to any premium or penalty paid, write off of deferred finance costs or original issue discount or other charges in connection with redeeming or otherwise retiring any Indebtedness prior to its stated maturity and (b) to the extent not already excluded (or included, as applicable) in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Borrower has made a determination that there exists reasonable evidence that such amount will in fact be reimbursed within 365 days of the date of such evidence (including that such counterparty has not denied reimbursement or indemnification) (net of any amount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added back in a prior period to the extent not so reimbursed within the applicable 365-day period) and (ii) to the extent covered by insurance (including business interruption insurance) and actually reimbursed, or, so long as the Borrower has made a determination that there exists reasonable evidence that such amount will in fact be reimbursed by the insurer (including that the insurer has not denied reimbursement of such amounts)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 </w:t>
      </w:r>
    </w:p>
    <w:p>
      <w:pPr>
        <w:pStyle w:val="TextBody"/>
        <w:bidi w:val="0"/>
        <w:spacing w:before="240" w:after="0"/>
        <w:jc w:val="left"/>
        <w:rPr/>
      </w:pPr>
      <w:r>
        <w:rPr/>
        <w:t>“</w:t>
      </w:r>
      <w:r>
        <w:rPr>
          <w:rFonts w:ascii="Times New Roman" w:hAnsi="Times New Roman"/>
          <w:b/>
          <w:sz w:val="20"/>
        </w:rPr>
        <w:t>Consolidated Net Tangible Assets</w:t>
      </w:r>
      <w:r>
        <w:rPr>
          <w:rFonts w:ascii="Times New Roman" w:hAnsi="Times New Roman"/>
          <w:sz w:val="20"/>
        </w:rPr>
        <w:t xml:space="preserve">” means, with respect to any Person as of any date, the sum of the amounts that would appear on a consolidated balance sheet of such Person and its consolidated Restricted Subsidiaries as the total assets of such Person and its consolidated Restricted Subsidiaries, determined on a consolidated basis in accordance with GAAP and after deducting therefrom, (a) to the extent otherwise included, unamortized debt discount and expenses and other unamortized deferred charges, goodwill, patents, trademarks, service marks, trade names, copyrights, licenses, organization or development expenses, right of use assets and other intangible items and (b) the aggregate amount of liabilities of such Person and its Restricted Subsidiaries that may be properly classified as current liabilities (including tax accrued as estimated), determined on a consolidated basis in accordance with GAAP. </w:t>
      </w:r>
    </w:p>
    <w:p>
      <w:pPr>
        <w:pStyle w:val="TextBody"/>
        <w:bidi w:val="0"/>
        <w:spacing w:before="240" w:after="0"/>
        <w:jc w:val="left"/>
        <w:rPr/>
      </w:pPr>
      <w:r>
        <w:rPr/>
        <w:t>“</w:t>
      </w:r>
      <w:r>
        <w:rPr>
          <w:rFonts w:ascii="Times New Roman" w:hAnsi="Times New Roman"/>
          <w:b/>
          <w:sz w:val="20"/>
        </w:rPr>
        <w:t>Consolidated Secured Net Debt</w:t>
      </w:r>
      <w:r>
        <w:rPr>
          <w:rFonts w:ascii="Times New Roman" w:hAnsi="Times New Roman"/>
          <w:sz w:val="20"/>
        </w:rPr>
        <w:t xml:space="preserve">” means, as of any date of determination, (a) (i) Consolidated Total Debt outstanding under the Facilities, (ii) Consolidated Total Debt constituting secured Refinancing Indebtedness in respect of the foregoing that is outstanding at such time and (iii) any other Consolidated Total Debt outstanding at such time that is secured by a Lien on the Collateral, </w:t>
      </w:r>
      <w:r>
        <w:rPr>
          <w:rFonts w:ascii="Times New Roman" w:hAnsi="Times New Roman"/>
          <w:i/>
          <w:sz w:val="20"/>
          <w:u w:val="single"/>
        </w:rPr>
        <w:t>minus</w:t>
      </w:r>
      <w:r>
        <w:rPr>
          <w:rFonts w:ascii="Times New Roman" w:hAnsi="Times New Roman"/>
          <w:sz w:val="20"/>
        </w:rPr>
        <w:t xml:space="preserve"> (b) the aggregate amount of cash and Cash Equivalents of the Borrower and the Restricted Subsidiaries as of such date that (i) is not Restricted and (ii) from and after the Initial Funding Date, is held in a bank account meeting the requirements of </w:t>
      </w:r>
      <w:r>
        <w:rPr>
          <w:rFonts w:ascii="Times New Roman" w:hAnsi="Times New Roman"/>
          <w:sz w:val="20"/>
          <w:u w:val="single"/>
        </w:rPr>
        <w:t>Section 6.11(c)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Consolidated Total Debt</w:t>
      </w:r>
      <w:r>
        <w:rPr>
          <w:rFonts w:ascii="Times New Roman" w:hAnsi="Times New Roman"/>
          <w:sz w:val="20"/>
        </w:rPr>
        <w:t xml:space="preserve">” means, as of any date of determination, the aggregate outstanding principal amount of Indebtedness (other than Intercompany Indebtedness) of the Borrower and the Restricted Subsidiaries on such date, determined on a consolidated basis and as reflected on the face of a balance sheet prepared in accordance with GAAP (but excluding the effects of the application of purchase accounting in connection with the Transactions, any acquisition or any other Investment permitted hereunder), consisting of Indebtedness for borrowed money, unreimbursed obligations in respect of drawn letters of credit (to the extent not cash collateralized), and obligations in respect of Capitalized Leases and purchase money obligations and debt obligations evidenced by promissory notes or debentures; </w:t>
      </w:r>
      <w:r>
        <w:rPr>
          <w:rFonts w:ascii="Times New Roman" w:hAnsi="Times New Roman"/>
          <w:i/>
          <w:sz w:val="20"/>
        </w:rPr>
        <w:t>provided</w:t>
      </w:r>
      <w:r>
        <w:rPr>
          <w:rFonts w:ascii="Times New Roman" w:hAnsi="Times New Roman"/>
          <w:sz w:val="20"/>
        </w:rPr>
        <w:t>, that Consolidated Total Debt will not include Indebtedness in respect of (a) any Qualified Securitization Financing, (b) any letter of credit, except to the extent of unreimbursed obligations in respect of drawn letters of credit (</w:t>
      </w:r>
      <w:r>
        <w:rPr>
          <w:rFonts w:ascii="Times New Roman" w:hAnsi="Times New Roman"/>
          <w:i/>
          <w:sz w:val="20"/>
        </w:rPr>
        <w:t>provided</w:t>
      </w:r>
      <w:r>
        <w:rPr>
          <w:rFonts w:ascii="Times New Roman" w:hAnsi="Times New Roman"/>
          <w:sz w:val="20"/>
        </w:rPr>
        <w:t xml:space="preserve">, that any unreimbursed amount under commercial letters of credit will not be counted as Consolidated Total Debt until three Business Days after such amount is drawn (it being understood that any borrowing, whether automatic or otherwise, to fund such reimbursement will be counted)), (c) obligations under Hedge Agreements, (d) customary purchase money obligations incurred in the ordinary course, trade payable and earn outs and similar obligations except to the extent owing and not paid, (e) Indebtedness to the extent it has been cash collateralized, and (f) any lease obligations other than in respect of Capitalized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Contingent Obligations</w:t>
      </w:r>
      <w:r>
        <w:rPr>
          <w:rFonts w:ascii="Times New Roman" w:hAnsi="Times New Roman"/>
          <w:sz w:val="20"/>
        </w:rPr>
        <w:t>” means, with respect to any Person, any obligation of such Person guaranteeing in any manner, whether directly or indirectly, any Non-Financing Lease Obligation, dividend or other obligation that does not constitute Indebtedness (“</w:t>
      </w:r>
      <w:r>
        <w:rPr>
          <w:rFonts w:ascii="Times New Roman" w:hAnsi="Times New Roman"/>
          <w:b/>
          <w:sz w:val="20"/>
        </w:rPr>
        <w:t>primary obligations</w:t>
      </w:r>
      <w:r>
        <w:rPr>
          <w:rFonts w:ascii="Times New Roman" w:hAnsi="Times New Roman"/>
          <w:sz w:val="20"/>
        </w:rPr>
        <w:t>”) of any other Person (the “</w:t>
      </w:r>
      <w:r>
        <w:rPr>
          <w:rFonts w:ascii="Times New Roman" w:hAnsi="Times New Roman"/>
          <w:b/>
          <w:sz w:val="20"/>
        </w:rPr>
        <w:t>primary obligor</w:t>
      </w:r>
      <w:r>
        <w:rPr>
          <w:rFonts w:ascii="Times New Roman" w:hAnsi="Times New Roman"/>
          <w:sz w:val="20"/>
        </w:rPr>
        <w:t xml:space="preserve">”), including any obligation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to purchase any such primary obligation or any property constituting direct or indirect security therefor; </w:t>
      </w:r>
    </w:p>
    <w:p>
      <w:pPr>
        <w:pStyle w:val="TextBody"/>
        <w:bidi w:val="0"/>
        <w:spacing w:before="120" w:after="0"/>
        <w:jc w:val="left"/>
        <w:rPr>
          <w:rFonts w:ascii="Times New Roman" w:hAnsi="Times New Roman"/>
          <w:sz w:val="20"/>
        </w:rPr>
      </w:pPr>
      <w:r>
        <w:rPr>
          <w:rFonts w:ascii="Times New Roman" w:hAnsi="Times New Roman"/>
          <w:sz w:val="20"/>
        </w:rPr>
        <w:t xml:space="preserve">(2) to advance or supply funds: </w:t>
      </w:r>
    </w:p>
    <w:p>
      <w:pPr>
        <w:pStyle w:val="TextBody"/>
        <w:bidi w:val="0"/>
        <w:spacing w:before="120" w:after="0"/>
        <w:jc w:val="left"/>
        <w:rPr>
          <w:rFonts w:ascii="Times New Roman" w:hAnsi="Times New Roman"/>
          <w:sz w:val="20"/>
        </w:rPr>
      </w:pPr>
      <w:r>
        <w:rPr>
          <w:rFonts w:ascii="Times New Roman" w:hAnsi="Times New Roman"/>
          <w:sz w:val="20"/>
        </w:rPr>
        <w:t xml:space="preserve">(a) for the purchase or payment of any such primary obligation; or </w:t>
      </w:r>
    </w:p>
    <w:p>
      <w:pPr>
        <w:pStyle w:val="TextBody"/>
        <w:bidi w:val="0"/>
        <w:spacing w:before="120" w:after="0"/>
        <w:jc w:val="left"/>
        <w:rPr>
          <w:rFonts w:ascii="Times New Roman" w:hAnsi="Times New Roman"/>
          <w:sz w:val="20"/>
        </w:rPr>
      </w:pPr>
      <w:r>
        <w:rPr>
          <w:rFonts w:ascii="Times New Roman" w:hAnsi="Times New Roman"/>
          <w:sz w:val="20"/>
        </w:rPr>
        <w:t xml:space="preserve">(b) to maintain the working capital or equity capital of the primary obligor or otherwise to maintain the net worth or solvency of the primary obligor; or </w:t>
      </w:r>
    </w:p>
    <w:p>
      <w:pPr>
        <w:pStyle w:val="TextBody"/>
        <w:bidi w:val="0"/>
        <w:spacing w:before="120" w:after="0"/>
        <w:jc w:val="left"/>
        <w:rPr>
          <w:rFonts w:ascii="Times New Roman" w:hAnsi="Times New Roman"/>
          <w:sz w:val="20"/>
        </w:rPr>
      </w:pPr>
      <w:r>
        <w:rPr>
          <w:rFonts w:ascii="Times New Roman" w:hAnsi="Times New Roman"/>
          <w:sz w:val="20"/>
        </w:rPr>
        <w:t xml:space="preserve">(3) 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and “</w:t>
      </w:r>
      <w:r>
        <w:rPr>
          <w:rFonts w:ascii="Times New Roman" w:hAnsi="Times New Roman"/>
          <w:b/>
          <w:sz w:val="20"/>
        </w:rPr>
        <w:t>Controlled</w:t>
      </w:r>
      <w:r>
        <w:rPr>
          <w:rFonts w:ascii="Times New Roman" w:hAnsi="Times New Roman"/>
          <w:sz w:val="20"/>
        </w:rPr>
        <w:t xml:space="preserve">” have the meaning specified in the definition of “Affiliate.” </w:t>
      </w:r>
    </w:p>
    <w:p>
      <w:pPr>
        <w:pStyle w:val="TextBody"/>
        <w:bidi w:val="0"/>
        <w:spacing w:before="240" w:after="0"/>
        <w:jc w:val="left"/>
        <w:rPr/>
      </w:pPr>
      <w:r>
        <w:rPr/>
        <w:t>“</w:t>
      </w:r>
      <w:r>
        <w:rPr>
          <w:rFonts w:ascii="Times New Roman" w:hAnsi="Times New Roman"/>
          <w:b/>
          <w:sz w:val="20"/>
        </w:rPr>
        <w:t>Control Agreement</w:t>
      </w:r>
      <w:r>
        <w:rPr>
          <w:rFonts w:ascii="Times New Roman" w:hAnsi="Times New Roman"/>
          <w:sz w:val="20"/>
        </w:rPr>
        <w:t xml:space="preserve">” means (a) with respect to accounts governed by U.S. law, an agreement, in form and substance satisfactory to the Administrative Agent and the Collateral Agent, which provides for the Collateral Agent to have with respect to accounts governed by U.S. law, “control” (as defined in Section 9-104 of the Uniform Commercial Code of the State of New York or Section 8-106 of the Uniform Commercial Code of the State of New York, as applicable) of Deposit Accounts or Securities Accounts, as applicable and (b) with respect to accounts governed by the law of any other jurisdiction, a customary “control agreement” for such jurisdiction in form and substance satisfactory to the Administrative Agent and the Collateral Agent (it being agreed and understood that no Loan Document requires a “control agreement” of the type described in this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Controlled Investment Affiliate(s)</w:t>
      </w:r>
      <w:r>
        <w:rPr>
          <w:rFonts w:ascii="Times New Roman" w:hAnsi="Times New Roman"/>
          <w:sz w:val="20"/>
        </w:rPr>
        <w:t xml:space="preserve">”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its Subsidiaries any Parent Entity and/or other companies. </w:t>
      </w:r>
    </w:p>
    <w:p>
      <w:pPr>
        <w:pStyle w:val="TextBody"/>
        <w:bidi w:val="0"/>
        <w:spacing w:before="240" w:after="0"/>
        <w:jc w:val="left"/>
        <w:rPr/>
      </w:pPr>
      <w:r>
        <w:rPr/>
        <w:t>“</w:t>
      </w:r>
      <w:r>
        <w:rPr>
          <w:rFonts w:ascii="Times New Roman" w:hAnsi="Times New Roman"/>
          <w:b/>
          <w:sz w:val="20"/>
        </w:rPr>
        <w:t>Conversion Settlement</w:t>
      </w:r>
      <w:r>
        <w:rPr>
          <w:rFonts w:ascii="Times New Roman" w:hAnsi="Times New Roman"/>
          <w:sz w:val="20"/>
        </w:rPr>
        <w:t xml:space="preserve">” has the meaning specified in the definition of “Permitted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Conversion/Continuation Notice</w:t>
      </w:r>
      <w:r>
        <w:rPr>
          <w:rFonts w:ascii="Times New Roman" w:hAnsi="Times New Roman"/>
          <w:sz w:val="20"/>
        </w:rPr>
        <w:t xml:space="preserve">” means a written notice of (a) a conversion of Loans from one Type to another or (b) a continuation of SOFR Rate Loans, pursuant to </w:t>
      </w:r>
      <w:r>
        <w:rPr>
          <w:rFonts w:ascii="Times New Roman" w:hAnsi="Times New Roman"/>
          <w:sz w:val="20"/>
          <w:u w:val="single"/>
        </w:rPr>
        <w:t>Article II</w:t>
      </w:r>
      <w:r>
        <w:rPr>
          <w:rFonts w:ascii="Times New Roman" w:hAnsi="Times New Roman"/>
          <w:sz w:val="20"/>
        </w:rPr>
        <w:t xml:space="preserve">, which shall be substantially in the form of </w:t>
      </w:r>
      <w:r>
        <w:rPr>
          <w:rFonts w:ascii="Times New Roman" w:hAnsi="Times New Roman"/>
          <w:sz w:val="20"/>
          <w:u w:val="single"/>
        </w:rPr>
        <w:t>Exhibit A-3.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left"/>
        <w:rPr/>
      </w:pPr>
      <w:r>
        <w:rPr/>
        <w:t>“</w:t>
      </w:r>
      <w:r>
        <w:rPr>
          <w:rFonts w:ascii="Times New Roman" w:hAnsi="Times New Roman"/>
          <w:b/>
          <w:sz w:val="20"/>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(b)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(c) a “covered FSI” as that term is defined in, and interpreted in accordance with, 12 C.F.R. § 382.2(b). </w:t>
      </w:r>
    </w:p>
    <w:p>
      <w:pPr>
        <w:pStyle w:val="TextBody"/>
        <w:bidi w:val="0"/>
        <w:spacing w:before="240" w:after="0"/>
        <w:jc w:val="left"/>
        <w:rPr/>
      </w:pPr>
      <w:r>
        <w:rPr/>
        <w:t>“</w:t>
      </w:r>
      <w:r>
        <w:rPr>
          <w:rFonts w:ascii="Times New Roman" w:hAnsi="Times New Roman"/>
          <w:b/>
          <w:sz w:val="20"/>
        </w:rPr>
        <w:t>Covered Party</w:t>
      </w:r>
      <w:r>
        <w:rPr>
          <w:rFonts w:ascii="Times New Roman" w:hAnsi="Times New Roman"/>
          <w:sz w:val="20"/>
        </w:rPr>
        <w:t xml:space="preserve">” has the meaning specified in </w:t>
      </w:r>
      <w:r>
        <w:rPr>
          <w:rFonts w:ascii="Times New Roman" w:hAnsi="Times New Roman"/>
          <w:sz w:val="20"/>
          <w:u w:val="single"/>
        </w:rPr>
        <w:t>Section 11.26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Daily Simple SOFR</w:t>
      </w:r>
      <w:r>
        <w:rPr>
          <w:rFonts w:ascii="Times New Roman" w:hAnsi="Times New Roman"/>
          <w:sz w:val="20"/>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hAnsi="Times New Roman"/>
          <w:i/>
          <w:sz w:val="20"/>
        </w:rPr>
        <w:t xml:space="preserve">provided </w:t>
      </w:r>
      <w:r>
        <w:rPr>
          <w:rFonts w:ascii="Times New Roman" w:hAnsi="Times New Roman"/>
          <w:sz w:val="20"/>
        </w:rPr>
        <w:t xml:space="preserve">that, if the Administrative Agent decides that any such convention is not administratively feasible for the Administrative Agent, then the Administrative Agent may establish another convention in its reasonable discretion. </w:t>
      </w:r>
    </w:p>
    <w:p>
      <w:pPr>
        <w:pStyle w:val="TextBody"/>
        <w:bidi w:val="0"/>
        <w:spacing w:before="240" w:after="0"/>
        <w:jc w:val="left"/>
        <w:rPr/>
      </w:pPr>
      <w:r>
        <w:rPr/>
        <w:t>“</w:t>
      </w:r>
      <w:r>
        <w:rPr>
          <w:rFonts w:ascii="Times New Roman" w:hAnsi="Times New Roman"/>
          <w:b/>
          <w:sz w:val="20"/>
        </w:rPr>
        <w:t>Debt Representative</w:t>
      </w:r>
      <w:r>
        <w:rPr>
          <w:rFonts w:ascii="Times New Roman" w:hAnsi="Times New Roman"/>
          <w:sz w:val="20"/>
        </w:rPr>
        <w:t xml:space="preserve">” means, with respect to any series of Indebtedness secured by a Lien permitted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(ll)</w:t>
      </w:r>
      <w:r>
        <w:rPr>
          <w:rFonts w:ascii="Times New Roman" w:hAnsi="Times New Roman"/>
          <w:sz w:val="20"/>
        </w:rPr>
        <w:t xml:space="preserve"> or </w:t>
      </w:r>
      <w:r>
        <w:rPr>
          <w:rFonts w:ascii="Times New Roman" w:hAnsi="Times New Roman"/>
          <w:sz w:val="20"/>
          <w:u w:val="single"/>
        </w:rPr>
        <w:t>(mm)</w:t>
      </w:r>
      <w:r>
        <w:rPr>
          <w:rFonts w:ascii="Times New Roman" w:hAnsi="Times New Roman"/>
          <w:sz w:val="20"/>
        </w:rPr>
        <w:t xml:space="preserve">, Permitted Pari Passu Secured Refinancing Debt or Permitted Junior Secured Refinancing Debt, the trustee, administrative agent, collateral trustee, collateral agent, security agent or similar agent under the indenture or agreement pursuant to which such Indebtedness is issued, incurred or otherwise obtained, as the case may be, and each of their successors in such capacities. </w:t>
      </w:r>
    </w:p>
    <w:p>
      <w:pPr>
        <w:pStyle w:val="TextBody"/>
        <w:bidi w:val="0"/>
        <w:spacing w:before="240" w:after="0"/>
        <w:jc w:val="left"/>
        <w:rPr/>
      </w:pPr>
      <w:r>
        <w:rPr/>
        <w:t>“</w:t>
      </w:r>
      <w:r>
        <w:rPr>
          <w:rFonts w:ascii="Times New Roman" w:hAnsi="Times New Roman"/>
          <w:b/>
          <w:sz w:val="20"/>
        </w:rPr>
        <w:t>Debtor Relief Laws</w:t>
      </w:r>
      <w:r>
        <w:rPr>
          <w:rFonts w:ascii="Times New Roman" w:hAnsi="Times New Roman"/>
          <w:sz w:val="20"/>
        </w:rPr>
        <w:t xml:space="preserve">” means the U.S.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or condition that constitutes an Event of Default or that, with the giving of any notice, the passage of time, or both, would be an Event of Default. </w:t>
      </w:r>
    </w:p>
    <w:p>
      <w:pPr>
        <w:pStyle w:val="TextBody"/>
        <w:bidi w:val="0"/>
        <w:spacing w:before="240" w:after="0"/>
        <w:jc w:val="left"/>
        <w:rPr/>
      </w:pPr>
      <w:r>
        <w:rPr/>
        <w:t>“</w:t>
      </w:r>
      <w:r>
        <w:rPr>
          <w:rFonts w:ascii="Times New Roman" w:hAnsi="Times New Roman"/>
          <w:b/>
          <w:sz w:val="20"/>
        </w:rPr>
        <w:t>Default Rate</w:t>
      </w:r>
      <w:r>
        <w:rPr>
          <w:rFonts w:ascii="Times New Roman" w:hAnsi="Times New Roman"/>
          <w:sz w:val="20"/>
        </w:rPr>
        <w:t xml:space="preserve">” means an interest rate equal to (a) the Base Rate </w:t>
      </w:r>
      <w:r>
        <w:rPr>
          <w:rFonts w:ascii="Times New Roman" w:hAnsi="Times New Roman"/>
          <w:i/>
          <w:sz w:val="20"/>
          <w:u w:val="single"/>
        </w:rPr>
        <w:t>plus</w:t>
      </w:r>
      <w:r>
        <w:rPr>
          <w:rFonts w:ascii="Times New Roman" w:hAnsi="Times New Roman"/>
          <w:sz w:val="20"/>
        </w:rPr>
        <w:t xml:space="preserve"> (b) the Applicable Rate applicable to Base Rate Loans that are Revolving Loans </w:t>
      </w:r>
      <w:r>
        <w:rPr>
          <w:rFonts w:ascii="Times New Roman" w:hAnsi="Times New Roman"/>
          <w:i/>
          <w:sz w:val="20"/>
          <w:u w:val="single"/>
        </w:rPr>
        <w:t>plus</w:t>
      </w:r>
      <w:r>
        <w:rPr>
          <w:rFonts w:ascii="Times New Roman" w:hAnsi="Times New Roman"/>
          <w:sz w:val="20"/>
        </w:rPr>
        <w:t xml:space="preserve"> (c) 2.00% </w:t>
      </w:r>
      <w:r>
        <w:rPr>
          <w:rFonts w:ascii="Times New Roman" w:hAnsi="Times New Roman"/>
          <w:i/>
          <w:sz w:val="20"/>
        </w:rPr>
        <w:t>per annum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with respect to the outstanding principal amount of any Loan not paid when due, the Default Rate shall be an interest rate equal to the interest rate (including any Applicable Rate) otherwise applicable to such Loan (giving effect to </w:t>
      </w:r>
      <w:r>
        <w:rPr>
          <w:rFonts w:ascii="Times New Roman" w:hAnsi="Times New Roman"/>
          <w:sz w:val="20"/>
          <w:u w:val="single"/>
        </w:rPr>
        <w:t>Section 2.05(c)</w:t>
      </w:r>
      <w:r>
        <w:rPr>
          <w:rFonts w:ascii="Times New Roman" w:hAnsi="Times New Roman"/>
          <w:sz w:val="20"/>
        </w:rPr>
        <w:t xml:space="preserve">) </w:t>
      </w:r>
      <w:r>
        <w:rPr>
          <w:rFonts w:ascii="Times New Roman" w:hAnsi="Times New Roman"/>
          <w:i/>
          <w:sz w:val="20"/>
          <w:u w:val="single"/>
        </w:rPr>
        <w:t>plus</w:t>
      </w:r>
      <w:r>
        <w:rPr>
          <w:rFonts w:ascii="Times New Roman" w:hAnsi="Times New Roman"/>
          <w:sz w:val="20"/>
        </w:rPr>
        <w:t xml:space="preserve"> 2.00% </w:t>
      </w:r>
      <w:r>
        <w:rPr>
          <w:rFonts w:ascii="Times New Roman" w:hAnsi="Times New Roman"/>
          <w:i/>
          <w:sz w:val="20"/>
        </w:rPr>
        <w:t>per annum</w:t>
      </w:r>
      <w:r>
        <w:rPr>
          <w:rFonts w:ascii="Times New Roman" w:hAnsi="Times New Roman"/>
          <w:sz w:val="20"/>
        </w:rPr>
        <w:t xml:space="preserve">, in each case, to the fullest extent permitted by applicable Laws. </w:t>
      </w:r>
    </w:p>
    <w:p>
      <w:pPr>
        <w:pStyle w:val="TextBody"/>
        <w:bidi w:val="0"/>
        <w:spacing w:before="240" w:after="0"/>
        <w:jc w:val="left"/>
        <w:rPr/>
      </w:pPr>
      <w:r>
        <w:rPr/>
        <w:t>“</w:t>
      </w:r>
      <w:r>
        <w:rPr>
          <w:rFonts w:ascii="Times New Roman" w:hAnsi="Times New Roman"/>
          <w:b/>
          <w:sz w:val="20"/>
        </w:rPr>
        <w:t>Default Rights</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b/>
          <w:sz w:val="20"/>
        </w:rPr>
        <w:t>Defaulting Lender</w:t>
      </w:r>
      <w:r>
        <w:rPr>
          <w:rFonts w:ascii="Times New Roman" w:hAnsi="Times New Roman"/>
          <w:sz w:val="20"/>
        </w:rPr>
        <w:t xml:space="preserve">” means, subject to </w:t>
      </w:r>
      <w:r>
        <w:rPr>
          <w:rFonts w:ascii="Times New Roman" w:hAnsi="Times New Roman"/>
          <w:sz w:val="20"/>
          <w:u w:val="single"/>
        </w:rPr>
        <w:t>Section 2.20(b)</w:t>
      </w:r>
      <w:r>
        <w:rPr>
          <w:rFonts w:ascii="Times New Roman" w:hAnsi="Times New Roman"/>
          <w:sz w:val="20"/>
        </w:rPr>
        <w:t xml:space="preserve">, any Lender that, </w:t>
      </w:r>
    </w:p>
    <w:p>
      <w:pPr>
        <w:pStyle w:val="TextBody"/>
        <w:bidi w:val="0"/>
        <w:spacing w:before="120" w:after="0"/>
        <w:jc w:val="left"/>
        <w:rPr>
          <w:rFonts w:ascii="Times New Roman" w:hAnsi="Times New Roman"/>
          <w:sz w:val="20"/>
        </w:rPr>
      </w:pPr>
      <w:r>
        <w:rPr>
          <w:rFonts w:ascii="Times New Roman" w:hAnsi="Times New Roman"/>
          <w:sz w:val="20"/>
        </w:rPr>
        <w:t xml:space="preserve">(a) has failed to (i) fund all or any portion of its Loans, including participations in respect of Letters of Credit within two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the Issuing Banks or any other Lender any other amount required to be paid by it hereunder (including in respect of its participation in Letters of Credit) within two Business Days of the date when due, (b) has notified the Borrower, the Administrative Agent or the Issuing Banks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w:t>
      </w:r>
    </w:p>
    <w:p>
      <w:pPr>
        <w:pStyle w:val="TextBody"/>
        <w:bidi w:val="0"/>
        <w:spacing w:before="120" w:after="0"/>
        <w:jc w:val="left"/>
        <w:rPr>
          <w:rFonts w:ascii="Times New Roman" w:hAnsi="Times New Roman"/>
          <w:sz w:val="20"/>
        </w:rPr>
      </w:pPr>
      <w:r>
        <w:rPr>
          <w:rFonts w:ascii="Times New Roman" w:hAnsi="Times New Roman"/>
          <w:sz w:val="20"/>
        </w:rPr>
        <w:t>(b) has failed, within three Business Days after written request by the Administrative Agent or the Borrower, to confirm in writing to the Administrative Agent and such Borrower that it will comply with its prospective funding obligations hereunder (</w:t>
      </w:r>
      <w:r>
        <w:rPr>
          <w:rFonts w:ascii="Times New Roman" w:hAnsi="Times New Roman"/>
          <w:i/>
          <w:sz w:val="20"/>
        </w:rPr>
        <w:t xml:space="preserve">provided </w:t>
      </w:r>
      <w:r>
        <w:rPr>
          <w:rFonts w:ascii="Times New Roman" w:hAnsi="Times New Roman"/>
          <w:sz w:val="20"/>
        </w:rPr>
        <w:t xml:space="preserve">that such Lender shall cease to be a Defaulting Lender pursuant to this </w:t>
      </w:r>
      <w:r>
        <w:rPr>
          <w:rFonts w:ascii="Times New Roman" w:hAnsi="Times New Roman"/>
          <w:sz w:val="20"/>
          <w:u w:val="single"/>
        </w:rPr>
        <w:t>clause (b)</w:t>
      </w:r>
      <w:r>
        <w:rPr>
          <w:rFonts w:ascii="Times New Roman" w:hAnsi="Times New Roman"/>
          <w:sz w:val="20"/>
        </w:rPr>
        <w:t xml:space="preserve"> upon receipt of such written confirmation by the Administrative Agent and such Borrower), or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administrator, assignee for the benefit of creditors or similar Person charged with reorganization or liquidation of its business or assets, including the Federal Deposit Insurance Corporation or any other Federal or state, provincial or territorial regulatory authority acting in such a capacity or the like has been appointed for such Lender or its direct or indirect parent company, or such Lender or its direct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indirect parent company has taken any action in furtherance of or indicating its consent to or acquiescence in any such proceeding or appointment or (iii) become the subject of a Bail-In Action; </w:t>
      </w:r>
      <w:r>
        <w:rPr>
          <w:rFonts w:ascii="Times New Roman" w:hAnsi="Times New Roman"/>
          <w:i/>
          <w:sz w:val="20"/>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w:t>
      </w:r>
    </w:p>
    <w:p>
      <w:pPr>
        <w:pStyle w:val="TextBody"/>
        <w:bidi w:val="0"/>
        <w:spacing w:before="240" w:after="0"/>
        <w:jc w:val="left"/>
        <w:rPr>
          <w:rFonts w:ascii="Times New Roman" w:hAnsi="Times New Roman"/>
          <w:sz w:val="20"/>
        </w:rPr>
      </w:pPr>
      <w:r>
        <w:rPr>
          <w:rFonts w:ascii="Times New Roman" w:hAnsi="Times New Roman"/>
          <w:sz w:val="20"/>
        </w:rPr>
        <w:t xml:space="preserve">Any determination by the Administrative Agent that a Lender is a Defaulting Lender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above shall be conclusive absent manifest error, and such Lender shall be deemed to be a Defaulting Lender (subject to </w:t>
      </w:r>
      <w:r>
        <w:rPr>
          <w:rFonts w:ascii="Times New Roman" w:hAnsi="Times New Roman"/>
          <w:sz w:val="20"/>
          <w:u w:val="single"/>
        </w:rPr>
        <w:t>Section 2.20</w:t>
      </w:r>
      <w:r>
        <w:rPr>
          <w:rFonts w:ascii="Times New Roman" w:hAnsi="Times New Roman"/>
          <w:sz w:val="20"/>
        </w:rPr>
        <w:t xml:space="preserve">) upon delivery of written notice of such determination to the Borrower, the Issuing Banks and each Lender. </w:t>
      </w:r>
    </w:p>
    <w:p>
      <w:pPr>
        <w:pStyle w:val="TextBody"/>
        <w:bidi w:val="0"/>
        <w:spacing w:before="240" w:after="0"/>
        <w:jc w:val="left"/>
        <w:rPr/>
      </w:pPr>
      <w:r>
        <w:rPr/>
        <w:t>“</w:t>
      </w:r>
      <w:r>
        <w:rPr>
          <w:rFonts w:ascii="Times New Roman" w:hAnsi="Times New Roman"/>
          <w:b/>
          <w:sz w:val="20"/>
        </w:rPr>
        <w:t>Deliverable Obligation</w:t>
      </w:r>
      <w:r>
        <w:rPr>
          <w:rFonts w:ascii="Times New Roman" w:hAnsi="Times New Roman"/>
          <w:sz w:val="20"/>
        </w:rPr>
        <w:t xml:space="preserve">” means each obligation of the Loan Parties that would constitute a “Deliverable Obligation” under a market standard credit default swap transaction documented under the ISDA CDS Definitions and specifying any of the Loan Parties as a Reference Entity. Each capitalized term used but not defined in the preceding sentence has the meaning specified in the ISDA CDS Definitions. </w:t>
      </w:r>
    </w:p>
    <w:p>
      <w:pPr>
        <w:pStyle w:val="TextBody"/>
        <w:bidi w:val="0"/>
        <w:spacing w:before="240" w:after="0"/>
        <w:jc w:val="left"/>
        <w:rPr/>
      </w:pPr>
      <w:r>
        <w:rPr/>
        <w:t>“</w:t>
      </w:r>
      <w:r>
        <w:rPr>
          <w:rFonts w:ascii="Times New Roman" w:hAnsi="Times New Roman"/>
          <w:b/>
          <w:sz w:val="20"/>
        </w:rPr>
        <w:t>Deposit Account</w:t>
      </w:r>
      <w:r>
        <w:rPr>
          <w:rFonts w:ascii="Times New Roman" w:hAnsi="Times New Roman"/>
          <w:sz w:val="20"/>
        </w:rPr>
        <w:t>” has the meaning specified in the Uniform Commercial Code. “</w:t>
      </w:r>
      <w:r>
        <w:rPr>
          <w:rFonts w:ascii="Times New Roman" w:hAnsi="Times New Roman"/>
          <w:b/>
          <w:sz w:val="20"/>
        </w:rPr>
        <w:t>Derivative Instrument</w:t>
      </w:r>
      <w:r>
        <w:rPr>
          <w:rFonts w:ascii="Times New Roman" w:hAnsi="Times New Roman"/>
          <w:sz w:val="20"/>
        </w:rPr>
        <w:t xml:space="preserve">” means, with respect to a Person, any contract or instrument to which such Person is a party (whether or not requiring further performance by such Person), the value and/or cash flows of which (or any portion thereof) are based on the value and/or performance of the Loans and/or any Deliverable Obligations or “Obligations” (as defined in the ISDA CDS Definitions) with respect to the Loan Parties; provided that a “Derivative Instrument” will not include any contract or instrument that is entered into pursuant to bona fide market-making activities. </w:t>
      </w:r>
    </w:p>
    <w:p>
      <w:pPr>
        <w:pStyle w:val="TextBody"/>
        <w:bidi w:val="0"/>
        <w:spacing w:before="240" w:after="0"/>
        <w:jc w:val="left"/>
        <w:rPr/>
      </w:pPr>
      <w:r>
        <w:rPr/>
        <w:t>“</w:t>
      </w:r>
      <w:r>
        <w:rPr>
          <w:rFonts w:ascii="Times New Roman" w:hAnsi="Times New Roman"/>
          <w:b/>
          <w:sz w:val="20"/>
        </w:rPr>
        <w:t>Designated Non-Cash Consideration</w:t>
      </w:r>
      <w:r>
        <w:rPr>
          <w:rFonts w:ascii="Times New Roman" w:hAnsi="Times New Roman"/>
          <w:sz w:val="20"/>
        </w:rPr>
        <w:t xml:space="preserve">” means the Fair Market Value of any non-cash consideration received by the Borrower or a Restricted Subsidiary in connection with a Disposition pursuant to </w:t>
      </w:r>
      <w:r>
        <w:rPr>
          <w:rFonts w:ascii="Times New Roman" w:hAnsi="Times New Roman"/>
          <w:sz w:val="20"/>
          <w:u w:val="single"/>
        </w:rPr>
        <w:t>Section 7.05</w:t>
      </w:r>
      <w:r>
        <w:rPr>
          <w:rFonts w:ascii="Times New Roman" w:hAnsi="Times New Roman"/>
          <w:sz w:val="20"/>
        </w:rPr>
        <w:t xml:space="preserve"> that is designated as Designated Non-Cash Consideration pursuant to a certificate of a Responsible Officer, setting forth in reasonable detail the basis of such valuation (which (i) certificate shall conclusively establish such value absent manifest error and (ii) amount will be reduced by the Fair Market Value of the portion of the non-cash consideration converted to cash following the consummation of the applicable Disposition). </w:t>
      </w:r>
    </w:p>
    <w:p>
      <w:pPr>
        <w:pStyle w:val="TextBody"/>
        <w:bidi w:val="0"/>
        <w:spacing w:before="240" w:after="0"/>
        <w:jc w:val="left"/>
        <w:rPr/>
      </w:pPr>
      <w:r>
        <w:rPr/>
        <w:t>“</w:t>
      </w:r>
      <w:r>
        <w:rPr>
          <w:rFonts w:ascii="Times New Roman" w:hAnsi="Times New Roman"/>
          <w:b/>
          <w:sz w:val="20"/>
        </w:rPr>
        <w:t>Disinterested Director</w:t>
      </w:r>
      <w:r>
        <w:rPr>
          <w:rFonts w:ascii="Times New Roman" w:hAnsi="Times New Roman"/>
          <w:sz w:val="20"/>
        </w:rPr>
        <w:t xml:space="preserve">”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Equity Interests of the Borrower or any Parent Entity or any options, warrants or other rights in respect of such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Disposition</w:t>
      </w:r>
      <w:r>
        <w:rPr>
          <w:rFonts w:ascii="Times New Roman" w:hAnsi="Times New Roman"/>
          <w:sz w:val="20"/>
        </w:rPr>
        <w:t>” or “</w:t>
      </w:r>
      <w:r>
        <w:rPr>
          <w:rFonts w:ascii="Times New Roman" w:hAnsi="Times New Roman"/>
          <w:b/>
          <w:sz w:val="20"/>
        </w:rPr>
        <w:t>Dispose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the sale, conveyance, transfer or other disposition, whether in a single transaction or a series of related transactions, of property or assets (including by way of a Sale Leaseback Transaction) of the Borrower or any of its Restricted Subsidiaries (in each case other than Equity Interests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(b) the issuance or sale of Equity Interests of any Restricted Subsidiary (other than preferred stock or Disqualified Equity Interests of Restricted Subsidiaries issued in compliance with </w:t>
      </w:r>
      <w:r>
        <w:rPr>
          <w:rFonts w:ascii="Times New Roman" w:hAnsi="Times New Roman"/>
          <w:sz w:val="20"/>
          <w:u w:val="single"/>
        </w:rPr>
        <w:t>Section 7.03</w:t>
      </w:r>
      <w:r>
        <w:rPr>
          <w:rFonts w:ascii="Times New Roman" w:hAnsi="Times New Roman"/>
          <w:sz w:val="20"/>
        </w:rPr>
        <w:t xml:space="preserve"> or directors’ qualifying shares and shares issued to foreign nationals as required under applicable law), whether in a single transaction or a series of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each case, other than: </w:t>
      </w:r>
    </w:p>
    <w:p>
      <w:pPr>
        <w:pStyle w:val="TextBody"/>
        <w:bidi w:val="0"/>
        <w:spacing w:before="120" w:after="0"/>
        <w:jc w:val="left"/>
        <w:rPr>
          <w:rFonts w:ascii="Times New Roman" w:hAnsi="Times New Roman"/>
          <w:sz w:val="20"/>
        </w:rPr>
      </w:pPr>
      <w:r>
        <w:rPr>
          <w:rFonts w:ascii="Times New Roman" w:hAnsi="Times New Roman"/>
          <w:sz w:val="20"/>
        </w:rPr>
        <w:t xml:space="preserve">(1) a disposition by the Borrower or a Restricted Subsidiary to the Borrower or a Restricted Subsidiary, including pursuant to any Intercompany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(2) a disposition of cash, Cash Equivalents or Investment Grade Securities, including any marketable securities portfolio owned by the Borrower and its Subsidiaries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(3) 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(4) a disposition of obsolete, worn-out, uneconomic, damaged, non-core or surplus property, equipment or other assets or property, equipment or other assets that are no longer economically practical or commercially desirable to maintain or used or useful in the business of the Borrower and its Restricted Subsidiaries whether now or hereafter owned or leased or acquired in connection with an acquisition or used or useful in the conduct of the business of the Borrower and its Restricted Subsidiaries (including by ceasing to enforce, allowing the lapse, abandonment or invalidation of or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its reasonable judgment that such action or inaction is desirable); </w:t>
      </w:r>
    </w:p>
    <w:p>
      <w:pPr>
        <w:pStyle w:val="TextBody"/>
        <w:bidi w:val="0"/>
        <w:spacing w:before="120" w:after="0"/>
        <w:jc w:val="left"/>
        <w:rPr>
          <w:rFonts w:ascii="Times New Roman" w:hAnsi="Times New Roman"/>
          <w:sz w:val="20"/>
        </w:rPr>
      </w:pPr>
      <w:r>
        <w:rPr>
          <w:rFonts w:ascii="Times New Roman" w:hAnsi="Times New Roman"/>
          <w:sz w:val="20"/>
        </w:rPr>
        <w:t xml:space="preserve">(5) transactions governed by and permitted under </w:t>
      </w:r>
      <w:r>
        <w:rPr>
          <w:rFonts w:ascii="Times New Roman" w:hAnsi="Times New Roman"/>
          <w:sz w:val="20"/>
          <w:u w:val="single"/>
        </w:rPr>
        <w:t>Section 7.04</w:t>
      </w:r>
      <w:r>
        <w:rPr>
          <w:rFonts w:ascii="Times New Roman" w:hAnsi="Times New Roman"/>
          <w:sz w:val="20"/>
        </w:rPr>
        <w:t xml:space="preserve"> or a transaction that constitutes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(6) an issuance of Equity Interests by a Restricted Subsidiary to the Borrower or to another Restricted Subsidiary or as part of or pursuant to an equity incentive or compensation plan approved by the Board of Directors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any dispositions of Equity Interests, properties or assets in a single transaction or series of related transactions with a Fair Market Value (as determined in good faith by the Borrower) of less than the greater of $25.0 million and 3.0% of the Borrower’s Consolidated Net Tangible Assets determined as of the end of the Borrower’s most recently completed fiscal quarter for which internal financial statements are available; </w:t>
      </w:r>
    </w:p>
    <w:p>
      <w:pPr>
        <w:pStyle w:val="TextBody"/>
        <w:bidi w:val="0"/>
        <w:spacing w:before="120" w:after="0"/>
        <w:jc w:val="left"/>
        <w:rPr>
          <w:rFonts w:ascii="Times New Roman" w:hAnsi="Times New Roman"/>
          <w:sz w:val="20"/>
        </w:rPr>
      </w:pPr>
      <w:r>
        <w:rPr>
          <w:rFonts w:ascii="Times New Roman" w:hAnsi="Times New Roman"/>
          <w:sz w:val="20"/>
        </w:rPr>
        <w:t xml:space="preserve">(8) any Restricted Payment that is permitted to be made, and is made, under </w:t>
      </w:r>
      <w:r>
        <w:rPr>
          <w:rFonts w:ascii="Times New Roman" w:hAnsi="Times New Roman"/>
          <w:sz w:val="20"/>
          <w:u w:val="single"/>
        </w:rPr>
        <w:t>Section 7.06</w:t>
      </w:r>
      <w:r>
        <w:rPr>
          <w:rFonts w:ascii="Times New Roman" w:hAnsi="Times New Roman"/>
          <w:sz w:val="20"/>
        </w:rPr>
        <w:t xml:space="preserve"> or </w:t>
      </w:r>
      <w:r>
        <w:rPr>
          <w:rFonts w:ascii="Times New Roman" w:hAnsi="Times New Roman"/>
          <w:sz w:val="20"/>
          <w:u w:val="single"/>
        </w:rPr>
        <w:t>Section 7.09</w:t>
      </w:r>
      <w:r>
        <w:rPr>
          <w:rFonts w:ascii="Times New Roman" w:hAnsi="Times New Roman"/>
          <w:sz w:val="20"/>
        </w:rPr>
        <w:t xml:space="preserve"> and the making of any Permitted Payment, Permitted Investment or asset sales; </w:t>
      </w:r>
    </w:p>
    <w:p>
      <w:pPr>
        <w:pStyle w:val="TextBody"/>
        <w:bidi w:val="0"/>
        <w:spacing w:before="120" w:after="0"/>
        <w:jc w:val="left"/>
        <w:rPr>
          <w:rFonts w:ascii="Times New Roman" w:hAnsi="Times New Roman"/>
          <w:sz w:val="20"/>
        </w:rPr>
      </w:pPr>
      <w:r>
        <w:rPr>
          <w:rFonts w:ascii="Times New Roman" w:hAnsi="Times New Roman"/>
          <w:sz w:val="20"/>
        </w:rPr>
        <w:t xml:space="preserve">(9) dispositions in connection with Permitted Liens, Permitted Intercompany Activities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(10) dispositions of receivables in connection with the compromise, settlement or collection thereof in the ordinary course of business or consistent with past practice or in bankruptcy or similar proceedings and exclusive of factoring or similar arrangements; </w:t>
      </w:r>
    </w:p>
    <w:p>
      <w:pPr>
        <w:pStyle w:val="TextBody"/>
        <w:bidi w:val="0"/>
        <w:spacing w:before="120" w:after="0"/>
        <w:jc w:val="left"/>
        <w:rPr>
          <w:rFonts w:ascii="Times New Roman" w:hAnsi="Times New Roman"/>
          <w:sz w:val="20"/>
        </w:rPr>
      </w:pPr>
      <w:r>
        <w:rPr>
          <w:rFonts w:ascii="Times New Roman" w:hAnsi="Times New Roman"/>
          <w:sz w:val="20"/>
        </w:rPr>
        <w:t xml:space="preserve">(11) conveyances, sales, transfers, licenses, sublicenses, cross-licenses or other dispositions of intellectual property, software or other general intangibles and licenses, sublicenses, cross-licenses,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 from such agreement; </w:t>
      </w:r>
    </w:p>
    <w:p>
      <w:pPr>
        <w:pStyle w:val="TextBody"/>
        <w:bidi w:val="0"/>
        <w:spacing w:before="120" w:after="0"/>
        <w:jc w:val="left"/>
        <w:rPr>
          <w:rFonts w:ascii="Times New Roman" w:hAnsi="Times New Roman"/>
          <w:sz w:val="20"/>
        </w:rPr>
      </w:pPr>
      <w:r>
        <w:rPr>
          <w:rFonts w:ascii="Times New Roman" w:hAnsi="Times New Roman"/>
          <w:sz w:val="20"/>
        </w:rPr>
        <w:t xml:space="preserve">(12) the lease, assignment, license, sublease or sublicense of any real or personal property in the ordinary course of business or consistent with industry practice; </w:t>
      </w:r>
    </w:p>
    <w:p>
      <w:pPr>
        <w:pStyle w:val="TextBody"/>
        <w:bidi w:val="0"/>
        <w:spacing w:before="120" w:after="0"/>
        <w:jc w:val="left"/>
        <w:rPr>
          <w:rFonts w:ascii="Times New Roman" w:hAnsi="Times New Roman"/>
          <w:sz w:val="20"/>
        </w:rPr>
      </w:pPr>
      <w:r>
        <w:rPr>
          <w:rFonts w:ascii="Times New Roman" w:hAnsi="Times New Roman"/>
          <w:sz w:val="20"/>
        </w:rPr>
        <w:t xml:space="preserve">(13) foreclosure, condemnation, expropriation, forced disposition or any similar action with respect to any property or other assets or the granting of Liens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(14) the sale, discount or other disposition (with or without recourse, and on customary or commercially reasonable terms and for credit management purposes) of inventory, accounts receivable or notes receivable in the ordinary course of business or consistent with past practice, or the conversion or exchange of accounts receivable for notes receivable; </w:t>
      </w:r>
    </w:p>
    <w:p>
      <w:pPr>
        <w:pStyle w:val="TextBody"/>
        <w:bidi w:val="0"/>
        <w:spacing w:before="120" w:after="0"/>
        <w:jc w:val="left"/>
        <w:rPr>
          <w:rFonts w:ascii="Times New Roman" w:hAnsi="Times New Roman"/>
          <w:sz w:val="20"/>
        </w:rPr>
      </w:pPr>
      <w:r>
        <w:rPr>
          <w:rFonts w:ascii="Times New Roman" w:hAnsi="Times New Roman"/>
          <w:sz w:val="20"/>
        </w:rPr>
        <w:t xml:space="preserve">(15) any issuance or sale of Equity Interests in, or Indebtedness or other securities of, an Unrestricted Subsidiary or any other disposition of Equity Interests, Indebtedness or other securities of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(16) 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allowable under Section 1031 of the Code or comparable law or regulation, any exchange of like property (excluding any boot thereon) for use in a Similar Business; </w:t>
      </w:r>
    </w:p>
    <w:p>
      <w:pPr>
        <w:pStyle w:val="TextBody"/>
        <w:bidi w:val="0"/>
        <w:spacing w:before="120" w:after="0"/>
        <w:jc w:val="left"/>
        <w:rPr>
          <w:rFonts w:ascii="Times New Roman" w:hAnsi="Times New Roman"/>
          <w:sz w:val="20"/>
        </w:rPr>
      </w:pPr>
      <w:r>
        <w:rPr>
          <w:rFonts w:ascii="Times New Roman" w:hAnsi="Times New Roman"/>
          <w:sz w:val="20"/>
        </w:rPr>
        <w:t xml:space="preserve">(18) any disposition of Securitization Assets or Receivables Assets, or participations therein, in connection with any Qualified Securitization Financing or Receivables Facility, or the disposition of an account receivable in connection with the collection or compromise thereof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(19) any financing transaction with respect to property constructed, acquired, leased, renewed, relocated, expanded, replaced, repaired, maintained, upgraded or improved (including any reconstruction, refurbishment, renovation and/or development of real property) by the Borrower or any Restricted Subsidiary after the Closing Date, including Sale Leaseback Transactions and asset securitizations,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(20) sales, transfers or other dispositions of Investments in joint ventures or similar entities to the extent required by, or made pursuant to customary buy/sell arrangements between, the parties set forth in joint venture arrangements and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(21) any surrender or waiver of contractual rights or the settlement, release, surrender or waiver of contractual, tort, litigation or other claims of any kind; </w:t>
      </w:r>
    </w:p>
    <w:p>
      <w:pPr>
        <w:pStyle w:val="TextBody"/>
        <w:bidi w:val="0"/>
        <w:spacing w:before="120" w:after="0"/>
        <w:jc w:val="left"/>
        <w:rPr>
          <w:rFonts w:ascii="Times New Roman" w:hAnsi="Times New Roman"/>
          <w:sz w:val="20"/>
        </w:rPr>
      </w:pPr>
      <w:r>
        <w:rPr>
          <w:rFonts w:ascii="Times New Roman" w:hAnsi="Times New Roman"/>
          <w:sz w:val="20"/>
        </w:rPr>
        <w:t xml:space="preserve">(22) the unwinding of any Cash Management Obligations or Hedge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(23) transfers of property or assets subject to Casualty Events upon receipt of the net proceeds of such Casualty Event; </w:t>
      </w:r>
    </w:p>
    <w:p>
      <w:pPr>
        <w:pStyle w:val="TextBody"/>
        <w:bidi w:val="0"/>
        <w:spacing w:before="120" w:after="0"/>
        <w:jc w:val="left"/>
        <w:rPr>
          <w:rFonts w:ascii="Times New Roman" w:hAnsi="Times New Roman"/>
          <w:sz w:val="20"/>
        </w:rPr>
      </w:pPr>
      <w:r>
        <w:rPr>
          <w:rFonts w:ascii="Times New Roman" w:hAnsi="Times New Roman"/>
          <w:sz w:val="20"/>
        </w:rPr>
        <w:t xml:space="preserve">(24) any disposition to a Captive Insurance Subsidiary; </w:t>
      </w:r>
    </w:p>
    <w:p>
      <w:pPr>
        <w:pStyle w:val="TextBody"/>
        <w:bidi w:val="0"/>
        <w:spacing w:before="120" w:after="0"/>
        <w:jc w:val="left"/>
        <w:rPr>
          <w:rFonts w:ascii="Times New Roman" w:hAnsi="Times New Roman"/>
          <w:sz w:val="20"/>
        </w:rPr>
      </w:pPr>
      <w:r>
        <w:rPr>
          <w:rFonts w:ascii="Times New Roman" w:hAnsi="Times New Roman"/>
          <w:sz w:val="20"/>
        </w:rPr>
        <w:t xml:space="preserve">(25) the disposition of any assets (including Equity Interests) (i) acquired in a transaction after the Closing Date, which assets are not useful in the core or principal business of the Borrower and its Restricted Subsidiaries, or (ii) made in connection with the approval of any applicable antitrust authority or otherwise necessary or advisable in the reasonable determination of the Borrower to consummate any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any charter or lease of any equipment or other properties or assets entered into in the ordinary course of business and with respect to which the Borrower or any of its Restricted Subsidiaries is the lessor or Person granting the charter, except any such charter or lease that provides for the acquisition of such properties or assets by the lessee during or at the end of the term thereof for an amount that is less than the Fair Market Value thereof at the time the right to acquire such properties or assets occurs; </w:t>
      </w:r>
    </w:p>
    <w:p>
      <w:pPr>
        <w:pStyle w:val="TextBody"/>
        <w:bidi w:val="0"/>
        <w:spacing w:before="120" w:after="0"/>
        <w:jc w:val="left"/>
        <w:rPr>
          <w:rFonts w:ascii="Times New Roman" w:hAnsi="Times New Roman"/>
          <w:sz w:val="20"/>
        </w:rPr>
      </w:pPr>
      <w:r>
        <w:rPr>
          <w:rFonts w:ascii="Times New Roman" w:hAnsi="Times New Roman"/>
          <w:sz w:val="20"/>
        </w:rPr>
        <w:t xml:space="preserve">(27) any sale, lease, conveyance or other disposition of any property or assets other than the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(28) any disposition of non-revenue producing assets to a Person who is providing services related to such assets, the provision of which have been or are to be outsourced by the Borrower or any Restricted Subsidiary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transaction (or any portion thereof) meets the criteria of a permitted Disposition and would also be a Permitted Investment or an Investment permitted under </w:t>
      </w:r>
      <w:r>
        <w:rPr>
          <w:rFonts w:ascii="Times New Roman" w:hAnsi="Times New Roman"/>
          <w:sz w:val="20"/>
          <w:u w:val="single"/>
        </w:rPr>
        <w:t>Section 7.06</w:t>
      </w:r>
      <w:r>
        <w:rPr>
          <w:rFonts w:ascii="Times New Roman" w:hAnsi="Times New Roman"/>
          <w:sz w:val="20"/>
        </w:rPr>
        <w:t xml:space="preserve"> the Borrower, in its sole discretion, will be entitled to divide and classify such transaction (or a portion thereof) as a Disposition and/or one or more of the types of Permitted Investments or Investments permitted under </w:t>
      </w:r>
      <w:r>
        <w:rPr>
          <w:rFonts w:ascii="Times New Roman" w:hAnsi="Times New Roman"/>
          <w:sz w:val="20"/>
          <w:u w:val="single"/>
        </w:rPr>
        <w:t>Section 7.06</w:t>
      </w:r>
      <w:r>
        <w:rPr>
          <w:rFonts w:ascii="Times New Roman" w:hAnsi="Times New Roman"/>
          <w:sz w:val="20"/>
        </w:rPr>
        <w:t xml:space="preserve">. For the avoidance of doubt, the entry into a Hedge Agreement (including any call, capped call or warrant transaction) any settlement, unwind or termination thereof shall not constitute a Disposition. </w:t>
      </w:r>
    </w:p>
    <w:p>
      <w:pPr>
        <w:pStyle w:val="TextBody"/>
        <w:bidi w:val="0"/>
        <w:spacing w:before="240" w:after="0"/>
        <w:jc w:val="left"/>
        <w:rPr/>
      </w:pPr>
      <w:r>
        <w:rPr/>
        <w:t>“</w:t>
      </w:r>
      <w:r>
        <w:rPr>
          <w:rFonts w:ascii="Times New Roman" w:hAnsi="Times New Roman"/>
          <w:b/>
          <w:sz w:val="20"/>
        </w:rPr>
        <w:t>Disqualified Equity Interest</w:t>
      </w:r>
      <w:r>
        <w:rPr>
          <w:rFonts w:ascii="Times New Roman" w:hAnsi="Times New Roman"/>
          <w:sz w:val="20"/>
        </w:rPr>
        <w:t xml:space="preserve">” means, with respect to any Person, any Equity Interests of such Person which by its terms (or by the terms of any security into which it is convertible or for which it is exchangeable) or upon the happening of any event: </w:t>
      </w:r>
    </w:p>
    <w:p>
      <w:pPr>
        <w:pStyle w:val="TextBody"/>
        <w:bidi w:val="0"/>
        <w:spacing w:before="120" w:after="0"/>
        <w:jc w:val="left"/>
        <w:rPr>
          <w:rFonts w:ascii="Times New Roman" w:hAnsi="Times New Roman"/>
          <w:sz w:val="20"/>
        </w:rPr>
      </w:pPr>
      <w:r>
        <w:rPr>
          <w:rFonts w:ascii="Times New Roman" w:hAnsi="Times New Roman"/>
          <w:sz w:val="20"/>
        </w:rPr>
        <w:t xml:space="preserve">(1) matures or is mandatorily redeemable for cash or in exchange for Indebtedness pursuant to a sinking fund obligation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(2) is or may become (in accordance with its terms) upon the occurrence of certain events or otherwise redeemable or repurchasable for cash or in exchange for Indebtedness at the option of the holder of the Equity Interests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in each case on or prior to the earlier of (a) the Latest Maturity Date of the Loans or (b) the date on which there are no Loans or Obligations outstanding; provided, however, that (i) only the portion of Equity Interests which so matures or is mandatorily redeemable, is so convertible or exchangeable or is so redeemable at the option of the holder thereof prior to such date will be deemed to be Disqualified Equity Interests and (ii) any Equity Interests that would constitute Disqualified Equity Interests solely because the holders thereof have the right to require the Borrower to repurchase such Equity Interests upon the occurrence of a change of control or asset sale (howsoever defined or referred to) shall not constitute Disqualified Equity Interests if any such redemption or repurchase obligation is subject to compliance by the relevant Person with </w:t>
      </w:r>
      <w:r>
        <w:rPr>
          <w:rFonts w:ascii="Times New Roman" w:hAnsi="Times New Roman"/>
          <w:sz w:val="20"/>
          <w:u w:val="single"/>
        </w:rPr>
        <w:t>Section 7.06</w:t>
      </w:r>
      <w:r>
        <w:rPr>
          <w:rFonts w:ascii="Times New Roman" w:hAnsi="Times New Roman"/>
          <w:sz w:val="20"/>
        </w:rPr>
        <w:t xml:space="preserve">; provided, however, that if such Equity Interests are issued to any future, current or former employee, director, officer, manager, contractor, consultant or advisor (or their respective Controlled Investment Affiliates or Immediate Family Members) (excluding the Permitted Holders (but not excluding any future, current or former employee, director, officer, manager, contractor, consultant or advisor) or Immediate Family Members), of the Borrower,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any Parent Entity or any other entity in which the Borrower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Borrower or its Subsidiaries or by any such plan to such employees (or their respective Controlled Investment Affiliates or Immediate Family Members), such Equity Interests shall not constitute Disqualified Equity Interests solely because it may be required to be repurchased by the Borrower or its Subsidiaries in order to satisfy applicable statutory or regulatory obligations. </w:t>
      </w:r>
    </w:p>
    <w:p>
      <w:pPr>
        <w:pStyle w:val="TextBody"/>
        <w:bidi w:val="0"/>
        <w:spacing w:before="240" w:after="0"/>
        <w:jc w:val="left"/>
        <w:rPr/>
      </w:pPr>
      <w:r>
        <w:rPr/>
        <w:t>“</w:t>
      </w:r>
      <w:r>
        <w:rPr>
          <w:rFonts w:ascii="Times New Roman" w:hAnsi="Times New Roman"/>
          <w:b/>
          <w:sz w:val="20"/>
        </w:rPr>
        <w:t>Disqualified Lender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the competitors of the Borrower and their Subsidiaries identified in writing by or on behalf of the Borrower (i) to the Administrative Agent on or prior to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First Amendment Effective</w:t>
      </w:r>
      <w:r>
        <w:rPr>
          <w:rFonts w:ascii="Times New Roman" w:hAnsi="Times New Roman"/>
          <w:sz w:val="20"/>
        </w:rPr>
        <w:t xml:space="preserve"> Date and (ii) to the Administrative Agent from time to time on or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First Amendment Effective</w:t>
      </w:r>
      <w:r>
        <w:rPr>
          <w:rFonts w:ascii="Times New Roman" w:hAnsi="Times New Roman"/>
          <w:sz w:val="20"/>
        </w:rPr>
        <w:t xml:space="preserve"> Date subject to the Administrative Agent’s consent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(b)(i) any Persons that are engaged as principals primarily in private equity, mezzanine financing or venture capital and (ii) those particular banks, financial institutions, other institutional lenders and other Persons,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to the extent identified in writing by or on behalf of the Borrower to the Administrative Agent on or prior to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First Amendment Effective</w:t>
      </w:r>
      <w:r>
        <w:rPr>
          <w:rFonts w:ascii="Times New Roman" w:hAnsi="Times New Roman"/>
          <w:sz w:val="20"/>
        </w:rPr>
        <w:t xml:space="preserve"> Date or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First Amendment Effective</w:t>
      </w:r>
      <w:r>
        <w:rPr>
          <w:rFonts w:ascii="Times New Roman" w:hAnsi="Times New Roman"/>
          <w:sz w:val="20"/>
        </w:rPr>
        <w:t xml:space="preserve"> Date subject to the Administrative Agent’s consent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(c) any Affiliate of the Persons described in the preceding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 each case, other than any Affiliates that are banks, financial institutions, </w:t>
      </w:r>
      <w:r>
        <w:rPr>
          <w:rFonts w:ascii="Times New Roman" w:hAnsi="Times New Roman"/>
          <w:i/>
          <w:sz w:val="20"/>
        </w:rPr>
        <w:t xml:space="preserve">bona fide </w:t>
      </w:r>
      <w:r>
        <w:rPr>
          <w:rFonts w:ascii="Times New Roman" w:hAnsi="Times New Roman"/>
          <w:sz w:val="20"/>
        </w:rPr>
        <w:t>debt funds or investment vehicles that are engaged in making, purchasing, holding or otherwise investing in commercial loans, bonds and similar extensions of credit in the ordinary course (except to the extent separately identified under</w:t>
      </w:r>
      <w:r>
        <w:rPr>
          <w:rFonts w:ascii="Times New Roman" w:hAnsi="Times New Roman"/>
          <w:sz w:val="20"/>
          <w:u w:val="single"/>
        </w:rPr>
        <w:t xml:space="preserve"> clause (a)</w:t>
      </w:r>
      <w:r>
        <w:rPr>
          <w:rFonts w:ascii="Times New Roman" w:hAnsi="Times New Roman"/>
          <w:sz w:val="20"/>
        </w:rPr>
        <w:t> or</w:t>
      </w:r>
      <w:r>
        <w:rPr>
          <w:rFonts w:ascii="Times New Roman" w:hAnsi="Times New Roman"/>
          <w:sz w:val="20"/>
          <w:u w:val="single"/>
        </w:rPr>
        <w:t xml:space="preserve"> (b)</w:t>
      </w:r>
      <w:r>
        <w:rPr>
          <w:rFonts w:ascii="Times New Roman" w:hAnsi="Times New Roman"/>
          <w:sz w:val="20"/>
        </w:rPr>
        <w:t xml:space="preserve"> above)), in each case, that are either reasonably identifiable as such on the basis of their name or are identified as such in writing by or on behalf of the Borrower (i) to the Administrative Agent on or prior to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First Amendment Effective</w:t>
      </w:r>
      <w:r>
        <w:rPr>
          <w:rFonts w:ascii="Times New Roman" w:hAnsi="Times New Roman"/>
          <w:sz w:val="20"/>
        </w:rPr>
        <w:t xml:space="preserve"> Date, or (ii) to the Administrative Agent from time to time on or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First Amendment Effective</w:t>
      </w:r>
      <w:r>
        <w:rPr>
          <w:rFonts w:ascii="Times New Roman" w:hAnsi="Times New Roman"/>
          <w:sz w:val="20"/>
        </w:rPr>
        <w:t xml:space="preserve"> Date; and </w:t>
      </w:r>
    </w:p>
    <w:p>
      <w:pPr>
        <w:pStyle w:val="TextBody"/>
        <w:bidi w:val="0"/>
        <w:spacing w:before="120" w:after="0"/>
        <w:jc w:val="left"/>
        <w:rPr>
          <w:rFonts w:ascii="Times New Roman" w:hAnsi="Times New Roman"/>
          <w:sz w:val="20"/>
        </w:rPr>
      </w:pPr>
      <w:r>
        <w:rPr>
          <w:rFonts w:ascii="Times New Roman" w:hAnsi="Times New Roman"/>
          <w:sz w:val="20"/>
        </w:rPr>
        <w:t xml:space="preserve">(d) at any time, or with respect to any action (or proposed action) in connection with which, a Net Short Representation is required to be made (or deemed made) hereunder, any Lender (or prospective Lender) that has breached its Net Short Representation at such time or in connection with such action (or proposed 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any Persons identified as Disqualified Lenders on or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First Amendment Effective</w:t>
      </w:r>
      <w:r>
        <w:rPr>
          <w:rFonts w:ascii="Times New Roman" w:hAnsi="Times New Roman"/>
          <w:sz w:val="20"/>
        </w:rPr>
        <w:t xml:space="preserve"> Date shall be added to the list of Disqualified Lenders, and such designation as a Disqualified Lender will take effect, three (3) Business Days after such designation or identification is made in writing and received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to the extent any transfer is made in anticipation of such designation or otherwise in bad faith by any Lender or Participant during such three (3) Business Day period, such transaction shall be subject to the applicable provisions of </w:t>
      </w:r>
      <w:r>
        <w:rPr>
          <w:rFonts w:ascii="Times New Roman" w:hAnsi="Times New Roman"/>
          <w:sz w:val="20"/>
          <w:u w:val="single"/>
        </w:rPr>
        <w:t>Section 11.29(a)</w:t>
      </w:r>
      <w:r>
        <w:rPr>
          <w:rFonts w:ascii="Times New Roman" w:hAnsi="Times New Roman"/>
          <w:sz w:val="20"/>
        </w:rPr>
        <w:t xml:space="preserve"> (and the Borrower shall be entitled to seek specific performance in any applicable court of law or equity to enforce this sentence). The Administrative Agent shall make the list of Disqualified Lenders available to any Lender, Participant or prospective Lender or Participant upon request by such Lender, Participant or prospective Lender or Participant; </w:t>
      </w:r>
      <w:r>
        <w:rPr>
          <w:rFonts w:ascii="Times New Roman" w:hAnsi="Times New Roman"/>
          <w:i/>
          <w:sz w:val="20"/>
        </w:rPr>
        <w:t xml:space="preserve">provided </w:t>
      </w:r>
      <w:r>
        <w:rPr>
          <w:rFonts w:ascii="Times New Roman" w:hAnsi="Times New Roman"/>
          <w:sz w:val="20"/>
        </w:rPr>
        <w:t xml:space="preserve">that such Lender, Participant or prospective Lender or Participant shall only make such request, to the extent and only to the extent, necessary to determine whether a proposed assignment, participation or disclosure of Information is permitted. </w:t>
      </w:r>
    </w:p>
    <w:p>
      <w:pPr>
        <w:pStyle w:val="TextBody"/>
        <w:bidi w:val="0"/>
        <w:spacing w:before="240" w:after="0"/>
        <w:jc w:val="left"/>
        <w:rPr/>
      </w:pPr>
      <w:r>
        <w:rPr/>
        <w:t>“</w:t>
      </w:r>
      <w:r>
        <w:rPr>
          <w:rFonts w:ascii="Times New Roman" w:hAnsi="Times New Roman"/>
          <w:b/>
          <w:sz w:val="20"/>
        </w:rPr>
        <w:t>Division</w:t>
      </w:r>
      <w:r>
        <w:rPr>
          <w:rFonts w:ascii="Times New Roman" w:hAnsi="Times New Roman"/>
          <w:sz w:val="20"/>
        </w:rPr>
        <w:t xml:space="preserve">” has the meaning specified in </w:t>
      </w:r>
      <w:r>
        <w:rPr>
          <w:rFonts w:ascii="Times New Roman" w:hAnsi="Times New Roman"/>
          <w:sz w:val="20"/>
          <w:u w:val="single"/>
        </w:rPr>
        <w:t>Section 1.02(d).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DNB</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sz w:val="20"/>
        </w:rPr>
        <w:t>Dollar</w:t>
      </w:r>
      <w:r>
        <w:rPr>
          <w:rFonts w:ascii="Times New Roman" w:hAnsi="Times New Roman"/>
          <w:sz w:val="20"/>
        </w:rPr>
        <w:t>”, “</w:t>
      </w:r>
      <w:r>
        <w:rPr>
          <w:rFonts w:ascii="Times New Roman" w:hAnsi="Times New Roman"/>
          <w:b/>
          <w:sz w:val="20"/>
        </w:rPr>
        <w:t>$</w:t>
      </w:r>
      <w:r>
        <w:rPr>
          <w:rFonts w:ascii="Times New Roman" w:hAnsi="Times New Roman"/>
          <w:sz w:val="20"/>
        </w:rPr>
        <w:t>” and “</w:t>
      </w:r>
      <w:r>
        <w:rPr>
          <w:rFonts w:ascii="Times New Roman" w:hAnsi="Times New Roman"/>
          <w:b/>
          <w:sz w:val="20"/>
        </w:rPr>
        <w:t>USD</w:t>
      </w:r>
      <w:r>
        <w:rPr>
          <w:rFonts w:ascii="Times New Roman" w:hAnsi="Times New Roman"/>
          <w:sz w:val="20"/>
        </w:rPr>
        <w:t xml:space="preserve">” mean lawful money of the United States. </w:t>
      </w:r>
    </w:p>
    <w:p>
      <w:pPr>
        <w:pStyle w:val="TextBody"/>
        <w:bidi w:val="0"/>
        <w:spacing w:before="240" w:after="0"/>
        <w:jc w:val="left"/>
        <w:rPr/>
      </w:pPr>
      <w:r>
        <w:rPr/>
        <w:t>“</w:t>
      </w:r>
      <w:r>
        <w:rPr>
          <w:rFonts w:ascii="Times New Roman" w:hAnsi="Times New Roman"/>
          <w:b/>
          <w:sz w:val="20"/>
        </w:rPr>
        <w:t>Dollar Amount</w:t>
      </w:r>
      <w:r>
        <w:rPr>
          <w:rFonts w:ascii="Times New Roman" w:hAnsi="Times New Roman"/>
          <w:sz w:val="20"/>
        </w:rPr>
        <w:t xml:space="preserve">” means, at any time: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Loan denominated in Dollars, the principal amount thereof then outstanding (or in which such participation is held);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Letter of Credit Obligation (or any risk participation therein), the amount thereof; and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any other amount (i) if denominated in Dollars, the amount thereof and (ii) if denominated in any currency other than Dollars, the equivalent amount thereof in Dollars as determined by the Administrative Agent or the applicable Issuing Bank, as applicable, on the basis of the Exchange Rate (determined in respect of the most recent relevant date of determination) for the purchase of Dollars with such currency. </w:t>
      </w:r>
    </w:p>
    <w:p>
      <w:pPr>
        <w:pStyle w:val="TextBody"/>
        <w:bidi w:val="0"/>
        <w:spacing w:before="240" w:after="0"/>
        <w:jc w:val="left"/>
        <w:rPr/>
      </w:pPr>
      <w:r>
        <w:rPr/>
        <w:t>“</w:t>
      </w:r>
      <w:r>
        <w:rPr>
          <w:rFonts w:ascii="Times New Roman" w:hAnsi="Times New Roman"/>
          <w:b/>
          <w:sz w:val="20"/>
        </w:rPr>
        <w:t>Domestic Subsidiary</w:t>
      </w:r>
      <w:r>
        <w:rPr>
          <w:rFonts w:ascii="Times New Roman" w:hAnsi="Times New Roman"/>
          <w:sz w:val="20"/>
        </w:rPr>
        <w:t xml:space="preserve">” means any Subsidiary that is organized under the Laws of the United States, any state thereof or the District of Columbia. </w:t>
      </w:r>
    </w:p>
    <w:p>
      <w:pPr>
        <w:pStyle w:val="TextBody"/>
        <w:bidi w:val="0"/>
        <w:spacing w:before="240" w:after="0"/>
        <w:jc w:val="left"/>
        <w:rPr/>
      </w:pPr>
      <w:r>
        <w:rPr/>
        <w:t>“</w:t>
      </w:r>
      <w:r>
        <w:rPr>
          <w:rFonts w:ascii="Times New Roman" w:hAnsi="Times New Roman"/>
          <w:b/>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sz w:val="20"/>
          <w:u w:val="single"/>
        </w:rPr>
        <w:t>clause (a)</w:t>
      </w:r>
      <w:r>
        <w:rPr>
          <w:rFonts w:ascii="Times New Roman" w:hAnsi="Times New Roman"/>
          <w:sz w:val="20"/>
        </w:rPr>
        <w:t> of this definition, or (c) any financial institution established in an EEA Member Country which is a subsidiary of an institution described in</w:t>
      </w:r>
      <w:r>
        <w:rPr>
          <w:rFonts w:ascii="Times New Roman" w:hAnsi="Times New Roman"/>
          <w:sz w:val="20"/>
          <w:u w:val="single"/>
        </w:rPr>
        <w:t xml:space="preserve"> clauses (a)</w:t>
      </w:r>
      <w:r>
        <w:rPr>
          <w:rFonts w:ascii="Times New Roman" w:hAnsi="Times New Roman"/>
          <w:sz w:val="20"/>
        </w:rPr>
        <w:t> or</w:t>
      </w:r>
      <w:r>
        <w:rPr>
          <w:rFonts w:ascii="Times New Roman" w:hAnsi="Times New Roman"/>
          <w:sz w:val="20"/>
          <w:u w:val="single"/>
        </w:rPr>
        <w:t xml:space="preserve"> (b)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b/>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sz w:val="20"/>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 11.07(b)(v)</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following Persons shall not be Eligible Assignees: (a) any Defaulting Lender, and (b) any Disqualified Lender (other than a Net Short Lender); </w:t>
      </w:r>
      <w:r>
        <w:rPr>
          <w:rFonts w:ascii="Times New Roman" w:hAnsi="Times New Roman"/>
          <w:i/>
          <w:sz w:val="20"/>
        </w:rPr>
        <w:t xml:space="preserve">provided </w:t>
      </w:r>
      <w:r>
        <w:rPr>
          <w:rFonts w:ascii="Times New Roman" w:hAnsi="Times New Roman"/>
          <w:sz w:val="20"/>
        </w:rPr>
        <w:t xml:space="preserve">that, to the extent persons become Disqualified Lenders after the Closing Date in accordance with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in the definition thereof, the inclusion of such persons as Disqualified Lenders shall not retroactively apply to prior assignments or participations made in compliance with applicable assignment or participation provisions. </w:t>
      </w:r>
    </w:p>
    <w:p>
      <w:pPr>
        <w:pStyle w:val="TextBody"/>
        <w:bidi w:val="0"/>
        <w:spacing w:before="240" w:after="0"/>
        <w:jc w:val="left"/>
        <w:rPr/>
      </w:pPr>
      <w:r>
        <w:rPr/>
        <w:t>“</w:t>
      </w:r>
      <w:r>
        <w:rPr>
          <w:rFonts w:ascii="Times New Roman" w:hAnsi="Times New Roman"/>
          <w:b/>
          <w:sz w:val="20"/>
        </w:rPr>
        <w:t>EMU</w:t>
      </w:r>
      <w:r>
        <w:rPr>
          <w:rFonts w:ascii="Times New Roman" w:hAnsi="Times New Roman"/>
          <w:sz w:val="20"/>
        </w:rPr>
        <w:t xml:space="preserve">” means the Economic and Monetary Union as contemplated in the EU Treaty. </w:t>
      </w:r>
    </w:p>
    <w:p>
      <w:pPr>
        <w:pStyle w:val="TextBody"/>
        <w:bidi w:val="0"/>
        <w:spacing w:before="240" w:after="0"/>
        <w:jc w:val="left"/>
        <w:rPr/>
      </w:pPr>
      <w:r>
        <w:rPr/>
        <w:t>“</w:t>
      </w:r>
      <w:r>
        <w:rPr>
          <w:rFonts w:ascii="Times New Roman" w:hAnsi="Times New Roman"/>
          <w:b/>
          <w:sz w:val="20"/>
        </w:rPr>
        <w:t>EMU Legislation</w:t>
      </w:r>
      <w:r>
        <w:rPr>
          <w:rFonts w:ascii="Times New Roman" w:hAnsi="Times New Roman"/>
          <w:sz w:val="20"/>
        </w:rPr>
        <w:t xml:space="preserve">” means the legislative measures of the EMU for the introduction of, changeover to, or operation of the Euro in one or more member states. </w:t>
      </w:r>
    </w:p>
    <w:p>
      <w:pPr>
        <w:pStyle w:val="TextBody"/>
        <w:bidi w:val="0"/>
        <w:spacing w:before="240" w:after="0"/>
        <w:jc w:val="left"/>
        <w:rPr/>
      </w:pPr>
      <w:r>
        <w:rPr/>
        <w:t>“</w:t>
      </w:r>
      <w:r>
        <w:rPr>
          <w:rFonts w:ascii="Times New Roman" w:hAnsi="Times New Roman"/>
          <w:b/>
          <w:sz w:val="20"/>
        </w:rPr>
        <w:t>Environmental Claim</w:t>
      </w:r>
      <w:r>
        <w:rPr>
          <w:rFonts w:ascii="Times New Roman" w:hAnsi="Times New Roman"/>
          <w:sz w:val="20"/>
        </w:rPr>
        <w:t xml:space="preserve">” means any and all administrative, regulatory or judicial actions, suits, demands, demand letters, claims, liens, notices of noncompliance or violation, or proceedings with respect to any Environmental Liability or pursuant to Environmental Law, including those (a) by any Governmental Authority for enforcement, cleanup, removal, response, remedial or other actions or damages pursuant to any Environmental Law and (b) by any Person seeking damages, contribution, indemnification, cost recovery, compensation or injunctive relief pursuant to any Environmental Law.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Laws relating to the protection of the environment or, to the extent relating to exposure to Hazardous Materials, human health. </w:t>
      </w:r>
    </w:p>
    <w:p>
      <w:pPr>
        <w:pStyle w:val="TextBody"/>
        <w:bidi w:val="0"/>
        <w:spacing w:before="240" w:after="0"/>
        <w:jc w:val="left"/>
        <w:rPr/>
      </w:pPr>
      <w:r>
        <w:rPr/>
        <w:t>“</w:t>
      </w:r>
      <w:r>
        <w:rPr>
          <w:rFonts w:ascii="Times New Roman" w:hAnsi="Times New Roman"/>
          <w:b/>
          <w:sz w:val="20"/>
        </w:rPr>
        <w:t>Environmental Liability</w:t>
      </w:r>
      <w:r>
        <w:rPr>
          <w:rFonts w:ascii="Times New Roman" w:hAnsi="Times New Roman"/>
          <w:sz w:val="20"/>
        </w:rPr>
        <w:t xml:space="preserve">” means any liability, contingent or otherwise (including any liability for damages, costs of environmental remediation, fines, penalties or indemnities, including but not limited to those assumed by contract, written agreement, or other consensual written agreement) of any Loan Party or any of its Subsidiaries directly resulting from or based upon (a) violation of any Environmental Law, (b) the generation, use, handling, transportation, storage, treatment or disposal of any Hazardous Materials, (c) exposure of any Person to any Hazardous Materials, or (d) the release or threatened release of any Hazardous Materials into the environment. </w:t>
      </w:r>
    </w:p>
    <w:p>
      <w:pPr>
        <w:pStyle w:val="TextBody"/>
        <w:bidi w:val="0"/>
        <w:spacing w:before="240" w:after="0"/>
        <w:jc w:val="left"/>
        <w:rPr/>
      </w:pPr>
      <w:r>
        <w:rPr/>
        <w:t>“</w:t>
      </w:r>
      <w:r>
        <w:rPr>
          <w:rFonts w:ascii="Times New Roman" w:hAnsi="Times New Roman"/>
          <w:b/>
          <w:sz w:val="20"/>
        </w:rPr>
        <w:t>Environmental Permit</w:t>
      </w:r>
      <w:r>
        <w:rPr>
          <w:rFonts w:ascii="Times New Roman" w:hAnsi="Times New Roman"/>
          <w:sz w:val="20"/>
        </w:rPr>
        <w:t xml:space="preserve">” means any permit, approval, identification number, license or other authorization required under or issued pursuant to any Environmental Law. </w:t>
      </w:r>
    </w:p>
    <w:p>
      <w:pPr>
        <w:pStyle w:val="TextBody"/>
        <w:bidi w:val="0"/>
        <w:spacing w:before="240" w:after="0"/>
        <w:jc w:val="left"/>
        <w:rPr/>
      </w:pPr>
      <w:r>
        <w:rPr/>
        <w:t>“</w:t>
      </w:r>
      <w:r>
        <w:rPr>
          <w:rFonts w:ascii="Times New Roman" w:hAnsi="Times New Roman"/>
          <w:b/>
          <w:sz w:val="20"/>
        </w:rPr>
        <w:t>Equal Priority Intercreditor Agreement</w:t>
      </w:r>
      <w:r>
        <w:rPr>
          <w:rFonts w:ascii="Times New Roman" w:hAnsi="Times New Roman"/>
          <w:sz w:val="20"/>
        </w:rPr>
        <w:t xml:space="preserve">” means a “pari passu” intercreditor agreement substantially in the form attached hereto as </w:t>
      </w:r>
      <w:r>
        <w:rPr>
          <w:rFonts w:ascii="Times New Roman" w:hAnsi="Times New Roman"/>
          <w:sz w:val="20"/>
          <w:u w:val="single"/>
        </w:rPr>
        <w:t>Exhibit K-3</w:t>
      </w:r>
      <w:r>
        <w:rPr>
          <w:rFonts w:ascii="Times New Roman" w:hAnsi="Times New Roman"/>
          <w:sz w:val="20"/>
        </w:rPr>
        <w:t xml:space="preserve"> (as the same may be modified in a manner satisfactory to the Administrative Agent, the Collateral Agent, the Required Lenders and the Borrower), or, if requested by the providers of Indebtedness permitted hereunder to be Pari Passu Lien Debt, another pari passu intercreditor arrangement reasonably satisfactory to the Administrative Agent, the Collateral Agent, the Required Lenders and the Borrower, in each case as amended, restated, amended and restated, modified or supplemented from time to time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the terms hereof and thereof. Upon the request of the Borrower, the Administrative Agent and the Collateral Agent will execute and deliver an Equal Priority Intercreditor Agreement (or a joinder or supplement to an existing Equal Priority Intercreditor Agreement) with one or more Debt Representatives for Pari Passu Lien Debt permitted hereunder; </w:t>
      </w:r>
      <w:r>
        <w:rPr>
          <w:rFonts w:ascii="Times New Roman" w:hAnsi="Times New Roman"/>
          <w:i/>
          <w:sz w:val="20"/>
        </w:rPr>
        <w:t>provided</w:t>
      </w:r>
      <w:r>
        <w:rPr>
          <w:rFonts w:ascii="Times New Roman" w:hAnsi="Times New Roman"/>
          <w:sz w:val="20"/>
        </w:rPr>
        <w:t xml:space="preserve"> that the Borrower shall not make such request unless such Indebtedness and related Liens are permitted by (including with respect to priority) the Loan Documents. </w:t>
      </w:r>
    </w:p>
    <w:p>
      <w:pPr>
        <w:pStyle w:val="TextBody"/>
        <w:bidi w:val="0"/>
        <w:spacing w:before="240" w:after="0"/>
        <w:jc w:val="left"/>
        <w:rPr/>
      </w:pPr>
      <w:r>
        <w:rPr/>
        <w:t>“</w:t>
      </w:r>
      <w:r>
        <w:rPr>
          <w:rFonts w:ascii="Times New Roman" w:hAnsi="Times New Roman"/>
          <w:b/>
          <w:sz w:val="20"/>
        </w:rPr>
        <w:t>Equity Interests</w:t>
      </w:r>
      <w:r>
        <w:rPr>
          <w:rFonts w:ascii="Times New Roman" w:hAnsi="Times New Roman"/>
          <w:sz w:val="20"/>
        </w:rPr>
        <w:t xml:space="preserve">” of any Person means any and all shares of, rights to purchase or acquire, warrants (including, for the avoidance of doubt, the Jones Act Warrants), options or depositary receipts for, or other equivalents of, or partnership or other interests in (however designated), equity of such Person, including any Preferred Stock, but excluding any debt securities convertible into, or exchangeable for, such equity. </w:t>
      </w:r>
    </w:p>
    <w:p>
      <w:pPr>
        <w:pStyle w:val="TextBody"/>
        <w:bidi w:val="0"/>
        <w:spacing w:before="240" w:after="0"/>
        <w:jc w:val="left"/>
        <w:rPr/>
      </w:pPr>
      <w:r>
        <w:rPr/>
        <w:t>“</w:t>
      </w:r>
      <w:r>
        <w:rPr>
          <w:rFonts w:ascii="Times New Roman" w:hAnsi="Times New Roman"/>
          <w:b/>
          <w:sz w:val="20"/>
        </w:rPr>
        <w:t>Equity Offering</w:t>
      </w:r>
      <w:r>
        <w:rPr>
          <w:rFonts w:ascii="Times New Roman" w:hAnsi="Times New Roman"/>
          <w:sz w:val="20"/>
        </w:rPr>
        <w:t xml:space="preserve">” means (x) a sale of Equity Interests (other than through the issuance of Disqualified Equity Interests) other than (a) offerings registered on Form S-8 (or any successor form) under the Securities Act or any similar offering in other jurisdictions or other securities of the Borrower or any Parent Entity and (b) issuances of Equity Interests to any Subsidiary of the Borrower or (y) a cash equity contribution to the Borrower.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from time to time, and the rules and regulations promulgated thereunder.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any trade or business (whether or not incorporated) that together with any Loan Party is treated as a single employer within the meaning of Section 414 of the Code or Section 4001 of ERISA. For the avoidance of doubt, when any provision of this Agreement relates to a past event or period of time, the term “ERISA Affiliate” includes any Person who was, as to the time of such past event or period of time, an ERISA Affiliate within the meaning of the preceding sentence. </w:t>
      </w:r>
    </w:p>
    <w:p>
      <w:pPr>
        <w:pStyle w:val="TextBody"/>
        <w:bidi w:val="0"/>
        <w:spacing w:before="240" w:after="0"/>
        <w:jc w:val="left"/>
        <w:rPr/>
      </w:pPr>
      <w:r>
        <w:rPr/>
        <w:t>“</w:t>
      </w:r>
      <w:r>
        <w:rPr>
          <w:rFonts w:ascii="Times New Roman" w:hAnsi="Times New Roman"/>
          <w:b/>
          <w:sz w:val="20"/>
        </w:rPr>
        <w:t>ERISA Event</w:t>
      </w:r>
      <w:r>
        <w:rPr>
          <w:rFonts w:ascii="Times New Roman" w:hAnsi="Times New Roman"/>
          <w:sz w:val="20"/>
        </w:rPr>
        <w:t xml:space="preserve">” means (a) a Reportable Event with respect to a Pension Plan; (b) a withdrawal by any Loan Party or any of their respective ERISA Affiliates from a Pension Plan subject to Section 4063 of ERISA during a plan year in which it was a substantial employer (as defined in Section 4001(a)(2) of ERISA) or a cessation of operations that is treated as a termination under Section 4062(e) of ERISA; (c) a complete or partial withdrawal by any Loan Party or any of their respective ERISA Affiliates from a Multiemployer Plan, written notification of any Loan Party or any of their respective ERISA Affiliates concerning the imposition of Withdrawal Liability on it or written notification that a Multiemployer Plan is insolvent within the meaning of Title IV of ERISA or in endangered or critical status within the meaning of Section 432 of the Code or Section 305 of ERISA; (d) the filing under Section 4041(c) of ERISA of a notice of intent to terminate a Pension Plan, the treatment of a Pension Plan or Multiemployer Plan amendment as a termination under Sections 4041 or 4041A of ERISA, the commencement of proceedings by the PBGC to terminate a Pension Plan or Multiemployer Plan, or the written notification from the PBGC or a plan administrator relating to an intention to terminate or to appoint a trustee to administer any Pension Plan or Multiemployer Plan under Section 4042 of ERISA; (e) the imposition of any liability under Title IV of ERISA, other than for the payment of plan contributions or PBGC premiums due but not delinquent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4007 of ERISA, upon any Loan Party; (f) the failure to satisfy the minimum funding standards (within the meaning of Section 412 of the Code or Section 302 of ERISA) with respect to any Pension Plan; (g) the application for a minimum funding waiver under Section 412 of the Code or Section 302(c) of ERISA with respect to a Pension Plan; (h) the failure by any Loan Party or any of their respective ERISA Affiliates to make any required contribution to any Pension Plan or any Multiemployer Plan; (i) the imposition of a lien on the assets of a Loan Party under Section 430(k) of the Code or Section 303(k) of ERISA with respect to any Pension Plan; or (j) a determination that any Pension Plan is in “at risk” status (within the meaning of Section 430(i) of the Code or Section 303(i) of ERISA). </w:t>
      </w:r>
    </w:p>
    <w:p>
      <w:pPr>
        <w:pStyle w:val="TextBody"/>
        <w:bidi w:val="0"/>
        <w:spacing w:before="240" w:after="0"/>
        <w:jc w:val="left"/>
        <w:rPr/>
      </w:pPr>
      <w:r>
        <w:rPr/>
        <w:t>“</w:t>
      </w:r>
      <w:r>
        <w:rPr>
          <w:rFonts w:ascii="Times New Roman" w:hAnsi="Times New Roman"/>
          <w:b/>
          <w:sz w:val="20"/>
        </w:rPr>
        <w:t>Erroneous Payment</w:t>
      </w:r>
      <w:r>
        <w:rPr>
          <w:rFonts w:ascii="Times New Roman" w:hAnsi="Times New Roman"/>
          <w:sz w:val="20"/>
        </w:rPr>
        <w:t xml:space="preserve">” has the meaning specified in </w:t>
      </w:r>
      <w:r>
        <w:rPr>
          <w:rFonts w:ascii="Times New Roman" w:hAnsi="Times New Roman"/>
          <w:sz w:val="20"/>
          <w:u w:val="single"/>
        </w:rPr>
        <w:t>Section 10.17(a).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Erroneous Payment Deficiency Assignment</w:t>
      </w:r>
      <w:r>
        <w:rPr>
          <w:rFonts w:ascii="Times New Roman" w:hAnsi="Times New Roman"/>
          <w:sz w:val="20"/>
        </w:rPr>
        <w:t xml:space="preserve">” has the meaning specified in </w:t>
      </w:r>
      <w:r>
        <w:rPr>
          <w:rFonts w:ascii="Times New Roman" w:hAnsi="Times New Roman"/>
          <w:sz w:val="20"/>
          <w:u w:val="single"/>
        </w:rPr>
        <w:t>Section 10.17(d)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Erroneous Payment Impacted Class</w:t>
      </w:r>
      <w:r>
        <w:rPr>
          <w:rFonts w:ascii="Times New Roman" w:hAnsi="Times New Roman"/>
          <w:sz w:val="20"/>
        </w:rPr>
        <w:t xml:space="preserve">” has the meaning specified in </w:t>
      </w:r>
      <w:r>
        <w:rPr>
          <w:rFonts w:ascii="Times New Roman" w:hAnsi="Times New Roman"/>
          <w:sz w:val="20"/>
          <w:u w:val="single"/>
        </w:rPr>
        <w:t>Section 10.17(d).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Erroneous Payment Return Deficiency</w:t>
      </w:r>
      <w:r>
        <w:rPr>
          <w:rFonts w:ascii="Times New Roman" w:hAnsi="Times New Roman"/>
          <w:sz w:val="20"/>
        </w:rPr>
        <w:t xml:space="preserve">” has the meaning specified in </w:t>
      </w:r>
      <w:r>
        <w:rPr>
          <w:rFonts w:ascii="Times New Roman" w:hAnsi="Times New Roman"/>
          <w:sz w:val="20"/>
          <w:u w:val="single"/>
        </w:rPr>
        <w:t>Section 10.17(d).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Erroneous Payment Subrogation Rights</w:t>
      </w:r>
      <w:r>
        <w:rPr>
          <w:rFonts w:ascii="Times New Roman" w:hAnsi="Times New Roman"/>
          <w:sz w:val="20"/>
        </w:rPr>
        <w:t xml:space="preserve">” has the meaning specified in </w:t>
      </w:r>
      <w:r>
        <w:rPr>
          <w:rFonts w:ascii="Times New Roman" w:hAnsi="Times New Roman"/>
          <w:sz w:val="20"/>
          <w:u w:val="single"/>
        </w:rPr>
        <w:t>Section 10.17(d).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sz w:val="20"/>
        </w:rPr>
        <w:t>EU Treaty</w:t>
      </w:r>
      <w:r>
        <w:rPr>
          <w:rFonts w:ascii="Times New Roman" w:hAnsi="Times New Roman"/>
          <w:sz w:val="20"/>
        </w:rPr>
        <w:t xml:space="preserve">” means the Treaty on European Union. </w:t>
      </w:r>
    </w:p>
    <w:p>
      <w:pPr>
        <w:pStyle w:val="TextBody"/>
        <w:bidi w:val="0"/>
        <w:spacing w:before="240" w:after="0"/>
        <w:jc w:val="left"/>
        <w:rPr/>
      </w:pPr>
      <w:r>
        <w:rPr/>
        <w:t>“</w:t>
      </w:r>
      <w:r>
        <w:rPr>
          <w:rFonts w:ascii="Times New Roman" w:hAnsi="Times New Roman"/>
          <w:b/>
          <w:sz w:val="20"/>
        </w:rPr>
        <w:t>Euro</w:t>
      </w:r>
      <w:r>
        <w:rPr>
          <w:rFonts w:ascii="Times New Roman" w:hAnsi="Times New Roman"/>
          <w:sz w:val="20"/>
        </w:rPr>
        <w:t>” and “</w:t>
      </w:r>
      <w:r>
        <w:rPr>
          <w:rFonts w:ascii="Times New Roman" w:hAnsi="Times New Roman"/>
          <w:b/>
          <w:sz w:val="20"/>
        </w:rPr>
        <w:t></w:t>
      </w:r>
      <w:r>
        <w:rPr>
          <w:rFonts w:ascii="Times New Roman" w:hAnsi="Times New Roman"/>
          <w:sz w:val="20"/>
        </w:rPr>
        <w:t xml:space="preserve">” mean the single currency of the Participating Member States introduced in accordance with the provisions of Article 109(i)4 of the EU Treaty. </w:t>
      </w:r>
    </w:p>
    <w:p>
      <w:pPr>
        <w:pStyle w:val="TextBody"/>
        <w:bidi w:val="0"/>
        <w:spacing w:before="240" w:after="0"/>
        <w:jc w:val="left"/>
        <w:rPr/>
      </w:pPr>
      <w:r>
        <w:rPr/>
        <w:t>“</w:t>
      </w:r>
      <w:r>
        <w:rPr>
          <w:rFonts w:ascii="Times New Roman" w:hAnsi="Times New Roman"/>
          <w:b/>
          <w:sz w:val="20"/>
        </w:rPr>
        <w:t>Eurocurrency Liabilities</w:t>
      </w:r>
      <w:r>
        <w:rPr>
          <w:rFonts w:ascii="Times New Roman" w:hAnsi="Times New Roman"/>
          <w:sz w:val="20"/>
        </w:rPr>
        <w:t xml:space="preserve">” has the meaning specified in </w:t>
      </w:r>
      <w:r>
        <w:rPr>
          <w:rFonts w:ascii="Times New Roman" w:hAnsi="Times New Roman"/>
          <w:sz w:val="20"/>
          <w:u w:val="single"/>
        </w:rPr>
        <w:t>Section 3.04(e)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has the meaning specified in </w:t>
      </w:r>
      <w:r>
        <w:rPr>
          <w:rFonts w:ascii="Times New Roman" w:hAnsi="Times New Roman"/>
          <w:sz w:val="20"/>
          <w:u w:val="single"/>
        </w:rPr>
        <w:t>Section 9.01.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SEC promulgated thereunder, as amended. </w:t>
      </w:r>
    </w:p>
    <w:p>
      <w:pPr>
        <w:pStyle w:val="TextBody"/>
        <w:bidi w:val="0"/>
        <w:spacing w:before="240" w:after="0"/>
        <w:jc w:val="left"/>
        <w:rPr/>
      </w:pPr>
      <w:r>
        <w:rPr/>
        <w:t>“</w:t>
      </w:r>
      <w:r>
        <w:rPr>
          <w:rFonts w:ascii="Times New Roman" w:hAnsi="Times New Roman"/>
          <w:b/>
          <w:sz w:val="20"/>
        </w:rPr>
        <w:t>Exchange Rate</w:t>
      </w:r>
      <w:r>
        <w:rPr>
          <w:rFonts w:ascii="Times New Roman" w:hAnsi="Times New Roman"/>
          <w:sz w:val="20"/>
        </w:rPr>
        <w:t xml:space="preserve">” means, on any date with respect to any currency, the rate at which such currency may be exchanged into any other currency, as set forth at approximately 11:00 a.m., London time, on such date on the applicable Bloomberg page for such currency. In the event that such rate does not appear on any Bloomberg page, the Exchange Rate shall be determined by reference to such other publicly available service for displaying the exchange rates as may be selected by the Administrative Agent, or, in the event no such service is selected, such Exchange Rate shall instead be the arithmetic average of the spot rates of exchange of the Administrative Agent in the market where its foreign currency exchange operations in respect of such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then being conducted, at or about 10:00 a.m., local time, on such date for the purchase of the relevant currency for delivery two Business Days later; </w:t>
      </w:r>
      <w:r>
        <w:rPr>
          <w:rFonts w:ascii="Times New Roman" w:hAnsi="Times New Roman"/>
          <w:i/>
          <w:sz w:val="20"/>
        </w:rPr>
        <w:t>provided</w:t>
      </w:r>
      <w:r>
        <w:rPr>
          <w:rFonts w:ascii="Times New Roman" w:hAnsi="Times New Roman"/>
          <w:sz w:val="20"/>
        </w:rPr>
        <w:t xml:space="preserve"> that, if at the time of any such determination, for any reason no such spot rate is being quoted, the Administrative Agent, after consultation with the Borrower, may use any reasonable method that it deems appropriate to determine such rate, and such determination shall be presumed correct absent manifest error. </w:t>
      </w:r>
    </w:p>
    <w:p>
      <w:pPr>
        <w:pStyle w:val="TextBody"/>
        <w:bidi w:val="0"/>
        <w:spacing w:before="240" w:after="0"/>
        <w:jc w:val="left"/>
        <w:rPr/>
      </w:pPr>
      <w:r>
        <w:rPr/>
        <w:t>“</w:t>
      </w:r>
      <w:r>
        <w:rPr>
          <w:rFonts w:ascii="Times New Roman" w:hAnsi="Times New Roman"/>
          <w:b/>
          <w:sz w:val="20"/>
        </w:rPr>
        <w:t>Excluded Account</w:t>
      </w:r>
      <w:r>
        <w:rPr>
          <w:rFonts w:ascii="Times New Roman" w:hAnsi="Times New Roman"/>
          <w:sz w:val="20"/>
        </w:rPr>
        <w:t xml:space="preserve">” means each of the following Deposit Accounts and Securities Accounts of the Borrower or a Guarantor (and all cash, Cash Equivalents and other securities or investments credited thereto or deposited therein): (a) Deposit Accounts and Securities Accounts exclusively used for withholding, payroll, payroll Taxes, workers compensation and employee benefits, or withholding, sales, use, value added or similar taxes, (b) Deposit Accounts and Securities Accounts held in trust for a third party; </w:t>
      </w:r>
      <w:r>
        <w:rPr>
          <w:rFonts w:ascii="Times New Roman" w:hAnsi="Times New Roman"/>
          <w:i/>
          <w:sz w:val="20"/>
        </w:rPr>
        <w:t>provided</w:t>
      </w:r>
      <w:r>
        <w:rPr>
          <w:rFonts w:ascii="Times New Roman" w:hAnsi="Times New Roman"/>
          <w:sz w:val="20"/>
        </w:rPr>
        <w:t xml:space="preserve">, that such accounts consist solely of funds set aside for such purpose, (c) escrow accounts that have an overnight balance of which in the aggregate, together with the overnight balance of all such other escrow accounts excluded pursuant to this </w:t>
      </w:r>
      <w:r>
        <w:rPr>
          <w:rFonts w:ascii="Times New Roman" w:hAnsi="Times New Roman"/>
          <w:sz w:val="20"/>
          <w:u w:val="single"/>
        </w:rPr>
        <w:t>clause (c)</w:t>
      </w:r>
      <w:r>
        <w:rPr>
          <w:rFonts w:ascii="Times New Roman" w:hAnsi="Times New Roman"/>
          <w:sz w:val="20"/>
        </w:rPr>
        <w:t xml:space="preserve">, do not exceed $5,000,000, (d) each Deposit Account holding the cash constituting cash collateral in respect of letters of credit permitted to be issued pursuant to this Agreement or </w:t>
      </w:r>
      <w:r>
        <w:rPr>
          <w:rFonts w:ascii="Times New Roman" w:hAnsi="Times New Roman"/>
          <w:sz w:val="20"/>
          <w:u w:val="single"/>
        </w:rPr>
        <w:t>Section 7.03</w:t>
      </w:r>
      <w:r>
        <w:rPr>
          <w:rFonts w:ascii="Times New Roman" w:hAnsi="Times New Roman"/>
          <w:sz w:val="20"/>
        </w:rPr>
        <w:t xml:space="preserve"> and other cash collateral permitted under </w:t>
      </w:r>
      <w:r>
        <w:rPr>
          <w:rFonts w:ascii="Times New Roman" w:hAnsi="Times New Roman"/>
          <w:sz w:val="20"/>
          <w:u w:val="single"/>
        </w:rPr>
        <w:t>Section 7.01(k)(i)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xml:space="preserve">, </w:t>
      </w:r>
      <w:r>
        <w:rPr>
          <w:rFonts w:ascii="Times New Roman" w:hAnsi="Times New Roman"/>
          <w:sz w:val="20"/>
          <w:u w:val="single"/>
        </w:rPr>
        <w:t>Section 7.01(ii)</w:t>
      </w:r>
      <w:r>
        <w:rPr>
          <w:rFonts w:ascii="Times New Roman" w:hAnsi="Times New Roman"/>
          <w:sz w:val="20"/>
        </w:rPr>
        <w:t xml:space="preserve"> or </w:t>
      </w:r>
      <w:r>
        <w:rPr>
          <w:rFonts w:ascii="Times New Roman" w:hAnsi="Times New Roman"/>
          <w:sz w:val="20"/>
          <w:u w:val="single"/>
        </w:rPr>
        <w:t>Section 7.01(mm)</w:t>
      </w:r>
      <w:r>
        <w:rPr>
          <w:rFonts w:ascii="Times New Roman" w:hAnsi="Times New Roman"/>
          <w:sz w:val="20"/>
        </w:rPr>
        <w:t xml:space="preserve">, (e) any zero balance accounts so long as the relevant Borrower or Guarantor shall ACH or wire transfer no less frequently than daily to a Blocked Account all amounts on deposit in each such zero balance account, (f) any bank account opened in, or under the laws of, a jurisdiction outside of the United States, (g) those Deposit Accounts and Securities Accounts that have an overnight balance of which in the aggregate, together with the overnight balance of all such other Deposit Accounts, Securities Accounts and Commodity Accounts excluded pursuant to this </w:t>
      </w:r>
      <w:r>
        <w:rPr>
          <w:rFonts w:ascii="Times New Roman" w:hAnsi="Times New Roman"/>
          <w:sz w:val="20"/>
          <w:u w:val="single"/>
        </w:rPr>
        <w:t>clause (g)</w:t>
      </w:r>
      <w:r>
        <w:rPr>
          <w:rFonts w:ascii="Times New Roman" w:hAnsi="Times New Roman"/>
          <w:sz w:val="20"/>
        </w:rPr>
        <w:t xml:space="preserve"> and </w:t>
      </w:r>
      <w:r>
        <w:rPr>
          <w:rFonts w:ascii="Times New Roman" w:hAnsi="Times New Roman"/>
          <w:sz w:val="20"/>
          <w:u w:val="single"/>
        </w:rPr>
        <w:t>clause (i)</w:t>
      </w:r>
      <w:r>
        <w:rPr>
          <w:rFonts w:ascii="Times New Roman" w:hAnsi="Times New Roman"/>
          <w:sz w:val="20"/>
        </w:rPr>
        <w:t xml:space="preserve"> that do not exceed $5,000,000, (h) any Deposit Accounts and Securities Accounts holding exclusively Subsidized Indebtedness Specified Cash and (i) other Deposit Accounts and Securities Accounts, provided that the aggregate balance in such accounts excluded pursuant to this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clause (g)</w:t>
      </w:r>
      <w:r>
        <w:rPr>
          <w:rFonts w:ascii="Times New Roman" w:hAnsi="Times New Roman"/>
          <w:sz w:val="20"/>
        </w:rPr>
        <w:t xml:space="preserve"> at the end of any Business Day shall not exceed $5.0 million in the aggregate. </w:t>
      </w:r>
    </w:p>
    <w:p>
      <w:pPr>
        <w:pStyle w:val="TextBody"/>
        <w:bidi w:val="0"/>
        <w:spacing w:before="240" w:after="0"/>
        <w:jc w:val="left"/>
        <w:rPr/>
      </w:pPr>
      <w:r>
        <w:rPr/>
        <w:t>“</w:t>
      </w:r>
      <w:r>
        <w:rPr>
          <w:rFonts w:ascii="Times New Roman" w:hAnsi="Times New Roman"/>
          <w:b/>
          <w:sz w:val="20"/>
        </w:rPr>
        <w:t>Excluded Asset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asset (including, to the extent applicable, any equipment or inventory owned by the Borrower or a Guarantor that is subject to a Permitted Lien pursuant to </w:t>
      </w:r>
      <w:r>
        <w:rPr>
          <w:rFonts w:ascii="Times New Roman" w:hAnsi="Times New Roman"/>
          <w:sz w:val="20"/>
          <w:u w:val="single"/>
        </w:rPr>
        <w:t>Section 7.01(n))</w:t>
      </w:r>
      <w:r>
        <w:rPr>
          <w:rFonts w:ascii="Times New Roman" w:hAnsi="Times New Roman"/>
          <w:sz w:val="20"/>
        </w:rPr>
        <w:t xml:space="preserve">, lease, license, franchise, charter, authorization, contract or agreement to which the Borrower or a Guarantor is a party, together with any rights or interest thereunder, in each case, if and to the extent security interests therein (A) are prohibited by or in violation of any applicable law, (B) require any governmental consent that has not been obtained or consent of a third party (that is not the Borrower or a Restricted Subsidiary) that has not been obtained pursuant to any contract or agreement binding on such asset at the time of its acquisition and not entered into in contemplation of such acquisition, (C) in the case of any lease, license, franchise, charter, authorization, contract or agreement, are prohibited by or in violation of a term, provision or condition of any such lease, license, franchise, charter, authorization, contract or agreement to which the Borrower or a Guarantor is a party or create a right of termination in favor of any other party thereto (other than the Borrower or a Restricted Subsidiary), except, in the case of each of the foregoing </w:t>
      </w:r>
      <w:r>
        <w:rPr>
          <w:rFonts w:ascii="Times New Roman" w:hAnsi="Times New Roman"/>
          <w:sz w:val="20"/>
          <w:u w:val="single"/>
        </w:rPr>
        <w:t>clauses (A)</w:t>
      </w:r>
      <w:r>
        <w:rPr>
          <w:rFonts w:ascii="Times New Roman" w:hAnsi="Times New Roman"/>
          <w:sz w:val="20"/>
        </w:rPr>
        <w:t>,</w:t>
      </w:r>
      <w:r>
        <w:rPr>
          <w:rFonts w:ascii="Times New Roman" w:hAnsi="Times New Roman"/>
          <w:sz w:val="20"/>
          <w:u w:val="single"/>
        </w:rPr>
        <w:t xml:space="preserve">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to the extent that such prohibition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restriction would be rendered ineffective under the Uniform Commercial Code or other applicable law or principle of equity or (D) in the case of any property subject to a lien securing permitted purchase money indebtedness, capitalized lease obligation indebtedness, government or quasi-government provided, supported, guaranteed or subsidized Indebtedness or similar arrangement, but only to the extent that a grant of a security interest therein to secure the Loans would violate or invalidate such purchase money, capital lease, government or quasi-government provided, supported, guaranteed or subsidized Indebtedness or similar arrangement (including as a result of any requirement to obtain the consent, approval, license or authorization of any third party unless such consent has been obtained (and it being understood and agreed that neither the Borrower nor any Guarantor shall have any obligation to procure any such consent, approval, license or authorization)) or create a right of termination in favor of any other party thereto (other than the Borrower, a Guarantor or a Restricted Subsidiary) after giving effect to the applicable anti-assignment provisions of the Uniform Commercial Code;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the foregoing, the Collateral includes, at such time as the contractual or legal prohibition shall no longer be applicable, and, to the extent severable, any portion of such asset, lease, license, franchise, charter, authorization, contract or agreement not subject to the prohibitions specified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above (in each case, after giving effect to the applicable anti-assignment provisions of the Uniform Commercial Code or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the Excluded Equity Interests and any assets of any Subsidiary that is not a Guarantor; </w:t>
      </w:r>
    </w:p>
    <w:p>
      <w:pPr>
        <w:pStyle w:val="TextBody"/>
        <w:bidi w:val="0"/>
        <w:spacing w:before="120" w:after="0"/>
        <w:jc w:val="left"/>
        <w:rPr>
          <w:rFonts w:ascii="Times New Roman" w:hAnsi="Times New Roman"/>
          <w:sz w:val="20"/>
        </w:rPr>
      </w:pPr>
      <w:r>
        <w:rPr>
          <w:rFonts w:ascii="Times New Roman" w:hAnsi="Times New Roman"/>
          <w:sz w:val="20"/>
        </w:rPr>
        <w:t xml:space="preserve">(c) Securitization Assets or Receivables Assets, or participations therein, in connection with any Qualified Securitization Financing or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(d) any “intent-to-use” trademark applications prior to the filing and acceptance of a “Statement of Use” pursuant to Section 1(d) of the Lanham Act or an “Amendment to Allege Use” pursuant to Section 1(c) of the Lanham Act with respect thereto, to the extent that, and solely during the period, if any, in which, the grant of a security interest therein would impair the validity or enforceability of any registration that issues from such intent-to-use application under applicable federal law (it being understood that, after such period, such intent-to-use application will automatically be included in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(e) (A) any leasehold interest (including any ground lease interest) in real property, including leasehold improvements, (B) any fee interest in owned real property, and (C) any fixtures affixed to any real property to the extent a security interest in such fixtures may not be perfected by the filing of a Uniform Commercial Code financing statement in the jurisdiction of organization of the applicable Borrower or Guarantor; </w:t>
      </w:r>
    </w:p>
    <w:p>
      <w:pPr>
        <w:pStyle w:val="TextBody"/>
        <w:bidi w:val="0"/>
        <w:spacing w:before="120" w:after="0"/>
        <w:jc w:val="left"/>
        <w:rPr>
          <w:rFonts w:ascii="Times New Roman" w:hAnsi="Times New Roman"/>
          <w:sz w:val="20"/>
        </w:rPr>
      </w:pPr>
      <w:r>
        <w:rPr>
          <w:rFonts w:ascii="Times New Roman" w:hAnsi="Times New Roman"/>
          <w:sz w:val="20"/>
        </w:rPr>
        <w:t xml:space="preserve">(f) any asset (other than Vessel Collateral) subject to any notice or consent of governmental authorities under the Federal Assignment of Claims Act or any similar or commensurate legislation under the Laws of the United States or a jurisdiction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 as-extracted collateral, (B) timber to be cut, (C) farm products, (D) manufactured homes and (E) healthcare insurance receivables; </w:t>
      </w:r>
    </w:p>
    <w:p>
      <w:pPr>
        <w:pStyle w:val="TextBody"/>
        <w:bidi w:val="0"/>
        <w:spacing w:before="120" w:after="0"/>
        <w:jc w:val="left"/>
        <w:rPr>
          <w:rFonts w:ascii="Times New Roman" w:hAnsi="Times New Roman"/>
          <w:sz w:val="20"/>
        </w:rPr>
      </w:pPr>
      <w:r>
        <w:rPr>
          <w:rFonts w:ascii="Times New Roman" w:hAnsi="Times New Roman"/>
          <w:sz w:val="20"/>
        </w:rPr>
        <w:t xml:space="preserve">(h) any particular asset, if the pledge thereof or the security interest therein would result in material adverse Tax consequences to any Parent Entity, the Borrower or any Guarantor as reasonably determined by the Borrower in good faith in consultation with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any particular asset, if the pledge thereof or the security interest therein would result in material adverse Tax consequences to any Parent Entity, Borrower or any Guarantor as reasonably determined by the Borrower in good faith in consultation with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(j) any specifically identified asset with respect to which the Administrative Agent has determined in its reasonable judgement (in consultation with the Borrower) that the costs of obtaining, perfecting or maintaining a security interest or pledge in such asset outweighs the benefit to be obtained on account thereof (including if such actions exceed the fair market value thereof, as determined by the Borrower in its reasonable judgement) or the practical benefit to the Lenders afforded thereby; </w:t>
      </w:r>
    </w:p>
    <w:p>
      <w:pPr>
        <w:pStyle w:val="TextBody"/>
        <w:bidi w:val="0"/>
        <w:spacing w:before="120" w:after="0"/>
        <w:jc w:val="left"/>
        <w:rPr>
          <w:rFonts w:ascii="Times New Roman" w:hAnsi="Times New Roman"/>
          <w:sz w:val="20"/>
        </w:rPr>
      </w:pPr>
      <w:r>
        <w:rPr>
          <w:rFonts w:ascii="Times New Roman" w:hAnsi="Times New Roman"/>
          <w:sz w:val="20"/>
        </w:rPr>
        <w:t xml:space="preserve">(k) letter-of-credit rights, except to the extent constituting a supporting obligation for other Collateral as to which perfection of the security interest in such other Collateral is accomplished by the filing of UCC-1 financing statements; </w:t>
      </w:r>
    </w:p>
    <w:p>
      <w:pPr>
        <w:pStyle w:val="TextBody"/>
        <w:bidi w:val="0"/>
        <w:spacing w:before="120" w:after="0"/>
        <w:jc w:val="left"/>
        <w:rPr>
          <w:rFonts w:ascii="Times New Roman" w:hAnsi="Times New Roman"/>
          <w:sz w:val="20"/>
        </w:rPr>
      </w:pPr>
      <w:r>
        <w:rPr>
          <w:rFonts w:ascii="Times New Roman" w:hAnsi="Times New Roman"/>
          <w:sz w:val="20"/>
        </w:rPr>
        <w:t xml:space="preserve">(l) commercial tort claims (i) existing as of the date hereof and (ii) arising after the Closing Date where, in the case of this clause (ii), the amount of the damages reasonably expected to be realized by the applicable Borrower or Guarantor (as determined by the Borrower in good faith) is not in excess of an amount equal to the greater of (a) $40.0 million and (b) an amount equal to 5.0% of the Borrower’s Consolidated Net Tangible Assets determined as of the end of the Borrower’s most recently completed fiscal quarter for which internal financial statements are available; </w:t>
      </w:r>
    </w:p>
    <w:p>
      <w:pPr>
        <w:pStyle w:val="TextBody"/>
        <w:bidi w:val="0"/>
        <w:spacing w:before="120" w:after="0"/>
        <w:jc w:val="left"/>
        <w:rPr>
          <w:rFonts w:ascii="Times New Roman" w:hAnsi="Times New Roman"/>
          <w:sz w:val="20"/>
        </w:rPr>
      </w:pPr>
      <w:r>
        <w:rPr>
          <w:rFonts w:ascii="Times New Roman" w:hAnsi="Times New Roman"/>
          <w:sz w:val="20"/>
        </w:rPr>
        <w:t xml:space="preserve">(m) motor vehicles, aircraft, recreational vessels and other assets (other than Vessels (other than recreational vessels)) subject to certificates of title or ownership (including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the Borrower or Guarantor under Section 9-307 of the Uniform Commercial Code) of the applicable Borrower or Guarantor; </w:t>
      </w:r>
    </w:p>
    <w:p>
      <w:pPr>
        <w:pStyle w:val="TextBody"/>
        <w:bidi w:val="0"/>
        <w:spacing w:before="120" w:after="0"/>
        <w:jc w:val="left"/>
        <w:rPr>
          <w:rFonts w:ascii="Times New Roman" w:hAnsi="Times New Roman"/>
          <w:sz w:val="20"/>
        </w:rPr>
      </w:pPr>
      <w:r>
        <w:rPr>
          <w:rFonts w:ascii="Times New Roman" w:hAnsi="Times New Roman"/>
          <w:sz w:val="20"/>
        </w:rPr>
        <w:t xml:space="preserve">(n) any Excluded Accounts; </w:t>
      </w:r>
    </w:p>
    <w:p>
      <w:pPr>
        <w:pStyle w:val="TextBody"/>
        <w:bidi w:val="0"/>
        <w:spacing w:before="120" w:after="0"/>
        <w:jc w:val="left"/>
        <w:rPr>
          <w:rFonts w:ascii="Times New Roman" w:hAnsi="Times New Roman"/>
          <w:sz w:val="20"/>
        </w:rPr>
      </w:pPr>
      <w:r>
        <w:rPr>
          <w:rFonts w:ascii="Times New Roman" w:hAnsi="Times New Roman"/>
          <w:sz w:val="20"/>
        </w:rPr>
        <w:t xml:space="preserve">(o) any Excluded Vessels;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any foreign assets and assets located in or governed by any non-U.S. jurisdiction or agreement (other than stock certificates otherwise required to be pledged and other than Vessels flagged under an Approved Flag Jurisdiction if the Borrower has expressly elected to include such Vessel as Vessel Collateral) or credit support with respect to such foreign assets or any property or assets owned by a FSHCO, Foreign Subsidiary, Subsidiary of a FSHCO or Foreign Subsidiary, or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(q) any asset (other than any Vessel Collateral) subject to any notice, consent or other action of or in respect of governmental authorities under the Federal Assignment of Claims Act or any similar or commensurate legislation under the Laws of the United States or a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(r) any assets acquired pursuant to an acquisition, merger, consolidation or other Investments after the Closing Date permitted hereunder that are financed by or constitute collateral in respect of Acquired Indebtedness permitted hereunder or that are prohibited from having a Lien granted thereon by any enforceable contract or other agreement (in each case, binding on the assets at the time of such consummation and not created or entered into in contemplation thereof), solely to the extent and for so long as such contract or other agreement (or a permitted refinancing or replacement thereof) finances, is secured by or prohibits such security interest;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Borrower, in its sole discretion may (upon written notice to the Collateral Agent) cause any assets (including Vessels) that otherwise qualify as Excluded Assets under any of the clauses above to become Collateral and thereafter such assets shall not constitute “Excluded Assets” (or, if applicable, Excluded Vessels) until such time as the Lien in such assets is released in accordance with the terms of this Agreement, the applicable Collateral Document or the applicable Intercreditor Agreement,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Excluded Assets referred to above shall not include any proceeds or receivables of any such Excluded Asset (except to the extent such proceeds or receivables constitute Excluded Assets). For the avoidance of doubt, the foregoing is subject to the Permitted Reflagging Transactions. </w:t>
      </w:r>
    </w:p>
    <w:p>
      <w:pPr>
        <w:pStyle w:val="TextBody"/>
        <w:bidi w:val="0"/>
        <w:spacing w:before="240" w:after="0"/>
        <w:jc w:val="left"/>
        <w:rPr/>
      </w:pPr>
      <w:r>
        <w:rPr/>
        <w:t>“</w:t>
      </w:r>
      <w:r>
        <w:rPr>
          <w:rFonts w:ascii="Times New Roman" w:hAnsi="Times New Roman"/>
          <w:b/>
          <w:sz w:val="20"/>
        </w:rPr>
        <w:t>Excluded Equity Interests</w:t>
      </w:r>
      <w:r>
        <w:rPr>
          <w:rFonts w:ascii="Times New Roman" w:hAnsi="Times New Roman"/>
          <w:sz w:val="20"/>
        </w:rPr>
        <w:t xml:space="preserve">” has the meaning specified in the Collateral Agreement. </w:t>
      </w:r>
    </w:p>
    <w:p>
      <w:pPr>
        <w:pStyle w:val="TextBody"/>
        <w:bidi w:val="0"/>
        <w:spacing w:before="240" w:after="0"/>
        <w:jc w:val="left"/>
        <w:rPr/>
      </w:pPr>
      <w:r>
        <w:rPr/>
        <w:t>“</w:t>
      </w:r>
      <w:r>
        <w:rPr>
          <w:rFonts w:ascii="Times New Roman" w:hAnsi="Times New Roman"/>
          <w:b/>
          <w:sz w:val="20"/>
        </w:rPr>
        <w:t>Excluded Foreign Flag Vessel</w:t>
      </w:r>
      <w:r>
        <w:rPr>
          <w:rFonts w:ascii="Times New Roman" w:hAnsi="Times New Roman"/>
          <w:sz w:val="20"/>
        </w:rPr>
        <w:t xml:space="preserve">” means any Vessel that is registered under the laws and flag of an Approved Flag Jurisdiction other than the United States of America or is a U.S. Non-Jones Act Vessel (a) as of the Closing Date, (b) if acquired by the Borrower or a Restricted Subsidiary after the Closing Date from a Person other than the Borrower or a Restricted Subsidiary, as of the date of such acquisition or (c) as of any date after the Closing Date if (i) on a pro forma basis, following the reflagging of such Vessel, the Collateral Coverage Ratio shall not be less than 1.50:1.00 and the RCF Collateral Coverage Ratio shall not be less than 3.00:1.00, (ii) a reflagging of Vessel Collateral is, in the good faith judgment of the Borrower, necessary or desirable in order to pursue customer opportunities in non-U.S. jurisdictions, and (iii) any of the following is true with respect to the Vessel to be reflagged: </w:t>
      </w:r>
    </w:p>
    <w:p>
      <w:pPr>
        <w:pStyle w:val="TextBody"/>
        <w:bidi w:val="0"/>
        <w:spacing w:before="120" w:after="0"/>
        <w:jc w:val="left"/>
        <w:rPr>
          <w:rFonts w:ascii="Times New Roman" w:hAnsi="Times New Roman"/>
          <w:sz w:val="20"/>
        </w:rPr>
      </w:pPr>
      <w:r>
        <w:rPr>
          <w:rFonts w:ascii="Times New Roman" w:hAnsi="Times New Roman"/>
          <w:sz w:val="20"/>
        </w:rPr>
        <w:t xml:space="preserve">(A) such Vessel is a Mid-Spec Vessel or a Low-Spec Vessel;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such Vessel is registered under the laws and flag of an Approved Flag Jurisdiction other than the United States of America; or </w:t>
      </w:r>
    </w:p>
    <w:p>
      <w:pPr>
        <w:pStyle w:val="TextBody"/>
        <w:bidi w:val="0"/>
        <w:spacing w:before="240" w:after="0"/>
        <w:jc w:val="left"/>
        <w:rPr>
          <w:rFonts w:ascii="Times New Roman" w:hAnsi="Times New Roman"/>
          <w:sz w:val="20"/>
        </w:rPr>
      </w:pPr>
      <w:r>
        <w:rPr>
          <w:rFonts w:ascii="Times New Roman" w:hAnsi="Times New Roman"/>
          <w:sz w:val="20"/>
        </w:rPr>
        <w:t>(C) such Vessel is registered under the laws and flag of the United States of America but is not a Jones Act Vessel (a “</w:t>
      </w:r>
      <w:r>
        <w:rPr>
          <w:rFonts w:ascii="Times New Roman" w:hAnsi="Times New Roman"/>
          <w:b/>
          <w:sz w:val="20"/>
        </w:rPr>
        <w:t>U.S. Non-Jones Act Vessel</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(D) prior to its reflagging such Vessel is a (i) Jones Act Vessel and (ii) is a High-Spec Vessel or Ultra High-Spec Vessel and after giving effect to its re-flagging, no more than seven (7) vessels that were (i) Jones Act Vessels and (ii) High-Spec Vessels or Ultra High-Spec Vessels owned by the Borrower or a Restricted Subsidiary as of the Closing Date have become Excluded Foreign Flag Vessels or U.S. Non-Jones Act Vessels; </w:t>
      </w:r>
      <w:r>
        <w:rPr>
          <w:rFonts w:ascii="Times New Roman" w:hAnsi="Times New Roman"/>
          <w:i/>
          <w:sz w:val="20"/>
        </w:rPr>
        <w:t>provided</w:t>
      </w:r>
      <w:r>
        <w:rPr>
          <w:rFonts w:ascii="Times New Roman" w:hAnsi="Times New Roman"/>
          <w:sz w:val="20"/>
        </w:rPr>
        <w:t xml:space="preserve">, that, of such seven (7) Vessels, no more than three (3) such Vessels so re-flagged or converted into U.S. Non-Jones Act Vessels may be Ultra High-Spec Vessels; </w:t>
      </w:r>
      <w:r>
        <w:rPr>
          <w:rFonts w:ascii="Times New Roman" w:hAnsi="Times New Roman"/>
          <w:i/>
          <w:sz w:val="20"/>
        </w:rPr>
        <w:t>provided further</w:t>
      </w:r>
      <w:r>
        <w:rPr>
          <w:rFonts w:ascii="Times New Roman" w:hAnsi="Times New Roman"/>
          <w:sz w:val="20"/>
        </w:rPr>
        <w:t xml:space="preserve"> that no more than one (1) of such Vessels may be the HOS Centerline or the HOS Strongline; or </w:t>
      </w:r>
    </w:p>
    <w:p>
      <w:pPr>
        <w:pStyle w:val="TextBody"/>
        <w:bidi w:val="0"/>
        <w:spacing w:before="240" w:after="0"/>
        <w:jc w:val="left"/>
        <w:rPr>
          <w:rFonts w:ascii="Times New Roman" w:hAnsi="Times New Roman"/>
          <w:sz w:val="20"/>
        </w:rPr>
      </w:pPr>
      <w:r>
        <w:rPr>
          <w:rFonts w:ascii="Times New Roman" w:hAnsi="Times New Roman"/>
          <w:sz w:val="20"/>
        </w:rPr>
        <w:t>(E) after giving effect to such re-flagging, in respect of any Jones Act Vessels that are Vessel Collateral that are acquired by the Borrower or a Restricted Subsidiary after the Closing Date, no more than (x) thirty percent (30%) of such Vessel Collateral which are High-Spec Vessels (the “</w:t>
      </w:r>
      <w:r>
        <w:rPr>
          <w:rFonts w:ascii="Times New Roman" w:hAnsi="Times New Roman"/>
          <w:b/>
          <w:sz w:val="20"/>
        </w:rPr>
        <w:t>After-Acquired High Specification Vessels</w:t>
      </w:r>
      <w:r>
        <w:rPr>
          <w:rFonts w:ascii="Times New Roman" w:hAnsi="Times New Roman"/>
          <w:sz w:val="20"/>
        </w:rPr>
        <w:t xml:space="preserve">”) would have become Excluded Foreign Flag Vessels or U.S. Non-Jones Act Vessels and (y) ten percent (10%) of the After-Acquired High Specification Vessels which are Ultra High-Spec Vessels would have become Excluded Foreign Flag Vessels or U.S. Non-Jones Act Vessels; </w:t>
      </w:r>
      <w:r>
        <w:rPr>
          <w:rFonts w:ascii="Times New Roman" w:hAnsi="Times New Roman"/>
          <w:i/>
          <w:sz w:val="20"/>
        </w:rPr>
        <w:t xml:space="preserve">provided, however, </w:t>
      </w:r>
      <w:r>
        <w:rPr>
          <w:rFonts w:ascii="Times New Roman" w:hAnsi="Times New Roman"/>
          <w:sz w:val="20"/>
        </w:rPr>
        <w:t xml:space="preserve">if there is available capacity under </w:t>
      </w:r>
      <w:r>
        <w:rPr>
          <w:rFonts w:ascii="Times New Roman" w:hAnsi="Times New Roman"/>
          <w:sz w:val="20"/>
          <w:u w:val="single"/>
        </w:rPr>
        <w:t>clause (D)</w:t>
      </w:r>
      <w:r>
        <w:rPr>
          <w:rFonts w:ascii="Times New Roman" w:hAnsi="Times New Roman"/>
          <w:sz w:val="20"/>
        </w:rPr>
        <w:t xml:space="preserve"> above in respect of Vessels owned as of the Closing Date, the Borrower may elect in its sole discretion to consummate a re-flagging described under this </w:t>
      </w:r>
      <w:r>
        <w:rPr>
          <w:rFonts w:ascii="Times New Roman" w:hAnsi="Times New Roman"/>
          <w:sz w:val="20"/>
          <w:u w:val="single"/>
        </w:rPr>
        <w:t>clause (E)</w:t>
      </w:r>
      <w:r>
        <w:rPr>
          <w:rFonts w:ascii="Times New Roman" w:hAnsi="Times New Roman"/>
          <w:sz w:val="20"/>
        </w:rPr>
        <w:t xml:space="preserve"> using available capacity under </w:t>
      </w:r>
      <w:r>
        <w:rPr>
          <w:rFonts w:ascii="Times New Roman" w:hAnsi="Times New Roman"/>
          <w:sz w:val="20"/>
          <w:u w:val="single"/>
        </w:rPr>
        <w:t>clause (D)</w:t>
      </w:r>
      <w:r>
        <w:rPr>
          <w:rFonts w:ascii="Times New Roman" w:hAnsi="Times New Roman"/>
          <w:sz w:val="20"/>
        </w:rPr>
        <w:t xml:space="preserve"> above (and such election shall reduce the corresponding availability under </w:t>
      </w:r>
      <w:r>
        <w:rPr>
          <w:rFonts w:ascii="Times New Roman" w:hAnsi="Times New Roman"/>
          <w:sz w:val="20"/>
          <w:u w:val="single"/>
        </w:rPr>
        <w:t>clause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Excluded Subsidiary</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Restricted Subsidiary that is not a wholly-owned Restricted Subsidiary of the Borrower or a Guarantor, </w:t>
      </w:r>
    </w:p>
    <w:p>
      <w:pPr>
        <w:pStyle w:val="TextBody"/>
        <w:bidi w:val="0"/>
        <w:spacing w:before="120" w:after="0"/>
        <w:jc w:val="left"/>
        <w:rPr>
          <w:rFonts w:ascii="Times New Roman" w:hAnsi="Times New Roman"/>
          <w:sz w:val="20"/>
        </w:rPr>
      </w:pPr>
      <w:r>
        <w:rPr>
          <w:rFonts w:ascii="Times New Roman" w:hAnsi="Times New Roman"/>
          <w:sz w:val="20"/>
        </w:rPr>
        <w:t xml:space="preserve">(b) any (i) FSHCO, (ii) Foreign Subsidiary or (iii) any Restricted Subsidiary of any FSHCO or Foreign Subsidiary, </w:t>
      </w:r>
    </w:p>
    <w:p>
      <w:pPr>
        <w:pStyle w:val="TextBody"/>
        <w:bidi w:val="0"/>
        <w:spacing w:before="120" w:after="0"/>
        <w:jc w:val="left"/>
        <w:rPr>
          <w:rFonts w:ascii="Times New Roman" w:hAnsi="Times New Roman"/>
          <w:sz w:val="20"/>
        </w:rPr>
      </w:pPr>
      <w:r>
        <w:rPr>
          <w:rFonts w:ascii="Times New Roman" w:hAnsi="Times New Roman"/>
          <w:sz w:val="20"/>
        </w:rPr>
        <w:t>(c) any Restricted Subsidiary that is prohibited or restricted by applicable Law from providing a Guaranty or by a binding contractual obligation existing on the Closing Date or at the time of the acquisition of such Restricted Subsidiary (and not incurred in contemplation of the Closing Date or such acquisition) from providing a Guaranty (</w:t>
      </w:r>
      <w:r>
        <w:rPr>
          <w:rFonts w:ascii="Times New Roman" w:hAnsi="Times New Roman"/>
          <w:i/>
          <w:sz w:val="20"/>
        </w:rPr>
        <w:t xml:space="preserve">provided </w:t>
      </w:r>
      <w:r>
        <w:rPr>
          <w:rFonts w:ascii="Times New Roman" w:hAnsi="Times New Roman"/>
          <w:sz w:val="20"/>
        </w:rPr>
        <w:t xml:space="preserve">that such contractual obligation is not entered into by the Borrower or its Restricted Subsidiaries principally for the purpose of qualifying as an “Excluded Subsidiary” under this definition) or if such Guaranty would require governmental (including regulatory) or third party (other than the Borrower or a Restricted Subsidiary) consent, approval, license or authorization, unless such consent, approval, license or authorization has been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special purpose securitization vehicle (or similar entity), including any Securitization Subsidiary created pursuant to a transaction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any Restricted Subsidiary that is a not-for-profit organization, </w:t>
      </w:r>
    </w:p>
    <w:p>
      <w:pPr>
        <w:pStyle w:val="TextBody"/>
        <w:bidi w:val="0"/>
        <w:spacing w:before="120" w:after="0"/>
        <w:jc w:val="left"/>
        <w:rPr>
          <w:rFonts w:ascii="Times New Roman" w:hAnsi="Times New Roman"/>
          <w:sz w:val="20"/>
        </w:rPr>
      </w:pPr>
      <w:r>
        <w:rPr>
          <w:rFonts w:ascii="Times New Roman" w:hAnsi="Times New Roman"/>
          <w:sz w:val="20"/>
        </w:rPr>
        <w:t xml:space="preserve">(f) any Captive Insurance Subsidiary, </w:t>
      </w:r>
    </w:p>
    <w:p>
      <w:pPr>
        <w:pStyle w:val="TextBody"/>
        <w:bidi w:val="0"/>
        <w:spacing w:before="120" w:after="0"/>
        <w:jc w:val="left"/>
        <w:rPr>
          <w:rFonts w:ascii="Times New Roman" w:hAnsi="Times New Roman"/>
          <w:sz w:val="20"/>
        </w:rPr>
      </w:pPr>
      <w:r>
        <w:rPr>
          <w:rFonts w:ascii="Times New Roman" w:hAnsi="Times New Roman"/>
          <w:sz w:val="20"/>
        </w:rPr>
        <w:t xml:space="preserve">(g) any other Restricted Subsidiary with respect to which, as reasonably determined by the Borrower in good faith and in consultation with the Administrative Agent, the cost or other consequences (including any material adverse tax consequences) of providing the Guaranty shall be excessive in view of the benefits to be obtained by the Lenders therefrom, </w:t>
      </w:r>
    </w:p>
    <w:p>
      <w:pPr>
        <w:pStyle w:val="TextBody"/>
        <w:bidi w:val="0"/>
        <w:spacing w:before="120" w:after="0"/>
        <w:jc w:val="left"/>
        <w:rPr>
          <w:rFonts w:ascii="Times New Roman" w:hAnsi="Times New Roman"/>
          <w:sz w:val="20"/>
        </w:rPr>
      </w:pPr>
      <w:r>
        <w:rPr>
          <w:rFonts w:ascii="Times New Roman" w:hAnsi="Times New Roman"/>
          <w:sz w:val="20"/>
        </w:rPr>
        <w:t xml:space="preserve">(h) any other Restricted Subsidiary to the extent the provision of a guarantee by such Restricted Subsidiary would result in material adverse Tax consequences to any Parent Entity (to the extent such material adverse Tax consequences are related to its ownership of the Equity Interests in the Borrower and its subsidiaries), the Borrower or any of their subsidiaries as reasonably determined by the Borrower in good faith and in consultation with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any Unrestricted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(j) any Immaterial Subsidiary;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Borrower, in its sole discretion (or in the case of any Foreign Subsidiary, in consultation with the Administrative Agent), may cause any Restricted Subsidiary that qualifies as an Excluded Subsidiary under </w:t>
      </w:r>
      <w:r>
        <w:rPr>
          <w:rFonts w:ascii="Times New Roman" w:hAnsi="Times New Roman"/>
          <w:sz w:val="20"/>
          <w:u w:val="single"/>
        </w:rPr>
        <w:t>clauses (a)</w:t>
      </w:r>
      <w:r>
        <w:rPr>
          <w:rFonts w:ascii="Times New Roman" w:hAnsi="Times New Roman"/>
          <w:sz w:val="20"/>
        </w:rPr>
        <w:t> through</w:t>
      </w:r>
      <w:r>
        <w:rPr>
          <w:rFonts w:ascii="Times New Roman" w:hAnsi="Times New Roman"/>
          <w:sz w:val="20"/>
          <w:u w:val="single"/>
        </w:rPr>
        <w:t xml:space="preserve"> (j)</w:t>
      </w:r>
      <w:r>
        <w:rPr>
          <w:rFonts w:ascii="Times New Roman" w:hAnsi="Times New Roman"/>
          <w:sz w:val="20"/>
        </w:rPr>
        <w:t xml:space="preserve"> above to become a Guarantor in accordance with the definition thereof (subject to completion of any requested “know your customer” and similar requirements of the Administrative Agent and the Lenders) and thereafter such Restricted Subsidiary shall not constitute an “Excluded Subsidiary” (unless and until the Borrower elects, in its sole discretion, to designate such Persons as an Excluded Subsidiary). </w:t>
      </w:r>
    </w:p>
    <w:p>
      <w:pPr>
        <w:pStyle w:val="TextBody"/>
        <w:bidi w:val="0"/>
        <w:spacing w:before="240" w:after="0"/>
        <w:jc w:val="left"/>
        <w:rPr/>
      </w:pPr>
      <w:r>
        <w:rPr/>
        <w:t>“</w:t>
      </w:r>
      <w:r>
        <w:rPr>
          <w:rFonts w:ascii="Times New Roman" w:hAnsi="Times New Roman"/>
          <w:b/>
          <w:sz w:val="20"/>
        </w:rPr>
        <w:t>Excluded Swap Obligation</w:t>
      </w:r>
      <w:r>
        <w:rPr>
          <w:rFonts w:ascii="Times New Roman" w:hAnsi="Times New Roman"/>
          <w:sz w:val="20"/>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Excluded Taxes</w:t>
      </w:r>
      <w:r>
        <w:rPr>
          <w:rFonts w:ascii="Times New Roman" w:hAnsi="Times New Roman"/>
          <w:sz w:val="20"/>
        </w:rPr>
        <w:t xml:space="preserve">” means any of the following Taxes imposed on or with respect to a Recipient or required to be withheld or deducted from a payment to a Recipient, (i) Taxes imposed on or measured by income (however denominated), branch profits, franchise or similar Taxes, in each case, that are (A) imposed by the jurisdiction (or political subdivision thereof) under the laws of which it is organized or in which its principal office is located or, in the case of any Lender, in which its applicable Lending Office is located, or (B) Other Connection Taxes, (ii) any Tax that is (or would be) required to be withheld with respect to amounts payable hereunder in respect of an Eligible Assignee (pursuant to an assignment under </w:t>
      </w:r>
      <w:r>
        <w:rPr>
          <w:rFonts w:ascii="Times New Roman" w:hAnsi="Times New Roman"/>
          <w:sz w:val="20"/>
          <w:u w:val="single"/>
        </w:rPr>
        <w:t>Section 11.07</w:t>
      </w:r>
      <w:r>
        <w:rPr>
          <w:rFonts w:ascii="Times New Roman" w:hAnsi="Times New Roman"/>
          <w:sz w:val="20"/>
        </w:rPr>
        <w:t xml:space="preserve">) on the date it becomes an assignee to the extent such Tax is in excess of the Tax that would have been applicable had such assigning Lender not assigned its interest arising under any Loan Document (unless such assignment is at the express written request of the Borrower), (iii) withholding Taxes imposed on amounts payable to or for the account of a Recipient with respect to an applicable interest in a Loan or Commitment pursuant to a Law in effect on the date on which (A) such Lender, Agent or Issuing Bank acquires such interest in the Loan or Commitment (other than pursuant to an assignment request by the Borrower under </w:t>
      </w:r>
      <w:r>
        <w:rPr>
          <w:rFonts w:ascii="Times New Roman" w:hAnsi="Times New Roman"/>
          <w:sz w:val="20"/>
          <w:u w:val="single"/>
        </w:rPr>
        <w:t>Section 3.07</w:t>
      </w:r>
      <w:r>
        <w:rPr>
          <w:rFonts w:ascii="Times New Roman" w:hAnsi="Times New Roman"/>
          <w:sz w:val="20"/>
        </w:rPr>
        <w:t xml:space="preserve">) or (B) such Lender changes its Lending Office (other than at the written request of the Borrower to change such Lending Office), except in each case to the extent that pursuant to this </w:t>
      </w:r>
      <w:r>
        <w:rPr>
          <w:rFonts w:ascii="Times New Roman" w:hAnsi="Times New Roman"/>
          <w:sz w:val="20"/>
          <w:u w:val="single"/>
        </w:rPr>
        <w:t>Section 3.01</w:t>
      </w:r>
      <w:r>
        <w:rPr>
          <w:rFonts w:ascii="Times New Roman" w:hAnsi="Times New Roman"/>
          <w:sz w:val="20"/>
        </w:rPr>
        <w:t xml:space="preserve">, amounts with respect to such Taxes were payable to such Recipient’s assignor immediately before such Recipient became a party hereto, or to such Lender immediately before it changed its Lending Office, (iv) any Taxes imposed as a result of the failure of any Recipient to comply with the provisions of </w:t>
      </w:r>
      <w:r>
        <w:rPr>
          <w:rFonts w:ascii="Times New Roman" w:hAnsi="Times New Roman"/>
          <w:sz w:val="20"/>
          <w:u w:val="single"/>
        </w:rPr>
        <w:t>Sections 3.01(b)</w:t>
      </w:r>
      <w:r>
        <w:rPr>
          <w:rFonts w:ascii="Times New Roman" w:hAnsi="Times New Roman"/>
          <w:sz w:val="20"/>
        </w:rPr>
        <w:t xml:space="preserve"> (in the case of any Foreign Lender, as defined below), </w:t>
      </w:r>
      <w:r>
        <w:rPr>
          <w:rFonts w:ascii="Times New Roman" w:hAnsi="Times New Roman"/>
          <w:sz w:val="20"/>
          <w:u w:val="single"/>
        </w:rPr>
        <w:t>3.01(c)</w:t>
      </w:r>
      <w:r>
        <w:rPr>
          <w:rFonts w:ascii="Times New Roman" w:hAnsi="Times New Roman"/>
          <w:sz w:val="20"/>
        </w:rPr>
        <w:t xml:space="preserve">, </w:t>
      </w:r>
      <w:r>
        <w:rPr>
          <w:rFonts w:ascii="Times New Roman" w:hAnsi="Times New Roman"/>
          <w:sz w:val="20"/>
          <w:u w:val="single"/>
        </w:rPr>
        <w:t>3.01(d)</w:t>
      </w:r>
      <w:r>
        <w:rPr>
          <w:rFonts w:ascii="Times New Roman" w:hAnsi="Times New Roman"/>
          <w:sz w:val="20"/>
        </w:rPr>
        <w:t xml:space="preserve"> or </w:t>
      </w:r>
      <w:r>
        <w:rPr>
          <w:rFonts w:ascii="Times New Roman" w:hAnsi="Times New Roman"/>
          <w:sz w:val="20"/>
          <w:u w:val="single"/>
        </w:rPr>
        <w:t>3.01(e)</w:t>
      </w:r>
      <w:r>
        <w:rPr>
          <w:rFonts w:ascii="Times New Roman" w:hAnsi="Times New Roman"/>
          <w:sz w:val="20"/>
        </w:rPr>
        <w:t xml:space="preserve"> (in the case of any U.S. Lender, as defined below), and (v) any Taxes imposed under FATCA. </w:t>
      </w:r>
    </w:p>
    <w:p>
      <w:pPr>
        <w:pStyle w:val="TextBody"/>
        <w:bidi w:val="0"/>
        <w:spacing w:before="240" w:after="0"/>
        <w:jc w:val="left"/>
        <w:rPr/>
      </w:pPr>
      <w:r>
        <w:rPr/>
        <w:t>“</w:t>
      </w:r>
      <w:r>
        <w:rPr>
          <w:rFonts w:ascii="Times New Roman" w:hAnsi="Times New Roman"/>
          <w:b/>
          <w:sz w:val="20"/>
        </w:rPr>
        <w:t>Excluded Vessel</w:t>
      </w:r>
      <w:r>
        <w:rPr>
          <w:rFonts w:ascii="Times New Roman" w:hAnsi="Times New Roman"/>
          <w:sz w:val="20"/>
        </w:rPr>
        <w:t xml:space="preserve">” means any Vessel owned from time to time by the Borrower or any Guarantor (i) that is an Excluded Foreign Flag Vessel, (ii) that is under construction and has not been delivered to the Borrower or a Guarantor, (iii) that is a Low-Spec Vessel or (iv) that is an Excluded Asset, other than any such Vessel that the Borrower has elected to cause to become Collateral. </w:t>
      </w:r>
    </w:p>
    <w:p>
      <w:pPr>
        <w:pStyle w:val="TextBody"/>
        <w:bidi w:val="0"/>
        <w:spacing w:before="240" w:after="0"/>
        <w:jc w:val="left"/>
        <w:rPr/>
      </w:pPr>
      <w:r>
        <w:rPr/>
        <w:t>“</w:t>
      </w:r>
      <w:r>
        <w:rPr>
          <w:rFonts w:ascii="Times New Roman" w:hAnsi="Times New Roman"/>
          <w:b/>
          <w:sz w:val="20"/>
        </w:rPr>
        <w:t>Existing Junior Lien Intercreditor Agreement</w:t>
      </w:r>
      <w:r>
        <w:rPr>
          <w:rFonts w:ascii="Times New Roman" w:hAnsi="Times New Roman"/>
          <w:sz w:val="20"/>
        </w:rPr>
        <w:t>” means that certain Intercreditor Agreement, dated as of September 4, 2020, among the administrative agent and collateral agent under the Second Lien Credit Agreement (the “</w:t>
      </w:r>
      <w:r>
        <w:rPr>
          <w:rFonts w:ascii="Times New Roman" w:hAnsi="Times New Roman"/>
          <w:b/>
          <w:sz w:val="20"/>
        </w:rPr>
        <w:t>Second Lien Agent</w:t>
      </w:r>
      <w:r>
        <w:rPr>
          <w:rFonts w:ascii="Times New Roman" w:hAnsi="Times New Roman"/>
          <w:sz w:val="20"/>
        </w:rPr>
        <w:t xml:space="preserve">”), the Administrative Agent, the Collateral Agent, the Loan Parties and each “Additional Representative” party thereto (and as defined therein), which together with all amendments, supplements and joinders thereto is attached hereto as </w:t>
      </w:r>
      <w:r>
        <w:rPr>
          <w:rFonts w:ascii="Times New Roman" w:hAnsi="Times New Roman"/>
          <w:sz w:val="20"/>
          <w:u w:val="single"/>
        </w:rPr>
        <w:t>Exhibit K-1</w:t>
      </w:r>
      <w:r>
        <w:rPr>
          <w:rFonts w:ascii="Times New Roman" w:hAnsi="Times New Roman"/>
          <w:sz w:val="20"/>
        </w:rPr>
        <w:t xml:space="preserve">, as supplemented by that certain First Lien Joinder Agreement, dated as of the date hereof, by and between the Second Lien Agent, the Administrative Agent, the Collateral Agent and the Loan Parties party thereto. </w:t>
      </w:r>
    </w:p>
    <w:p>
      <w:pPr>
        <w:pStyle w:val="TextBody"/>
        <w:bidi w:val="0"/>
        <w:spacing w:before="240" w:after="0"/>
        <w:jc w:val="left"/>
        <w:rPr/>
      </w:pPr>
      <w:r>
        <w:rPr/>
        <w:t>“</w:t>
      </w:r>
      <w:r>
        <w:rPr>
          <w:rFonts w:ascii="Times New Roman" w:hAnsi="Times New Roman"/>
          <w:b/>
          <w:sz w:val="20"/>
        </w:rPr>
        <w:t>Existing Letter of Credit</w:t>
      </w:r>
      <w:r>
        <w:rPr>
          <w:rFonts w:ascii="Times New Roman" w:hAnsi="Times New Roman"/>
          <w:sz w:val="20"/>
        </w:rPr>
        <w:t xml:space="preserve">” means any letter of credit previously issued that (a) will remain outstanding on and after the Closing Date and (b) is listed on </w:t>
      </w:r>
      <w:r>
        <w:rPr>
          <w:rFonts w:ascii="Times New Roman" w:hAnsi="Times New Roman"/>
          <w:sz w:val="20"/>
          <w:u w:val="single"/>
        </w:rPr>
        <w:t>Schedule 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Extended Commitments</w:t>
      </w:r>
      <w:r>
        <w:rPr>
          <w:rFonts w:ascii="Times New Roman" w:hAnsi="Times New Roman"/>
          <w:sz w:val="20"/>
        </w:rPr>
        <w:t xml:space="preserve">” means the Commitments held by an Extending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Extended Loans</w:t>
      </w:r>
      <w:r>
        <w:rPr>
          <w:rFonts w:ascii="Times New Roman" w:hAnsi="Times New Roman"/>
          <w:sz w:val="20"/>
        </w:rPr>
        <w:t xml:space="preserve">” means the Revolving Loans made pursuant to Extended Commitments. </w:t>
      </w:r>
    </w:p>
    <w:p>
      <w:pPr>
        <w:pStyle w:val="TextBody"/>
        <w:bidi w:val="0"/>
        <w:spacing w:before="240" w:after="0"/>
        <w:jc w:val="left"/>
        <w:rPr/>
      </w:pPr>
      <w:r>
        <w:rPr/>
        <w:t>“</w:t>
      </w:r>
      <w:r>
        <w:rPr>
          <w:rFonts w:ascii="Times New Roman" w:hAnsi="Times New Roman"/>
          <w:b/>
          <w:sz w:val="20"/>
        </w:rPr>
        <w:t>Extending Lender</w:t>
      </w:r>
      <w:r>
        <w:rPr>
          <w:rFonts w:ascii="Times New Roman" w:hAnsi="Times New Roman"/>
          <w:sz w:val="20"/>
        </w:rPr>
        <w:t xml:space="preserve">” means each Lender accepting an Extension Offer. </w:t>
      </w:r>
    </w:p>
    <w:p>
      <w:pPr>
        <w:pStyle w:val="TextBody"/>
        <w:bidi w:val="0"/>
        <w:spacing w:before="240" w:after="0"/>
        <w:jc w:val="left"/>
        <w:rPr/>
      </w:pPr>
      <w:r>
        <w:rPr/>
        <w:t>“</w:t>
      </w:r>
      <w:r>
        <w:rPr>
          <w:rFonts w:ascii="Times New Roman" w:hAnsi="Times New Roman"/>
          <w:b/>
          <w:sz w:val="20"/>
        </w:rPr>
        <w:t>Extension</w:t>
      </w:r>
      <w:r>
        <w:rPr>
          <w:rFonts w:ascii="Times New Roman" w:hAnsi="Times New Roman"/>
          <w:sz w:val="20"/>
        </w:rPr>
        <w:t xml:space="preserve">” has the meaning specified in </w:t>
      </w:r>
      <w:r>
        <w:rPr>
          <w:rFonts w:ascii="Times New Roman" w:hAnsi="Times New Roman"/>
          <w:sz w:val="20"/>
          <w:u w:val="single"/>
        </w:rPr>
        <w:t>Section 2.18(a).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Extension Amendment</w:t>
      </w:r>
      <w:r>
        <w:rPr>
          <w:rFonts w:ascii="Times New Roman" w:hAnsi="Times New Roman"/>
          <w:sz w:val="20"/>
        </w:rPr>
        <w:t xml:space="preserve">” has the meaning specified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Extension Offer</w:t>
      </w:r>
      <w:r>
        <w:rPr>
          <w:rFonts w:ascii="Times New Roman" w:hAnsi="Times New Roman"/>
          <w:sz w:val="20"/>
        </w:rPr>
        <w:t xml:space="preserve">” has the meaning specified in </w:t>
      </w:r>
      <w:r>
        <w:rPr>
          <w:rFonts w:ascii="Times New Roman" w:hAnsi="Times New Roman"/>
          <w:sz w:val="20"/>
          <w:u w:val="single"/>
        </w:rPr>
        <w:t>Section 2.18(a).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Facility</w:t>
      </w:r>
      <w:r>
        <w:rPr>
          <w:rFonts w:ascii="Times New Roman" w:hAnsi="Times New Roman"/>
          <w:sz w:val="20"/>
        </w:rPr>
        <w:t xml:space="preserve">” means the Commitments, Revolving Loans, any Extension Commitments and Extended Loans or any Refinancing Loans, as the context may require. </w:t>
      </w:r>
    </w:p>
    <w:p>
      <w:pPr>
        <w:pStyle w:val="TextBody"/>
        <w:bidi w:val="0"/>
        <w:spacing w:before="240" w:after="0"/>
        <w:jc w:val="left"/>
        <w:rPr/>
      </w:pPr>
      <w:r>
        <w:rPr/>
        <w:t>“</w:t>
      </w:r>
      <w:r>
        <w:rPr>
          <w:rFonts w:ascii="Times New Roman" w:hAnsi="Times New Roman"/>
          <w:b/>
          <w:sz w:val="20"/>
        </w:rPr>
        <w:t>Fair Market Value</w:t>
      </w:r>
      <w:r>
        <w:rPr>
          <w:rFonts w:ascii="Times New Roman" w:hAnsi="Times New Roman"/>
          <w:sz w:val="20"/>
        </w:rPr>
        <w:t xml:space="preserve">” may be conclusively established by means of a certificate from a Responsible Officer or resolutions of the Board of Directors setting out such fair market value as determined by such Responsible Officer or such Board of Directors in good faith.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means Sections 1471 through 1474 of the Code, as of the date of this Agreement (or any amended or successor version to the extent such version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implementing the foregoing. </w:t>
      </w:r>
    </w:p>
    <w:p>
      <w:pPr>
        <w:pStyle w:val="TextBody"/>
        <w:bidi w:val="0"/>
        <w:spacing w:before="240" w:after="0"/>
        <w:jc w:val="left"/>
        <w:rPr/>
      </w:pPr>
      <w:r>
        <w:rPr/>
        <w:t>“</w:t>
      </w:r>
      <w:r>
        <w:rPr>
          <w:rFonts w:ascii="Times New Roman" w:hAnsi="Times New Roman"/>
          <w:b/>
          <w:sz w:val="20"/>
        </w:rPr>
        <w:t>Federal Funds Rate</w:t>
      </w:r>
      <w:r>
        <w:rPr>
          <w:rFonts w:ascii="Times New Roman" w:hAnsi="Times New Roman"/>
          <w:sz w:val="20"/>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sz w:val="20"/>
          <w:u w:val="single"/>
        </w:rPr>
        <w:t>provided</w:t>
      </w:r>
      <w:r>
        <w:rPr>
          <w:rFonts w:ascii="Times New Roman" w:hAnsi="Times New Roman"/>
          <w:sz w:val="20"/>
        </w:rPr>
        <w:t xml:space="preserve">, that if the Federal Funds Rate for any day is less than 0.00%, the Federal Funds Rate for such day will be deemed to be 0.00%. </w:t>
      </w:r>
    </w:p>
    <w:p>
      <w:pPr>
        <w:pStyle w:val="TextBody"/>
        <w:bidi w:val="0"/>
        <w:spacing w:before="240" w:after="0"/>
        <w:jc w:val="left"/>
        <w:rPr/>
      </w:pPr>
      <w:r>
        <w:rPr/>
        <w:t>“</w:t>
      </w:r>
      <w:r>
        <w:rPr>
          <w:rFonts w:ascii="Times New Roman" w:hAnsi="Times New Roman"/>
          <w:b/>
          <w:sz w:val="20"/>
        </w:rPr>
        <w:t>Fee Letter</w:t>
      </w:r>
      <w:r>
        <w:rPr>
          <w:rFonts w:ascii="Times New Roman" w:hAnsi="Times New Roman"/>
          <w:sz w:val="20"/>
        </w:rPr>
        <w:t xml:space="preserve">” means the Fee Letter, dated as of August 13, 2024, by and among the Borrower, the Administrative Agent and the Lenders, as amended, restated, amended and restated, supplemented or otherwise modified from time to time in accordance with the terms thereof. </w:t>
      </w:r>
    </w:p>
    <w:p>
      <w:pPr>
        <w:pStyle w:val="TextBody"/>
        <w:bidi w:val="0"/>
        <w:spacing w:before="240" w:after="0"/>
        <w:jc w:val="left"/>
        <w:rPr/>
      </w:pPr>
      <w:r>
        <w:rPr/>
        <w:t>“</w:t>
      </w:r>
      <w:r>
        <w:rPr>
          <w:rFonts w:ascii="Times New Roman" w:hAnsi="Times New Roman"/>
          <w:b/>
          <w:sz w:val="20"/>
        </w:rPr>
        <w:t>Financial Covenant</w:t>
      </w:r>
      <w:r>
        <w:rPr>
          <w:rFonts w:ascii="Times New Roman" w:hAnsi="Times New Roman"/>
          <w:sz w:val="20"/>
        </w:rPr>
        <w:t xml:space="preserve">” means the covenants set forth in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Financial Covenant Blocking Event</w:t>
      </w:r>
      <w:r>
        <w:rPr>
          <w:rFonts w:ascii="Times New Roman" w:hAnsi="Times New Roman"/>
          <w:sz w:val="20"/>
        </w:rPr>
        <w:t xml:space="preserve">” has the meaning assigned to such term in </w:t>
      </w:r>
      <w:r>
        <w:rPr>
          <w:rFonts w:ascii="Times New Roman" w:hAnsi="Times New Roman"/>
          <w:sz w:val="20"/>
          <w:u w:val="single"/>
        </w:rPr>
        <w:t>Section 9.01(b)(ii)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Financial Statements</w:t>
      </w:r>
      <w:r>
        <w:rPr>
          <w:rFonts w:ascii="Times New Roman" w:hAnsi="Times New Roman"/>
          <w:sz w:val="20"/>
        </w:rPr>
        <w:t xml:space="preserve">” means the audited consolidated balance sheets of the Borrower as of December 31, 2023, the related consolidated statements of operations, changes in stockholders’ equity and cash flows for the Borrower for the fiscal year then ended.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First Amendment Collateral Agreement</w:t>
      </w:r>
      <w:r>
        <w:rPr>
          <w:rFonts w:ascii="Times New Roman" w:hAnsi="Times New Roman"/>
          <w:color w:val="0000FF"/>
          <w:sz w:val="20"/>
          <w:u w:val="single"/>
          <w:bdr w:val="double" w:sz="2" w:space="1" w:color="000000"/>
        </w:rPr>
        <w:t>” means that certain amended and restated first lien guaranty and collateral agreement dated as of the First Amendment Effective Date, made by the Borrower and the Loan Parties from time to time party thereto, in favor of Wilmington Trust, National Association, as Collateral Trustee under the First Amendment Collateral Trust Agreement, as the same may be amended, restated, amended and restated, supplemented or otherwise modified from time to time.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First Amendment Collateral Trust Agreement</w:t>
      </w:r>
      <w:r>
        <w:rPr>
          <w:rFonts w:ascii="Times New Roman" w:hAnsi="Times New Roman"/>
          <w:color w:val="0000FF"/>
          <w:sz w:val="20"/>
          <w:u w:val="single"/>
          <w:bdr w:val="double" w:sz="2" w:space="1" w:color="000000"/>
        </w:rPr>
        <w:t>” means that certain collateral trust agreement dated as of the First Amendment Effective Date, made by and among the Borrower, the Guarantors from time to time party thereto, the Administrative Agent, Stonebriar Commercial Finance LLC, as administrative agent under the Second Lien Term Loan Credit Agreement (as defined therein), and Wilmington Trust, National Association, as Collateral Trustee, as the same may be amended, restated, amended and restated, supplemented or otherwise modified from time to time.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First Amendment Effective Date</w:t>
      </w:r>
      <w:r>
        <w:rPr>
          <w:rFonts w:ascii="Times New Roman" w:hAnsi="Times New Roman"/>
          <w:color w:val="0000FF"/>
          <w:sz w:val="20"/>
          <w:u w:val="single"/>
          <w:bdr w:val="double" w:sz="2" w:space="1" w:color="000000"/>
        </w:rPr>
        <w:t>”means December 27, 2024.</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First Amendment Junior Lien Intercreditor Agreement</w:t>
      </w:r>
      <w:r>
        <w:rPr>
          <w:rFonts w:ascii="Times New Roman" w:hAnsi="Times New Roman"/>
          <w:color w:val="0000FF"/>
          <w:sz w:val="20"/>
          <w:u w:val="single"/>
          <w:bdr w:val="double" w:sz="2" w:space="1" w:color="000000"/>
        </w:rPr>
        <w:t>” means that certain junior lien intercreditor agreement dated as of the First Amendment Effective Date, made by and among the Borrower, the Guarantors from time to time party thereto, the Administrative Agent, Stonebriar Commercial Finance LLC, as administrative agent under the Second Lien Term Loan Credit Agreement (as defined therein), Wilmington Trust, National Association, as Collateral Trustee under the First Amendment Collateral Trust Agreement, and each of the other parties named therein, as the same may be amended, restated, amended and restated, supplemented or otherwise modified from time to time.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First Amendment A&amp;R Vessel Mortgages</w:t>
      </w:r>
      <w:r>
        <w:rPr>
          <w:rFonts w:ascii="Times New Roman" w:hAnsi="Times New Roman"/>
          <w:color w:val="0000FF"/>
          <w:sz w:val="20"/>
          <w:u w:val="single"/>
          <w:bdr w:val="double" w:sz="2" w:space="1" w:color="000000"/>
        </w:rPr>
        <w:t>” means each amended and restated first preferred mortgage or amended and restated first preferred fleet mortgage, dated as of the First Amendment Effective Date, made by and between each Collateral Vessel Owner and Wilmington Trust, National Association, as Collateral Trustee, as the same may be amended, restated, amended and restated, supplemented or otherwise modified from time to time.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First Lien Debt</w:t>
      </w:r>
      <w:r>
        <w:rPr>
          <w:rFonts w:ascii="Times New Roman" w:hAnsi="Times New Roman"/>
          <w:sz w:val="20"/>
        </w:rPr>
        <w:t xml:space="preserve">” means Indebtedness that is secured by a Lien on the Collateral on a pari passu basis with the Liens securing the Obligations and is subject to an Equal Priority Intercreditor Agreement and, if requested by the Borrower, the Collateral Trust Agreement. </w:t>
      </w:r>
    </w:p>
    <w:p>
      <w:pPr>
        <w:pStyle w:val="TextBody"/>
        <w:bidi w:val="0"/>
        <w:spacing w:before="240" w:after="0"/>
        <w:jc w:val="left"/>
        <w:rPr/>
      </w:pPr>
      <w:r>
        <w:rPr/>
        <w:t>“</w:t>
      </w:r>
      <w:r>
        <w:rPr>
          <w:rFonts w:ascii="Times New Roman" w:hAnsi="Times New Roman"/>
          <w:b/>
          <w:sz w:val="20"/>
        </w:rPr>
        <w:t>Fixed Charge Coverage Ratio</w:t>
      </w:r>
      <w:r>
        <w:rPr>
          <w:rFonts w:ascii="Times New Roman" w:hAnsi="Times New Roman"/>
          <w:sz w:val="20"/>
        </w:rPr>
        <w:t>” means, with respect to any Person on any determination date, the ratio of Consolidated Adjusted EBITDA of such Person for the most recent four consecutive fiscal quarters ending immediately prior to such determination date (the “</w:t>
      </w:r>
      <w:r>
        <w:rPr>
          <w:rFonts w:ascii="Times New Roman" w:hAnsi="Times New Roman"/>
          <w:b/>
          <w:sz w:val="20"/>
        </w:rPr>
        <w:t>reference period</w:t>
      </w:r>
      <w:r>
        <w:rPr>
          <w:rFonts w:ascii="Times New Roman" w:hAnsi="Times New Roman"/>
          <w:sz w:val="20"/>
        </w:rPr>
        <w:t xml:space="preserve">”) for which consolidated financial statements are available (which may, at the Borrower’s election, be internal consolidated financial statements) to the Fixed Charges of such Person for the reference period. In the event that the Borrower or any Restricted Subsidiary incurs, assumes, guarantees, redeems, defeases, retires or extinguishes any Indebtedness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than Indebtedness incurred under any revolving credit facility unless such Indebtedness has been permanently repaid and has not been replaced), has caused any Reserved Indebtedness Amount to be deemed to be incurred during such period or issues or redeems Disqualified Equity Interests or Preferred Stock subsequent to the commencement of the reference period but prior to or simultaneously with the event for which the calculation of the Fixed Charge Coverage Ratio is made (the “</w:t>
      </w:r>
      <w:r>
        <w:rPr>
          <w:rFonts w:ascii="Times New Roman" w:hAnsi="Times New Roman"/>
          <w:b/>
          <w:sz w:val="20"/>
        </w:rPr>
        <w:t>Fixed Charge Coverage Ratio Calculation Date</w:t>
      </w:r>
      <w:r>
        <w:rPr>
          <w:rFonts w:ascii="Times New Roman" w:hAnsi="Times New Roman"/>
          <w:sz w:val="20"/>
        </w:rPr>
        <w:t xml:space="preserve">”), then the Fixed Charge Coverage Ratio shall be calculated giving pro forma effect to such incurrence, deemed incurrence, assumption, guarantee, redemption, defeasance, retirement or extinguishment of Indebtedness, or such issuance or redemption of Disqualified Equity Interests or Preferred Stock, as if the same had occurred at the beginning of the applicable four-quarter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ratio-based test.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whenever pro forma effect is to be given to a transaction, the pro forma calculations shall be made in good faith by a responsible financial or chief accounting officer of the Borrower (and may include, for the avoidance of doubt, cost savings, operating expenses reductions and synergies resulting from such transactions which is being given pro forma effect) and will include any QSC Adjustment. If any Indebtedness bears a floating rate of interest and is being given pro forma effect, the interest on such Indebtedness shall be calculated as if the rate in effect on the Fixed Charge Coverage Ratio Calculation Date had been the applicable rate for the entire reference period (taking into account any Swap Obligations applicable to such Indebtedness).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reference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may designate. </w:t>
      </w:r>
    </w:p>
    <w:p>
      <w:pPr>
        <w:pStyle w:val="TextBody"/>
        <w:bidi w:val="0"/>
        <w:spacing w:before="240" w:after="0"/>
        <w:jc w:val="left"/>
        <w:rPr/>
      </w:pPr>
      <w:r>
        <w:rPr/>
        <w:t>“</w:t>
      </w:r>
      <w:r>
        <w:rPr>
          <w:rFonts w:ascii="Times New Roman" w:hAnsi="Times New Roman"/>
          <w:b/>
          <w:sz w:val="20"/>
        </w:rPr>
        <w:t>Fixed Charges</w:t>
      </w:r>
      <w:r>
        <w:rPr>
          <w:rFonts w:ascii="Times New Roman" w:hAnsi="Times New Roman"/>
          <w:sz w:val="20"/>
        </w:rPr>
        <w:t xml:space="preserve">” means, with respect to any Person for any period, the sum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all cash dividends or other distributions paid (excluding items eliminated in consolidation) on any series of Preferred Stock of any Restricted Subsidiary of such Person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(3) all cash dividends or other distributions paid (excluding items eliminated in consolidation) on any series of Disqualified Equity Interests of such Person during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(4) all scheduled amortization payments in respect of Indebtedness for borrowed money during such period. </w:t>
      </w:r>
    </w:p>
    <w:p>
      <w:pPr>
        <w:pStyle w:val="TextBody"/>
        <w:bidi w:val="0"/>
        <w:spacing w:before="240" w:after="0"/>
        <w:jc w:val="left"/>
        <w:rPr/>
      </w:pPr>
      <w:r>
        <w:rPr/>
        <w:t>“</w:t>
      </w:r>
      <w:r>
        <w:rPr>
          <w:rFonts w:ascii="Times New Roman" w:hAnsi="Times New Roman"/>
          <w:b/>
          <w:sz w:val="20"/>
        </w:rPr>
        <w:t>Foreign Corporate Subsidiary</w:t>
      </w:r>
      <w:r>
        <w:rPr>
          <w:rFonts w:ascii="Times New Roman" w:hAnsi="Times New Roman"/>
          <w:sz w:val="20"/>
        </w:rPr>
        <w:t xml:space="preserve">” means a Foreign Subsidiary that is treated as a corporation for U.S. federal income tax purposes. </w:t>
      </w:r>
    </w:p>
    <w:p>
      <w:pPr>
        <w:pStyle w:val="TextBody"/>
        <w:bidi w:val="0"/>
        <w:spacing w:before="240" w:after="0"/>
        <w:jc w:val="left"/>
        <w:rPr/>
      </w:pPr>
      <w:r>
        <w:rPr/>
        <w:t>“</w:t>
      </w:r>
      <w:r>
        <w:rPr>
          <w:rFonts w:ascii="Times New Roman" w:hAnsi="Times New Roman"/>
          <w:b/>
          <w:sz w:val="20"/>
        </w:rPr>
        <w:t>Foreign Lender</w:t>
      </w:r>
      <w:r>
        <w:rPr>
          <w:rFonts w:ascii="Times New Roman" w:hAnsi="Times New Roman"/>
          <w:sz w:val="20"/>
        </w:rPr>
        <w:t xml:space="preserve">” has the meaning specified in </w:t>
      </w:r>
      <w:r>
        <w:rPr>
          <w:rFonts w:ascii="Times New Roman" w:hAnsi="Times New Roman"/>
          <w:sz w:val="20"/>
          <w:u w:val="single"/>
        </w:rPr>
        <w:t>Section 3.01(b)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Foreign Pension Plan</w:t>
      </w:r>
      <w:r>
        <w:rPr>
          <w:rFonts w:ascii="Times New Roman" w:hAnsi="Times New Roman"/>
          <w:sz w:val="20"/>
        </w:rPr>
        <w:t xml:space="preserve">” means any plan, fund (including any superannuation fund) or other similar program established or maintained outside the United States by any Loan Party or any one or more of its Subsidiaries primarily for the benefit of its or their employees residing outside the United States, which plan, fund or other similar program provides, or results in, defined benefit retirement income, other than any such plan that is sponsored, maintained or administered by a Governmental Authority, and which plan is not subject to United States Law. </w:t>
      </w:r>
    </w:p>
    <w:p>
      <w:pPr>
        <w:pStyle w:val="TextBody"/>
        <w:bidi w:val="0"/>
        <w:spacing w:before="240" w:after="0"/>
        <w:jc w:val="left"/>
        <w:rPr/>
      </w:pPr>
      <w:r>
        <w:rPr/>
        <w:t>“</w:t>
      </w:r>
      <w:r>
        <w:rPr>
          <w:rFonts w:ascii="Times New Roman" w:hAnsi="Times New Roman"/>
          <w:b/>
          <w:sz w:val="20"/>
        </w:rPr>
        <w:t>Foreign Plan Event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the accrued benefit obligations of a Foreign Pension Plan (based on those assumptions used to fund that Foreign Pension Plan or, if that Foreign Pension Plan is unfunded, based on those assumptions used for financial accounting statement purposes or, if accrued benefit obligations are not calculated for financial accounting purposes, based on such reasonable assumptions as may be approved by the relevant entity’s independent auditors for these purposes) materially exceeding the assets of such Foreign Pension Plan and such event would reasonably be expected to result in a Material Adverse Effect; or </w:t>
      </w:r>
    </w:p>
    <w:p>
      <w:pPr>
        <w:pStyle w:val="TextBody"/>
        <w:bidi w:val="0"/>
        <w:spacing w:before="120" w:after="0"/>
        <w:jc w:val="left"/>
        <w:rPr>
          <w:rFonts w:ascii="Times New Roman" w:hAnsi="Times New Roman"/>
          <w:sz w:val="20"/>
        </w:rPr>
      </w:pPr>
      <w:r>
        <w:rPr>
          <w:rFonts w:ascii="Times New Roman" w:hAnsi="Times New Roman"/>
          <w:sz w:val="20"/>
        </w:rPr>
        <w:t xml:space="preserve">(2) the occurrence of an event with respect to the funding or maintenance of a Foreign Pension Plan that could reasonably be expected to result in a Material Adverse Effect. </w:t>
      </w:r>
    </w:p>
    <w:p>
      <w:pPr>
        <w:pStyle w:val="TextBody"/>
        <w:bidi w:val="0"/>
        <w:spacing w:before="240" w:after="0"/>
        <w:jc w:val="left"/>
        <w:rPr/>
      </w:pPr>
      <w:r>
        <w:rPr/>
        <w:t>“</w:t>
      </w:r>
      <w:r>
        <w:rPr>
          <w:rFonts w:ascii="Times New Roman" w:hAnsi="Times New Roman"/>
          <w:b/>
          <w:sz w:val="20"/>
        </w:rPr>
        <w:t>Foreign Subsidiary</w:t>
      </w:r>
      <w:r>
        <w:rPr>
          <w:rFonts w:ascii="Times New Roman" w:hAnsi="Times New Roman"/>
          <w:sz w:val="20"/>
        </w:rPr>
        <w:t xml:space="preserve">” means any direct or indirect Subsidiary of the Borrower that is not a Domestic Subsidiary. </w:t>
      </w:r>
    </w:p>
    <w:p>
      <w:pPr>
        <w:pStyle w:val="TextBody"/>
        <w:bidi w:val="0"/>
        <w:spacing w:before="240" w:after="0"/>
        <w:jc w:val="left"/>
        <w:rPr/>
      </w:pPr>
      <w:r>
        <w:rPr/>
        <w:t>“</w:t>
      </w:r>
      <w:r>
        <w:rPr>
          <w:rFonts w:ascii="Times New Roman" w:hAnsi="Times New Roman"/>
          <w:b/>
          <w:sz w:val="20"/>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b/>
          <w:sz w:val="20"/>
        </w:rPr>
        <w:t>Fronting Exposure</w:t>
      </w:r>
      <w:r>
        <w:rPr>
          <w:rFonts w:ascii="Times New Roman" w:hAnsi="Times New Roman"/>
          <w:sz w:val="20"/>
        </w:rPr>
        <w:t xml:space="preserve">” means, at any time there is a Defaulting Lender, with respect to the Issuing Banks, such Defaulting Lender’s Pro Rata Share of the outstanding Letters of Credit Obligations other than such Obligations as to which such Defaulting Lender’s participation obligation has been reallocated to other Lenders or Cash Collateralized in accordance with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FSHCO</w:t>
      </w:r>
      <w:r>
        <w:rPr>
          <w:rFonts w:ascii="Times New Roman" w:hAnsi="Times New Roman"/>
          <w:sz w:val="20"/>
        </w:rPr>
        <w:t xml:space="preserve">” means any direct or indirect Subsidiary that substantially all of the assets of which consist of Equity Interests and/or Indebtedness of one or more direct or indirect Foreign Corporate Subsidiaries. </w:t>
      </w:r>
    </w:p>
    <w:p>
      <w:pPr>
        <w:pStyle w:val="TextBody"/>
        <w:bidi w:val="0"/>
        <w:spacing w:before="240" w:after="0"/>
        <w:jc w:val="left"/>
        <w:rPr/>
      </w:pPr>
      <w:r>
        <w:rPr/>
        <w:t>“</w:t>
      </w:r>
      <w:r>
        <w:rPr>
          <w:rFonts w:ascii="Times New Roman" w:hAnsi="Times New Roman"/>
          <w:b/>
          <w:sz w:val="20"/>
        </w:rPr>
        <w:t>Fund</w:t>
      </w:r>
      <w:r>
        <w:rPr>
          <w:rFonts w:ascii="Times New Roman" w:hAnsi="Times New Roman"/>
          <w:sz w:val="20"/>
        </w:rPr>
        <w:t xml:space="preserve">” means any Person (other than a natural person) that is engaged in making, purchasing, holding or otherwise investing in commercial loans and similar extensions of credit in the ordinary course.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as in effect from time to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the Borrower notifies the Administrative Agent that the Borrower requests an amendment to any provision of a Loan Document to eliminate the effect of any change occurring after the Closing Date in GAAP or in the application thereof (including through the adoption of IFRS) (any such change, an “</w:t>
      </w:r>
      <w:r>
        <w:rPr>
          <w:rFonts w:ascii="Times New Roman" w:hAnsi="Times New Roman"/>
          <w:b/>
          <w:sz w:val="20"/>
        </w:rPr>
        <w:t>Accounting Change</w:t>
      </w:r>
      <w:r>
        <w:rPr>
          <w:rFonts w:ascii="Times New Roman" w:hAnsi="Times New Roman"/>
          <w:sz w:val="20"/>
        </w:rPr>
        <w:t xml:space="preserve">”)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the adoption of IFRS), then such provision shall be interpreted on the basis of GAAP as in effect and applied immediately before such change shall have become effective until such notice shall have been withdrawn or such provision amended in accordance herewith.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the government of the United States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left"/>
        <w:rPr/>
      </w:pPr>
      <w:r>
        <w:rPr/>
        <w:t>“</w:t>
      </w:r>
      <w:r>
        <w:rPr>
          <w:rFonts w:ascii="Times New Roman" w:hAnsi="Times New Roman"/>
          <w:b/>
          <w:sz w:val="20"/>
        </w:rPr>
        <w:t>Grant Event</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formation or acquisition by a Loan Party of a new wholly-owned Subsidiary (other than an Excluded Subsidiary); </w:t>
      </w:r>
    </w:p>
    <w:p>
      <w:pPr>
        <w:pStyle w:val="TextBody"/>
        <w:bidi w:val="0"/>
        <w:spacing w:before="120" w:after="0"/>
        <w:jc w:val="left"/>
        <w:rPr>
          <w:rFonts w:ascii="Times New Roman" w:hAnsi="Times New Roman"/>
          <w:sz w:val="20"/>
        </w:rPr>
      </w:pPr>
      <w:r>
        <w:rPr>
          <w:rFonts w:ascii="Times New Roman" w:hAnsi="Times New Roman"/>
          <w:sz w:val="20"/>
        </w:rPr>
        <w:t xml:space="preserve">(b) the designation in accordance with </w:t>
      </w:r>
      <w:r>
        <w:rPr>
          <w:rFonts w:ascii="Times New Roman" w:hAnsi="Times New Roman"/>
          <w:sz w:val="20"/>
          <w:u w:val="single"/>
        </w:rPr>
        <w:t>Section 6.13</w:t>
      </w:r>
      <w:r>
        <w:rPr>
          <w:rFonts w:ascii="Times New Roman" w:hAnsi="Times New Roman"/>
          <w:sz w:val="20"/>
        </w:rPr>
        <w:t xml:space="preserve"> of a wholly-owned Subsidiary (other than an Excluded Subsidiary) of any Loan Party as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(c) any Person becoming a wholly-owned Subsidiary (other than an Excluded Subsidiary); or </w:t>
      </w:r>
    </w:p>
    <w:p>
      <w:pPr>
        <w:pStyle w:val="TextBody"/>
        <w:bidi w:val="0"/>
        <w:spacing w:before="120" w:after="0"/>
        <w:jc w:val="left"/>
        <w:rPr>
          <w:rFonts w:ascii="Times New Roman" w:hAnsi="Times New Roman"/>
          <w:sz w:val="20"/>
        </w:rPr>
      </w:pPr>
      <w:r>
        <w:rPr>
          <w:rFonts w:ascii="Times New Roman" w:hAnsi="Times New Roman"/>
          <w:sz w:val="20"/>
        </w:rPr>
        <w:t xml:space="preserve">(d) any wholly-owned Restricted Subsidiary of a Loan Party ceasing to be an Excluded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Granting Lender</w:t>
      </w:r>
      <w:r>
        <w:rPr>
          <w:rFonts w:ascii="Times New Roman" w:hAnsi="Times New Roman"/>
          <w:sz w:val="20"/>
        </w:rPr>
        <w:t xml:space="preserve">” has the meaning specified in </w:t>
      </w:r>
      <w:r>
        <w:rPr>
          <w:rFonts w:ascii="Times New Roman" w:hAnsi="Times New Roman"/>
          <w:sz w:val="20"/>
          <w:u w:val="single"/>
        </w:rPr>
        <w:t>Section 11.07(g).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xml:space="preserve">” means, any obligation, contingent or otherwise, of any Person directly or indirectly guaranteeing any Indebtedness of any other Person, including any such obligation, direct or indirect, contingent or otherwise,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(a) 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(b) entered into primarily for purposes of assuring in any other manner the obligee of such Indebtedness of the payment thereof or to protect such obligee against loss in respect thereof (in whole or in part); </w:t>
      </w:r>
      <w:r>
        <w:rPr>
          <w:rFonts w:ascii="Times New Roman" w:hAnsi="Times New Roman"/>
          <w:i/>
          <w:sz w:val="20"/>
        </w:rPr>
        <w:t>provided, however</w:t>
      </w:r>
      <w:r>
        <w:rPr>
          <w:rFonts w:ascii="Times New Roman" w:hAnsi="Times New Roman"/>
          <w:sz w:val="20"/>
        </w:rPr>
        <w:t xml:space="preserve">, that the term “Guarantee” will not include (x) endorsements for collection or deposit in the ordinary course of business or consistent with past practice and, (y) standard contractual indemnities or product warranties provided in the ordinary course of business, or (z) pledges or grants of liens in any assets of a Person as long as the obligations benefiting from such pledge or lien are otherwise non-recourse (or foreign law equivalent) to such Person and </w:t>
      </w:r>
      <w:r>
        <w:rPr>
          <w:rFonts w:ascii="Times New Roman" w:hAnsi="Times New Roman"/>
          <w:i/>
          <w:sz w:val="20"/>
        </w:rPr>
        <w:t xml:space="preserve">provided, further, </w:t>
      </w:r>
      <w:r>
        <w:rPr>
          <w:rFonts w:ascii="Times New Roman" w:hAnsi="Times New Roman"/>
          <w:sz w:val="20"/>
        </w:rPr>
        <w:t xml:space="preserve">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 </w:t>
      </w:r>
    </w:p>
    <w:p>
      <w:pPr>
        <w:pStyle w:val="TextBody"/>
        <w:bidi w:val="0"/>
        <w:spacing w:before="240" w:after="0"/>
        <w:jc w:val="left"/>
        <w:rPr/>
      </w:pPr>
      <w:r>
        <w:rPr/>
        <w:t>“</w:t>
      </w:r>
      <w:r>
        <w:rPr>
          <w:rFonts w:ascii="Times New Roman" w:hAnsi="Times New Roman"/>
          <w:b/>
          <w:sz w:val="20"/>
        </w:rPr>
        <w:t>Guarantors</w:t>
      </w:r>
      <w:r>
        <w:rPr>
          <w:rFonts w:ascii="Times New Roman" w:hAnsi="Times New Roman"/>
          <w:sz w:val="20"/>
        </w:rPr>
        <w:t xml:space="preserve">” means each Restricted Subsidiary that executed a counterpart to the Guaranty (or a joinder thereto) on the Closing Date or thereafter pursuant to </w:t>
      </w:r>
      <w:r>
        <w:rPr>
          <w:rFonts w:ascii="Times New Roman" w:hAnsi="Times New Roman"/>
          <w:sz w:val="20"/>
          <w:u w:val="single"/>
        </w:rPr>
        <w:t>Section 6.11</w:t>
      </w:r>
      <w:r>
        <w:rPr>
          <w:rFonts w:ascii="Times New Roman" w:hAnsi="Times New Roman"/>
          <w:sz w:val="20"/>
        </w:rPr>
        <w:t xml:space="preserve">, in each case, other than any Excluded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Guarantor shall not be released from its Guaranty by virtue of becoming an Excluded Subsidiary under </w:t>
      </w:r>
      <w:r>
        <w:rPr>
          <w:rFonts w:ascii="Times New Roman" w:hAnsi="Times New Roman"/>
          <w:sz w:val="20"/>
          <w:u w:val="single"/>
        </w:rPr>
        <w:t>clause (i)</w:t>
      </w:r>
      <w:r>
        <w:rPr>
          <w:rFonts w:ascii="Times New Roman" w:hAnsi="Times New Roman"/>
          <w:sz w:val="20"/>
        </w:rPr>
        <w:t xml:space="preserve"> of the definition of Excluded Subsidiary if (x) the transaction which caused the Restricted Subsidiary to cease to be a wholly-owned Subsidiary of the Borrower or a Guarantor was done in contemplation of the release and (y) the Equity Interests in such Restricted Subsidiary that are not held by a Borrower or Guarantor are owned by an Affiliate thereof. </w:t>
      </w:r>
    </w:p>
    <w:p>
      <w:pPr>
        <w:pStyle w:val="TextBody"/>
        <w:bidi w:val="0"/>
        <w:spacing w:before="240" w:after="0"/>
        <w:jc w:val="left"/>
        <w:rPr/>
      </w:pPr>
      <w:r>
        <w:rPr/>
        <w:t>“</w:t>
      </w:r>
      <w:r>
        <w:rPr>
          <w:rFonts w:ascii="Times New Roman" w:hAnsi="Times New Roman"/>
          <w:b/>
          <w:sz w:val="20"/>
        </w:rPr>
        <w:t>Guaranty</w:t>
      </w:r>
      <w:r>
        <w:rPr>
          <w:rFonts w:ascii="Times New Roman" w:hAnsi="Times New Roman"/>
          <w:sz w:val="20"/>
        </w:rPr>
        <w:t xml:space="preserve">” means (a) the guaranty made by the Guarantors from time to time party thereto in favor of the Administrative Agent on behalf of the Secured Parties pursuant to the Collateral Agreement and (b) each other guaranty and guaranty supplement delivered pursuant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Guaranty Release Event</w:t>
      </w:r>
      <w:r>
        <w:rPr>
          <w:rFonts w:ascii="Times New Roman" w:hAnsi="Times New Roman"/>
          <w:sz w:val="20"/>
        </w:rPr>
        <w:t xml:space="preserve">” has the meaning specified in </w:t>
      </w:r>
      <w:r>
        <w:rPr>
          <w:rFonts w:ascii="Times New Roman" w:hAnsi="Times New Roman"/>
          <w:sz w:val="20"/>
          <w:u w:val="single"/>
        </w:rPr>
        <w:t>Section 10.11(a)(iv)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Hazardous Materials</w:t>
      </w:r>
      <w:r>
        <w:rPr>
          <w:rFonts w:ascii="Times New Roman" w:hAnsi="Times New Roman"/>
          <w:sz w:val="20"/>
        </w:rPr>
        <w:t xml:space="preserve">”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due to their deleterious or dangerous properties or characteristics, including petroleum or petroleum products (including gasoline, crude oil or any fraction thereof), asbestos or asbestos-containing materials, polychlorinated biphenyls, radon gas and urea formaldehyde. </w:t>
      </w:r>
    </w:p>
    <w:p>
      <w:pPr>
        <w:pStyle w:val="TextBody"/>
        <w:bidi w:val="0"/>
        <w:spacing w:before="240" w:after="0"/>
        <w:jc w:val="left"/>
        <w:rPr/>
      </w:pPr>
      <w:r>
        <w:rPr/>
        <w:t>“</w:t>
      </w:r>
      <w:r>
        <w:rPr>
          <w:rFonts w:ascii="Times New Roman" w:hAnsi="Times New Roman"/>
          <w:b/>
          <w:sz w:val="20"/>
        </w:rPr>
        <w:t>Hedge Agreement</w:t>
      </w:r>
      <w:r>
        <w:rPr>
          <w:rFonts w:ascii="Times New Roman" w:hAnsi="Times New Roman"/>
          <w:sz w:val="20"/>
        </w:rPr>
        <w:t xml:space="preserve">” means any agreement with respect to (a) any and all rate swap transactions, basis swaps, credit derivative transactions, forward rate transactions, commodity swaps, commodity options, forward commodity contracts, equity or equity index swaps or options, any call or capped call option warrant or substantively equivalent derivative transactions,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 </w:t>
      </w:r>
    </w:p>
    <w:p>
      <w:pPr>
        <w:pStyle w:val="TextBody"/>
        <w:bidi w:val="0"/>
        <w:spacing w:before="240" w:after="0"/>
        <w:jc w:val="left"/>
        <w:rPr/>
      </w:pPr>
      <w:r>
        <w:rPr/>
        <w:t>“</w:t>
      </w:r>
      <w:r>
        <w:rPr>
          <w:rFonts w:ascii="Times New Roman" w:hAnsi="Times New Roman"/>
          <w:b/>
          <w:sz w:val="20"/>
        </w:rPr>
        <w:t>Hedge Bank</w:t>
      </w:r>
      <w:r>
        <w:rPr>
          <w:rFonts w:ascii="Times New Roman" w:hAnsi="Times New Roman"/>
          <w:sz w:val="20"/>
        </w:rPr>
        <w:t xml:space="preserve">” means any Person that is an Agent, a Lender, a Lead Arranger or an Affiliate of any of the foregoing on the Closing Date (with respect to any Secured Hedge Agreement entered into on or prior to the Closing Date) or at the time it enters into a Secured Hedge Agreement, in its capacity as a party thereto, whether or not such Person subsequently ceases to be an Agent, a Lender, a Lead Arranger or an Affiliate of any of the foregoing; </w:t>
      </w:r>
      <w:r>
        <w:rPr>
          <w:rFonts w:ascii="Times New Roman" w:hAnsi="Times New Roman"/>
          <w:i/>
          <w:sz w:val="20"/>
        </w:rPr>
        <w:t>provided</w:t>
      </w:r>
      <w:r>
        <w:rPr>
          <w:rFonts w:ascii="Times New Roman" w:hAnsi="Times New Roman"/>
          <w:sz w:val="20"/>
        </w:rPr>
        <w:t xml:space="preserve">, at the time of entering into a Secured Hedge Agreement, no Hedge Bank shall be a Defaulting Lender. </w:t>
      </w:r>
    </w:p>
    <w:p>
      <w:pPr>
        <w:pStyle w:val="TextBody"/>
        <w:bidi w:val="0"/>
        <w:spacing w:before="240" w:after="0"/>
        <w:jc w:val="left"/>
        <w:rPr/>
      </w:pPr>
      <w:r>
        <w:rPr/>
        <w:t>“</w:t>
      </w:r>
      <w:r>
        <w:rPr>
          <w:rFonts w:ascii="Times New Roman" w:hAnsi="Times New Roman"/>
          <w:b/>
          <w:sz w:val="20"/>
        </w:rPr>
        <w:t>High Specification</w:t>
      </w:r>
      <w:r>
        <w:rPr>
          <w:rFonts w:ascii="Times New Roman" w:hAnsi="Times New Roman"/>
          <w:sz w:val="20"/>
        </w:rPr>
        <w:t>” or “</w:t>
      </w:r>
      <w:r>
        <w:rPr>
          <w:rFonts w:ascii="Times New Roman" w:hAnsi="Times New Roman"/>
          <w:b/>
          <w:sz w:val="20"/>
        </w:rPr>
        <w:t>High-Spec</w:t>
      </w:r>
      <w:r>
        <w:rPr>
          <w:rFonts w:ascii="Times New Roman" w:hAnsi="Times New Roman"/>
          <w:sz w:val="20"/>
        </w:rPr>
        <w:t xml:space="preserve">” means, when referring to a Vessel, a Vessel with cargo-carrying capacity of between 3,500 and 5,000 DWT (i.e., primarily 265 to 280 class OSV notations), and dynamic-positioning systems with a DP-2 classification or higher. For the avoidance of doubt, any MPSV is a High-Spec Vessel (other than MPSVs which are Ultra High-Spec Vessels). </w:t>
      </w:r>
    </w:p>
    <w:p>
      <w:pPr>
        <w:pStyle w:val="TextBody"/>
        <w:bidi w:val="0"/>
        <w:spacing w:before="240" w:after="0"/>
        <w:jc w:val="left"/>
        <w:rPr/>
      </w:pPr>
      <w:r>
        <w:rPr/>
        <w:t>“</w:t>
      </w:r>
      <w:r>
        <w:rPr>
          <w:rFonts w:ascii="Times New Roman" w:hAnsi="Times New Roman"/>
          <w:b/>
          <w:sz w:val="20"/>
        </w:rPr>
        <w:t>Holding Company</w:t>
      </w:r>
      <w:r>
        <w:rPr>
          <w:rFonts w:ascii="Times New Roman" w:hAnsi="Times New Roman"/>
          <w:sz w:val="20"/>
        </w:rPr>
        <w:t xml:space="preserve">” means any Person so long as such Person directly or indirectly holds 100% of the total voting power of the Voting Stock of the Borrower,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Identified Transaction</w:t>
      </w:r>
      <w:r>
        <w:rPr>
          <w:rFonts w:ascii="Times New Roman" w:hAnsi="Times New Roman"/>
          <w:sz w:val="20"/>
        </w:rPr>
        <w:t xml:space="preserve">” has the meaning specified in </w:t>
      </w:r>
      <w:r>
        <w:rPr>
          <w:rFonts w:ascii="Times New Roman" w:hAnsi="Times New Roman"/>
          <w:sz w:val="20"/>
          <w:u w:val="single"/>
        </w:rPr>
        <w:t>Section 10.11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IFRS</w:t>
      </w:r>
      <w:r>
        <w:rPr>
          <w:rFonts w:ascii="Times New Roman" w:hAnsi="Times New Roman"/>
          <w:sz w:val="20"/>
        </w:rPr>
        <w:t xml:space="preserve">”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 </w:t>
      </w:r>
    </w:p>
    <w:p>
      <w:pPr>
        <w:pStyle w:val="TextBody"/>
        <w:bidi w:val="0"/>
        <w:spacing w:before="240" w:after="0"/>
        <w:jc w:val="left"/>
        <w:rPr/>
      </w:pPr>
      <w:r>
        <w:rPr/>
        <w:t>“</w:t>
      </w:r>
      <w:r>
        <w:rPr>
          <w:rFonts w:ascii="Times New Roman" w:hAnsi="Times New Roman"/>
          <w:b/>
          <w:sz w:val="20"/>
        </w:rPr>
        <w:t>Immaterial Subsidiary</w:t>
      </w:r>
      <w:r>
        <w:rPr>
          <w:rFonts w:ascii="Times New Roman" w:hAnsi="Times New Roman"/>
          <w:sz w:val="20"/>
        </w:rPr>
        <w:t xml:space="preserve">” means, at any date of determination, each Restricted Subsidiary of the Borrower that (i) has not guaranteed any other Indebtedness of the Borrower and (ii) has Total Assets and revenues, in each case, of less than 3.5% of Total Assets and revenues and, together with all other Immaterial Subsidiaries, has Total Assets and revenues of less than 3.5% of Total Assets and revenues, in each case, measured (1) at the end of the most recent fiscal period for which consolidated financial statements are available (which may, at the Borrower’s election, be internal consolidated financial statements) on a pro forma basis giving effect to any acquisitions or dispositions of assets, Vessels, companies, division or lines of business since such balance sheet date or the start of such four quarter period, as applicable, and (2) as of the date of acquisition of any such Restricted Subsidiary. </w:t>
      </w:r>
    </w:p>
    <w:p>
      <w:pPr>
        <w:pStyle w:val="TextBody"/>
        <w:bidi w:val="0"/>
        <w:spacing w:before="240" w:after="0"/>
        <w:jc w:val="left"/>
        <w:rPr/>
      </w:pPr>
      <w:r>
        <w:rPr/>
        <w:t>“</w:t>
      </w:r>
      <w:r>
        <w:rPr>
          <w:rFonts w:ascii="Times New Roman" w:hAnsi="Times New Roman"/>
          <w:b/>
          <w:sz w:val="20"/>
        </w:rPr>
        <w:t>Immediate Family Members</w:t>
      </w:r>
      <w:r>
        <w:rPr>
          <w:rFonts w:ascii="Times New Roman" w:hAnsi="Times New Roman"/>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240" w:after="0"/>
        <w:jc w:val="left"/>
        <w:rPr/>
      </w:pPr>
      <w:r>
        <w:rPr/>
        <w:t>“</w:t>
      </w:r>
      <w:r>
        <w:rPr>
          <w:rFonts w:ascii="Times New Roman" w:hAnsi="Times New Roman"/>
          <w:b/>
          <w:sz w:val="20"/>
        </w:rPr>
        <w:t>Incremental Amendment</w:t>
      </w:r>
      <w:r>
        <w:rPr>
          <w:rFonts w:ascii="Times New Roman" w:hAnsi="Times New Roman"/>
          <w:sz w:val="20"/>
        </w:rPr>
        <w:t xml:space="preserve">” has the meaning specified in </w:t>
      </w:r>
      <w:r>
        <w:rPr>
          <w:rFonts w:ascii="Times New Roman" w:hAnsi="Times New Roman"/>
          <w:sz w:val="20"/>
          <w:u w:val="single"/>
        </w:rPr>
        <w:t>Section 2.16(e)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Incremental Amount</w:t>
      </w:r>
      <w:r>
        <w:rPr>
          <w:rFonts w:ascii="Times New Roman" w:hAnsi="Times New Roman"/>
          <w:sz w:val="20"/>
        </w:rPr>
        <w:t xml:space="preserve">” has the meaning specified in </w:t>
      </w:r>
      <w:r>
        <w:rPr>
          <w:rFonts w:ascii="Times New Roman" w:hAnsi="Times New Roman"/>
          <w:sz w:val="20"/>
          <w:u w:val="single"/>
        </w:rPr>
        <w:t>Section 2.16(c).</w:t>
      </w:r>
      <w:r>
        <w:rPr>
          <w:rFonts w:ascii="Times New Roman" w:hAnsi="Times New Roman"/>
          <w:sz w:val="20"/>
        </w:rPr>
        <w:t xml:space="preserve"> </w:t>
      </w:r>
    </w:p>
    <w:p>
      <w:pPr>
        <w:pStyle w:val="TextBody"/>
        <w:bidi w:val="0"/>
        <w:spacing w:before="360" w:after="0"/>
        <w:jc w:val="left"/>
        <w:rPr/>
      </w:pPr>
      <w:r>
        <w:rPr/>
        <w:t>“</w:t>
      </w:r>
      <w:r>
        <w:rPr>
          <w:rFonts w:ascii="Times New Roman" w:hAnsi="Times New Roman"/>
          <w:b/>
          <w:sz w:val="20"/>
        </w:rPr>
        <w:t>Incremental Equivalent Debt</w:t>
      </w:r>
      <w:r>
        <w:rPr>
          <w:rFonts w:ascii="Times New Roman" w:hAnsi="Times New Roman"/>
          <w:sz w:val="20"/>
        </w:rPr>
        <w:t xml:space="preserve">” means Indebtedness; </w:t>
      </w:r>
      <w:r>
        <w:rPr>
          <w:rFonts w:ascii="Times New Roman" w:hAnsi="Times New Roman"/>
          <w:i/>
          <w:sz w:val="20"/>
        </w:rPr>
        <w:t xml:space="preserve">provided </w:t>
      </w:r>
      <w:r>
        <w:rPr>
          <w:rFonts w:ascii="Times New Roman" w:hAnsi="Times New Roman"/>
          <w:sz w:val="20"/>
        </w:rPr>
        <w:t xml:space="preserve">that at the time of incurrence thereof: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all Incremental Equivalent Debt on any date such Indebtedness is incurred (or commitments with respect thereto are made) shall not, together with any Incremental Facilities then outstanding, exceed the Incremental Amount; </w:t>
      </w:r>
    </w:p>
    <w:p>
      <w:pPr>
        <w:pStyle w:val="TextBody"/>
        <w:bidi w:val="0"/>
        <w:spacing w:before="120" w:after="0"/>
        <w:jc w:val="left"/>
        <w:rPr>
          <w:rFonts w:ascii="Times New Roman" w:hAnsi="Times New Roman"/>
          <w:sz w:val="20"/>
        </w:rPr>
      </w:pPr>
      <w:r>
        <w:rPr>
          <w:rFonts w:ascii="Times New Roman" w:hAnsi="Times New Roman"/>
          <w:sz w:val="20"/>
        </w:rPr>
        <w:t xml:space="preserve">(b) any Incremental Equivalent Debt that is term Indebtedness shall not mature prior to the Latest Maturity Date of the Revolving Loans;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clause (b)</w:t>
      </w:r>
      <w:r>
        <w:rPr>
          <w:rFonts w:ascii="Times New Roman" w:hAnsi="Times New Roman"/>
          <w:sz w:val="20"/>
        </w:rPr>
        <w:t xml:space="preserve"> shall not apply to the incurrence of any such Indebtedness pursuant to the Inside Maturity Exception;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 xml:space="preserve">(c) </w:t>
      </w:r>
      <w:r>
        <w:rPr>
          <w:rFonts w:ascii="Times New Roman" w:hAnsi="Times New Roman"/>
          <w:sz w:val="20"/>
        </w:rPr>
        <w:t xml:space="preserve">except for Indebtedness incurred pursuant to the Inside Maturity Exception, any mandatory prepayments of any Incremental Equivalent Debt that is term Indebtedness: </w:t>
      </w:r>
    </w:p>
    <w:p>
      <w:pPr>
        <w:pStyle w:val="TextBody"/>
        <w:bidi w:val="0"/>
        <w:spacing w:before="120" w:after="0"/>
        <w:jc w:val="left"/>
        <w:rPr>
          <w:rFonts w:ascii="Times New Roman" w:hAnsi="Times New Roman"/>
          <w:sz w:val="20"/>
        </w:rPr>
      </w:pPr>
      <w:r>
        <w:rPr>
          <w:rFonts w:ascii="Times New Roman" w:hAnsi="Times New Roman"/>
          <w:sz w:val="20"/>
        </w:rPr>
        <w:t xml:space="preserve">(i) that is Pari Passu Lien Debt shall be made on a </w:t>
      </w:r>
      <w:r>
        <w:rPr>
          <w:rFonts w:ascii="Times New Roman" w:hAnsi="Times New Roman"/>
          <w:i/>
          <w:sz w:val="20"/>
        </w:rPr>
        <w:t xml:space="preserve">pro rata </w:t>
      </w:r>
      <w:r>
        <w:rPr>
          <w:rFonts w:ascii="Times New Roman" w:hAnsi="Times New Roman"/>
          <w:sz w:val="20"/>
        </w:rPr>
        <w:t xml:space="preserve">basis or less than </w:t>
      </w:r>
      <w:r>
        <w:rPr>
          <w:rFonts w:ascii="Times New Roman" w:hAnsi="Times New Roman"/>
          <w:i/>
          <w:sz w:val="20"/>
        </w:rPr>
        <w:t xml:space="preserve">pro rata </w:t>
      </w:r>
      <w:r>
        <w:rPr>
          <w:rFonts w:ascii="Times New Roman" w:hAnsi="Times New Roman"/>
          <w:sz w:val="20"/>
        </w:rPr>
        <w:t xml:space="preserve">basis with any corresponding mandatory prepayment of the Revolving Loans (but not on a greater than </w:t>
      </w:r>
      <w:r>
        <w:rPr>
          <w:rFonts w:ascii="Times New Roman" w:hAnsi="Times New Roman"/>
          <w:i/>
          <w:sz w:val="20"/>
        </w:rPr>
        <w:t xml:space="preserve">pro rata </w:t>
      </w:r>
      <w:r>
        <w:rPr>
          <w:rFonts w:ascii="Times New Roman" w:hAnsi="Times New Roman"/>
          <w:sz w:val="20"/>
        </w:rPr>
        <w:t xml:space="preserve">basis, except for (A) any repayment of such Incremental Equivalent Debt at maturity and (B) any greater than </w:t>
      </w:r>
      <w:r>
        <w:rPr>
          <w:rFonts w:ascii="Times New Roman" w:hAnsi="Times New Roman"/>
          <w:i/>
          <w:sz w:val="20"/>
        </w:rPr>
        <w:t xml:space="preserve">pro rata </w:t>
      </w:r>
      <w:r>
        <w:rPr>
          <w:rFonts w:ascii="Times New Roman" w:hAnsi="Times New Roman"/>
          <w:sz w:val="20"/>
        </w:rPr>
        <w:t xml:space="preserve">repayment of such Incremental Equivalent Debt with the proceeds of a Refinancing Indebtedness thereof); and </w:t>
      </w:r>
    </w:p>
    <w:p>
      <w:pPr>
        <w:pStyle w:val="TextBody"/>
        <w:bidi w:val="0"/>
        <w:spacing w:before="120" w:after="0"/>
        <w:jc w:val="left"/>
        <w:rPr>
          <w:rFonts w:ascii="Times New Roman" w:hAnsi="Times New Roman"/>
          <w:sz w:val="20"/>
        </w:rPr>
      </w:pPr>
      <w:r>
        <w:rPr>
          <w:rFonts w:ascii="Times New Roman" w:hAnsi="Times New Roman"/>
          <w:sz w:val="20"/>
        </w:rPr>
        <w:t xml:space="preserve">(ii) that comprises Junior Lien Debt or Indebtedness that is not secured by a Lien on all or any portion of the Collateral may not be made unless, to the extent required hereunder, such prepayments are first made or offered to the Loans on a </w:t>
      </w:r>
      <w:r>
        <w:rPr>
          <w:rFonts w:ascii="Times New Roman" w:hAnsi="Times New Roman"/>
          <w:i/>
          <w:sz w:val="20"/>
        </w:rPr>
        <w:t>pro rata</w:t>
      </w:r>
      <w:r>
        <w:rPr>
          <w:rFonts w:ascii="Times New Roman" w:hAnsi="Times New Roman"/>
          <w:sz w:val="20"/>
        </w:rPr>
        <w:t xml:space="preserve"> basis; </w:t>
      </w:r>
    </w:p>
    <w:p>
      <w:pPr>
        <w:pStyle w:val="TextBody"/>
        <w:bidi w:val="0"/>
        <w:spacing w:before="120" w:after="0"/>
        <w:jc w:val="left"/>
        <w:rPr>
          <w:rFonts w:ascii="Times New Roman" w:hAnsi="Times New Roman"/>
          <w:sz w:val="20"/>
        </w:rPr>
      </w:pPr>
      <w:r>
        <w:rPr>
          <w:rFonts w:ascii="Times New Roman" w:hAnsi="Times New Roman"/>
          <w:sz w:val="20"/>
        </w:rPr>
        <w:t xml:space="preserve">(d) a Debt Representative acting on behalf of the holders of such Incremental Equivalent Debt has become party to, or is otherwise subject to the provisions of, (A) if such Incremental Equivalent Debt is Pari Passu Lien Debt, an Equal Priority Intercreditor Agreement or (B) if such Incremental Equivalent Debt is Junior Lien Debt, a Junior Lien Intercreditor Agreement and, if elected by the Borrower, the Collateral Trust Agreement; </w:t>
      </w:r>
    </w:p>
    <w:p>
      <w:pPr>
        <w:pStyle w:val="TextBody"/>
        <w:bidi w:val="0"/>
        <w:spacing w:before="120" w:after="0"/>
        <w:jc w:val="left"/>
        <w:rPr>
          <w:rFonts w:ascii="Times New Roman" w:hAnsi="Times New Roman"/>
          <w:sz w:val="20"/>
        </w:rPr>
      </w:pPr>
      <w:r>
        <w:rPr>
          <w:rFonts w:ascii="Times New Roman" w:hAnsi="Times New Roman"/>
          <w:sz w:val="20"/>
        </w:rPr>
        <w:t xml:space="preserve">(e) [reserved]; </w:t>
      </w:r>
    </w:p>
    <w:p>
      <w:pPr>
        <w:pStyle w:val="TextBody"/>
        <w:bidi w:val="0"/>
        <w:spacing w:before="120" w:after="0"/>
        <w:jc w:val="left"/>
        <w:rPr>
          <w:rFonts w:ascii="Times New Roman" w:hAnsi="Times New Roman"/>
          <w:sz w:val="20"/>
        </w:rPr>
      </w:pPr>
      <w:r>
        <w:rPr>
          <w:rFonts w:ascii="Times New Roman" w:hAnsi="Times New Roman"/>
          <w:sz w:val="20"/>
        </w:rPr>
        <w:t xml:space="preserve">(f) if such Indebtedness is Pari Passu Lien Debt in respect of which a Loan Party is an obligor, (a) unless otherwise consented to by the Required Lenders, payments in respect of such Indebtedness are subject to the Priority Waterfall or another agreement with substantially equivalent provisions and (b) such Indebtedness shall be term Indebtedness; </w:t>
      </w:r>
    </w:p>
    <w:p>
      <w:pPr>
        <w:pStyle w:val="TextBody"/>
        <w:bidi w:val="0"/>
        <w:spacing w:before="120" w:after="0"/>
        <w:jc w:val="left"/>
        <w:rPr>
          <w:rFonts w:ascii="Times New Roman" w:hAnsi="Times New Roman"/>
          <w:sz w:val="20"/>
        </w:rPr>
      </w:pPr>
      <w:r>
        <w:rPr>
          <w:rFonts w:ascii="Times New Roman" w:hAnsi="Times New Roman"/>
          <w:sz w:val="20"/>
        </w:rPr>
        <w:t xml:space="preserve">(g) Incremental Equivalent Debt may be guaranteed solely by the Loan Parties (or Persons that become Loan Parties substantially concurrently with the incurrence of such Incremental Equivalent Debt); and </w:t>
      </w:r>
    </w:p>
    <w:p>
      <w:pPr>
        <w:pStyle w:val="TextBody"/>
        <w:bidi w:val="0"/>
        <w:spacing w:before="120" w:after="0"/>
        <w:jc w:val="left"/>
        <w:rPr>
          <w:rFonts w:ascii="Times New Roman" w:hAnsi="Times New Roman"/>
          <w:sz w:val="20"/>
        </w:rPr>
      </w:pPr>
      <w:r>
        <w:rPr>
          <w:rFonts w:ascii="Times New Roman" w:hAnsi="Times New Roman"/>
          <w:sz w:val="20"/>
        </w:rPr>
        <w:t xml:space="preserve">(h) the incurrence of Incremental Equivalent Debt shall have been consented to by all Lenders. </w:t>
      </w:r>
    </w:p>
    <w:p>
      <w:pPr>
        <w:pStyle w:val="TextBody"/>
        <w:bidi w:val="0"/>
        <w:spacing w:before="240" w:after="0"/>
        <w:jc w:val="left"/>
        <w:rPr>
          <w:rFonts w:ascii="Times New Roman" w:hAnsi="Times New Roman"/>
          <w:sz w:val="20"/>
        </w:rPr>
      </w:pPr>
      <w:r>
        <w:rPr>
          <w:rFonts w:ascii="Times New Roman" w:hAnsi="Times New Roman"/>
          <w:sz w:val="20"/>
        </w:rPr>
        <w:t xml:space="preserve">Incremental Equivalent Debt will be deemed to include any Registered Equivalent Notes issued in exchange therefor. </w:t>
      </w:r>
    </w:p>
    <w:p>
      <w:pPr>
        <w:pStyle w:val="TextBody"/>
        <w:bidi w:val="0"/>
        <w:spacing w:before="240" w:after="0"/>
        <w:jc w:val="left"/>
        <w:rPr/>
      </w:pPr>
      <w:r>
        <w:rPr/>
        <w:t>“</w:t>
      </w:r>
      <w:r>
        <w:rPr>
          <w:rFonts w:ascii="Times New Roman" w:hAnsi="Times New Roman"/>
          <w:b/>
          <w:sz w:val="20"/>
        </w:rPr>
        <w:t>Incremental Facilities</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Incremental Facility Lender</w:t>
      </w:r>
      <w:r>
        <w:rPr>
          <w:rFonts w:ascii="Times New Roman" w:hAnsi="Times New Roman"/>
          <w:sz w:val="20"/>
        </w:rPr>
        <w:t xml:space="preserve">” has the meaning specified in </w:t>
      </w:r>
      <w:r>
        <w:rPr>
          <w:rFonts w:ascii="Times New Roman" w:hAnsi="Times New Roman"/>
          <w:sz w:val="20"/>
          <w:u w:val="single"/>
        </w:rPr>
        <w:t>Section 2.16(i)(i)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Incremental Loans</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with respect to any Person, on any date of determination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the principal of indebtedness of such Person for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of obligations of such Person evidenced by bonds, debentures, notes or other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(3) 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thirty (30) days of incurrence); </w:t>
      </w:r>
    </w:p>
    <w:p>
      <w:pPr>
        <w:pStyle w:val="TextBody"/>
        <w:bidi w:val="0"/>
        <w:spacing w:before="120" w:after="0"/>
        <w:jc w:val="left"/>
        <w:rPr>
          <w:rFonts w:ascii="Times New Roman" w:hAnsi="Times New Roman"/>
          <w:sz w:val="20"/>
        </w:rPr>
      </w:pPr>
      <w:r>
        <w:rPr>
          <w:rFonts w:ascii="Times New Roman" w:hAnsi="Times New Roman"/>
          <w:sz w:val="20"/>
        </w:rPr>
        <w:t xml:space="preserve">(4) 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 </w:t>
      </w:r>
    </w:p>
    <w:p>
      <w:pPr>
        <w:pStyle w:val="TextBody"/>
        <w:bidi w:val="0"/>
        <w:spacing w:before="120" w:after="0"/>
        <w:jc w:val="left"/>
        <w:rPr>
          <w:rFonts w:ascii="Times New Roman" w:hAnsi="Times New Roman"/>
          <w:sz w:val="20"/>
        </w:rPr>
      </w:pPr>
      <w:r>
        <w:rPr>
          <w:rFonts w:ascii="Times New Roman" w:hAnsi="Times New Roman"/>
          <w:sz w:val="20"/>
        </w:rPr>
        <w:t xml:space="preserve">(5) Capitalized Lease Obligations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(6) the principal component of all obligations, or liquidation preference, of such Person with respect to any Disqualified Equity Interests or, with respect to any Restricted Subsidiary, any preferred stock (but excluding, in each case, any accrued dividends); </w:t>
      </w:r>
    </w:p>
    <w:p>
      <w:pPr>
        <w:pStyle w:val="TextBody"/>
        <w:bidi w:val="0"/>
        <w:spacing w:before="120" w:after="0"/>
        <w:jc w:val="left"/>
        <w:rPr>
          <w:rFonts w:ascii="Times New Roman" w:hAnsi="Times New Roman"/>
          <w:sz w:val="20"/>
        </w:rPr>
      </w:pPr>
      <w:r>
        <w:rPr>
          <w:rFonts w:ascii="Times New Roman" w:hAnsi="Times New Roman"/>
          <w:sz w:val="20"/>
        </w:rPr>
        <w:t xml:space="preserve">(7) the principal component of all Indebtedness of other Persons secured by a Lien on any asset of such Person, whether or not such Indebtedness is assumed by such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of such Indebtedness will be the lesser of (a) the Fair Market Value of such asset at such date of determination (as determined in good faith by the Borrower) and (b) the amount of such Indebtedness of such other Persons; </w:t>
      </w:r>
      <w:r>
        <w:rPr>
          <w:rFonts w:ascii="Times New Roman" w:hAnsi="Times New Roman"/>
          <w:i/>
          <w:sz w:val="20"/>
        </w:rPr>
        <w:t xml:space="preserve">provided, further, </w:t>
      </w:r>
      <w:r>
        <w:rPr>
          <w:rFonts w:ascii="Times New Roman" w:hAnsi="Times New Roman"/>
          <w:sz w:val="20"/>
        </w:rPr>
        <w:t xml:space="preserve">that this </w:t>
      </w:r>
      <w:r>
        <w:rPr>
          <w:rFonts w:ascii="Times New Roman" w:hAnsi="Times New Roman"/>
          <w:sz w:val="20"/>
          <w:u w:val="single"/>
        </w:rPr>
        <w:t>clause (7)</w:t>
      </w:r>
      <w:r>
        <w:rPr>
          <w:rFonts w:ascii="Times New Roman" w:hAnsi="Times New Roman"/>
          <w:sz w:val="20"/>
        </w:rPr>
        <w:t xml:space="preserve"> shall not apply in respect of any Restricted Subsidiary that provides Collateral for the First Lien Debt (including the Obligations) and Junior Lien Debt (if any) that is not a guarantor of any First Lien Debt or Junior Lien Debt; </w:t>
      </w:r>
    </w:p>
    <w:p>
      <w:pPr>
        <w:pStyle w:val="TextBody"/>
        <w:bidi w:val="0"/>
        <w:spacing w:before="120" w:after="0"/>
        <w:jc w:val="left"/>
        <w:rPr>
          <w:rFonts w:ascii="Times New Roman" w:hAnsi="Times New Roman"/>
          <w:sz w:val="20"/>
        </w:rPr>
      </w:pPr>
      <w:r>
        <w:rPr>
          <w:rFonts w:ascii="Times New Roman" w:hAnsi="Times New Roman"/>
          <w:sz w:val="20"/>
        </w:rPr>
        <w:t xml:space="preserve">(8) Guarantees by such Person of the principal component of Indebtedness of the type referred to in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(9)</w:t>
      </w:r>
      <w:r>
        <w:rPr>
          <w:rFonts w:ascii="Times New Roman" w:hAnsi="Times New Roman"/>
          <w:sz w:val="20"/>
        </w:rPr>
        <w:t xml:space="preserve"> of other Persons to the extent Guaranteed by such Person; and </w:t>
      </w:r>
    </w:p>
    <w:p>
      <w:pPr>
        <w:pStyle w:val="TextBody"/>
        <w:bidi w:val="0"/>
        <w:spacing w:before="120" w:after="0"/>
        <w:jc w:val="left"/>
        <w:rPr>
          <w:rFonts w:ascii="Times New Roman" w:hAnsi="Times New Roman"/>
          <w:sz w:val="20"/>
        </w:rPr>
      </w:pPr>
      <w:r>
        <w:rPr>
          <w:rFonts w:ascii="Times New Roman" w:hAnsi="Times New Roman"/>
          <w:sz w:val="20"/>
        </w:rPr>
        <w:t xml:space="preserve">(9) to the extent not otherwise included in this definition, net obligations of such Person under Hedge Agreements (the amount of any such obligations to be equal at any time to the net payments under such agreement or arrangement giving rise to such obligation that would be payable by such Person at the termination of such agreement or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(9)</w:t>
      </w:r>
      <w:r>
        <w:rPr>
          <w:rFonts w:ascii="Times New Roman" w:hAnsi="Times New Roman"/>
          <w:sz w:val="20"/>
        </w:rPr>
        <w:t xml:space="preserve">, above, if and to the extent that any of the foregoing Indebtedness (other than letters of credit and obligations in respect of Hedge Agreements) would appear as a liability upon a balance sheet (excluding the footnotes thereto) of such Person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815—Derivatives and Hedging and related pronouncements to the extent such effects would otherwise increase or decrease an amount of Indebtedness for any purpose under this Agreement as a result of accounting for any embedded derivatives created by the terms of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provisions, in no event shall the following constitute Indebtedness: </w:t>
      </w:r>
    </w:p>
    <w:p>
      <w:pPr>
        <w:pStyle w:val="TextBody"/>
        <w:bidi w:val="0"/>
        <w:spacing w:before="120" w:after="0"/>
        <w:jc w:val="left"/>
        <w:rPr>
          <w:rFonts w:ascii="Times New Roman" w:hAnsi="Times New Roman"/>
          <w:sz w:val="20"/>
        </w:rPr>
      </w:pPr>
      <w:r>
        <w:rPr>
          <w:rFonts w:ascii="Times New Roman" w:hAnsi="Times New Roman"/>
          <w:sz w:val="20"/>
        </w:rPr>
        <w:t xml:space="preserve">(a) Contingent Obligations incurred in the ordinary course of business or consistent with past practice, other than guarantees or other assumptions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(b) Cash Management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(c) any lease, concession or license of property (or Guarantee thereof) which would be considered an operating lease under GAAP as in effect on the Closing Date, Non-Financing Lease Obligations, Sale Leaseback Transactions or any prepayments of deposits received from clients or customers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(d) obligations under any license, permit or other approval (or guarantees given in respect of such obligations) incurred prior to the Closing Date or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the purchase by the Borrower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time of closing, the amount of any such payment is not determinable and, to the extent such payment thereafter becomes fixed and determined, the amount is paid in a timely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for the avoidance of doubt, any obligations in respect of workers’ compensation claims, early retirement or termination obligations, pension fund obligations or contributions or similar claims, obligations or contributions or social security or wage Taxes; </w:t>
      </w:r>
    </w:p>
    <w:p>
      <w:pPr>
        <w:pStyle w:val="TextBody"/>
        <w:bidi w:val="0"/>
        <w:spacing w:before="120" w:after="0"/>
        <w:jc w:val="left"/>
        <w:rPr>
          <w:rFonts w:ascii="Times New Roman" w:hAnsi="Times New Roman"/>
          <w:sz w:val="20"/>
        </w:rPr>
      </w:pPr>
      <w:r>
        <w:rPr>
          <w:rFonts w:ascii="Times New Roman" w:hAnsi="Times New Roman"/>
          <w:sz w:val="20"/>
        </w:rPr>
        <w:t xml:space="preserve">(g) obligations under or in respect of Qualified Securitization Financings or Receivables Facilities; </w:t>
      </w:r>
    </w:p>
    <w:p>
      <w:pPr>
        <w:pStyle w:val="TextBody"/>
        <w:bidi w:val="0"/>
        <w:spacing w:before="120" w:after="0"/>
        <w:jc w:val="left"/>
        <w:rPr>
          <w:rFonts w:ascii="Times New Roman" w:hAnsi="Times New Roman"/>
          <w:sz w:val="20"/>
        </w:rPr>
      </w:pPr>
      <w:r>
        <w:rPr>
          <w:rFonts w:ascii="Times New Roman" w:hAnsi="Times New Roman"/>
          <w:sz w:val="20"/>
        </w:rPr>
        <w:t xml:space="preserve">(h) Indebtedness of any Parent Entity appearing on the balance sheet of the Borrower solely by reason of push down accounting under GAAP; </w:t>
      </w:r>
    </w:p>
    <w:p>
      <w:pPr>
        <w:pStyle w:val="TextBody"/>
        <w:bidi w:val="0"/>
        <w:spacing w:before="120" w:after="0"/>
        <w:jc w:val="left"/>
        <w:rPr>
          <w:rFonts w:ascii="Times New Roman" w:hAnsi="Times New Roman"/>
          <w:sz w:val="20"/>
        </w:rPr>
      </w:pPr>
      <w:r>
        <w:rPr>
          <w:rFonts w:ascii="Times New Roman" w:hAnsi="Times New Roman"/>
          <w:sz w:val="20"/>
        </w:rPr>
        <w:t xml:space="preserve">(i) Equity Interests (other than in the case of </w:t>
      </w:r>
      <w:r>
        <w:rPr>
          <w:rFonts w:ascii="Times New Roman" w:hAnsi="Times New Roman"/>
          <w:sz w:val="20"/>
          <w:u w:val="single"/>
        </w:rPr>
        <w:t>clause (6)</w:t>
      </w:r>
      <w:r>
        <w:rPr>
          <w:rFonts w:ascii="Times New Roman" w:hAnsi="Times New Roman"/>
          <w:sz w:val="20"/>
        </w:rPr>
        <w:t xml:space="preserve"> above, Disqualified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(j) lease obligations other than obligations in respect of Capitalized Leases; and </w:t>
      </w:r>
    </w:p>
    <w:p>
      <w:pPr>
        <w:pStyle w:val="TextBody"/>
        <w:bidi w:val="0"/>
        <w:spacing w:before="120" w:after="0"/>
        <w:jc w:val="left"/>
        <w:rPr>
          <w:rFonts w:ascii="Times New Roman" w:hAnsi="Times New Roman"/>
          <w:sz w:val="20"/>
        </w:rPr>
      </w:pPr>
      <w:r>
        <w:rPr>
          <w:rFonts w:ascii="Times New Roman" w:hAnsi="Times New Roman"/>
          <w:sz w:val="20"/>
        </w:rPr>
        <w:t xml:space="preserve">(k) 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w:t>
      </w:r>
      <w:r>
        <w:rPr>
          <w:rFonts w:ascii="Times New Roman" w:hAnsi="Times New Roman"/>
          <w:sz w:val="20"/>
          <w:u w:val="single"/>
        </w:rPr>
        <w:t>Section 7.04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Indebtedness for Borrowed Money</w:t>
      </w:r>
      <w:r>
        <w:rPr>
          <w:rFonts w:ascii="Times New Roman" w:hAnsi="Times New Roman"/>
          <w:sz w:val="20"/>
        </w:rPr>
        <w:t xml:space="preserve">” means, with respect to a Person, Indebtedness of such Person under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or </w:t>
      </w:r>
      <w:r>
        <w:rPr>
          <w:rFonts w:ascii="Times New Roman" w:hAnsi="Times New Roman"/>
          <w:sz w:val="20"/>
          <w:u w:val="single"/>
        </w:rPr>
        <w:t>(8)</w:t>
      </w:r>
      <w:r>
        <w:rPr>
          <w:rFonts w:ascii="Times New Roman" w:hAnsi="Times New Roman"/>
          <w:sz w:val="20"/>
        </w:rPr>
        <w:t xml:space="preserve"> (to the extent relating to the foregoing clauses) of the definition of “Indebtedness”, and shall include any exchange of existing Indebtedness that results in another class of Indebtedness for borrowed money. </w:t>
      </w:r>
    </w:p>
    <w:p>
      <w:pPr>
        <w:pStyle w:val="TextBody"/>
        <w:bidi w:val="0"/>
        <w:spacing w:before="240" w:after="0"/>
        <w:jc w:val="left"/>
        <w:rPr/>
      </w:pPr>
      <w:r>
        <w:rPr/>
        <w:t>“</w:t>
      </w:r>
      <w:r>
        <w:rPr>
          <w:rFonts w:ascii="Times New Roman" w:hAnsi="Times New Roman"/>
          <w:b/>
          <w:sz w:val="20"/>
        </w:rPr>
        <w:t>Indemnified Liabilities</w:t>
      </w:r>
      <w:r>
        <w:rPr>
          <w:rFonts w:ascii="Times New Roman" w:hAnsi="Times New Roman"/>
          <w:sz w:val="20"/>
        </w:rPr>
        <w:t xml:space="preserve">” has the meaning specified in </w:t>
      </w:r>
      <w:r>
        <w:rPr>
          <w:rFonts w:ascii="Times New Roman" w:hAnsi="Times New Roman"/>
          <w:sz w:val="20"/>
          <w:u w:val="single"/>
        </w:rPr>
        <w:t>Section 11.05(e).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(a), Other Taxes. </w:t>
      </w:r>
    </w:p>
    <w:p>
      <w:pPr>
        <w:pStyle w:val="TextBody"/>
        <w:bidi w:val="0"/>
        <w:spacing w:before="240" w:after="0"/>
        <w:jc w:val="left"/>
        <w:rPr/>
      </w:pPr>
      <w:r>
        <w:rPr/>
        <w:t>“</w:t>
      </w:r>
      <w:r>
        <w:rPr>
          <w:rFonts w:ascii="Times New Roman" w:hAnsi="Times New Roman"/>
          <w:b/>
          <w:sz w:val="20"/>
        </w:rPr>
        <w:t>Indemnitees</w:t>
      </w:r>
      <w:r>
        <w:rPr>
          <w:rFonts w:ascii="Times New Roman" w:hAnsi="Times New Roman"/>
          <w:sz w:val="20"/>
        </w:rPr>
        <w:t xml:space="preserve">” has the meaning specified in </w:t>
      </w:r>
      <w:r>
        <w:rPr>
          <w:rFonts w:ascii="Times New Roman" w:hAnsi="Times New Roman"/>
          <w:sz w:val="20"/>
          <w:u w:val="single"/>
        </w:rPr>
        <w:t>Section 11.05.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Independent Financial Advisor</w:t>
      </w:r>
      <w:r>
        <w:rPr>
          <w:rFonts w:ascii="Times New Roman" w:hAnsi="Times New Roman"/>
          <w:sz w:val="20"/>
        </w:rPr>
        <w:t xml:space="preserve">” means an accounting, appraisal, investment banking firm or consultant of nationally recognized standing that is, in the good faith judgment of the Borrower, qualified to perform the task for which it has been engaged and that is independent of the Borrower and their Affiliates. </w:t>
      </w:r>
    </w:p>
    <w:p>
      <w:pPr>
        <w:pStyle w:val="TextBody"/>
        <w:bidi w:val="0"/>
        <w:spacing w:before="240" w:after="0"/>
        <w:jc w:val="left"/>
        <w:rPr/>
      </w:pPr>
      <w:r>
        <w:rPr/>
        <w:t>“</w:t>
      </w:r>
      <w:r>
        <w:rPr>
          <w:rFonts w:ascii="Times New Roman" w:hAnsi="Times New Roman"/>
          <w:b/>
          <w:sz w:val="20"/>
        </w:rPr>
        <w:t>Information</w:t>
      </w:r>
      <w:r>
        <w:rPr>
          <w:rFonts w:ascii="Times New Roman" w:hAnsi="Times New Roman"/>
          <w:sz w:val="20"/>
        </w:rPr>
        <w:t xml:space="preserve">” has the meaning specified in </w:t>
      </w:r>
      <w:r>
        <w:rPr>
          <w:rFonts w:ascii="Times New Roman" w:hAnsi="Times New Roman"/>
          <w:sz w:val="20"/>
          <w:u w:val="single"/>
        </w:rPr>
        <w:t>Section 11.08.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Initial Agreement</w:t>
      </w:r>
      <w:r>
        <w:rPr>
          <w:rFonts w:ascii="Times New Roman" w:hAnsi="Times New Roman"/>
          <w:sz w:val="20"/>
        </w:rPr>
        <w:t xml:space="preserve">” has the meaning specified in </w:t>
      </w:r>
      <w:r>
        <w:rPr>
          <w:rFonts w:ascii="Times New Roman" w:hAnsi="Times New Roman"/>
          <w:sz w:val="20"/>
          <w:u w:val="single"/>
        </w:rPr>
        <w:t>Section 7.08(c)(xvi)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Initial Revolving Loans</w:t>
      </w:r>
      <w:r>
        <w:rPr>
          <w:rFonts w:ascii="Times New Roman" w:hAnsi="Times New Roman"/>
          <w:sz w:val="20"/>
        </w:rPr>
        <w:t xml:space="preserve">” means the revolving loans denominated in Dollars equal to such Lender’s Commitment as of the Closing Date. </w:t>
      </w:r>
    </w:p>
    <w:p>
      <w:pPr>
        <w:pStyle w:val="TextBody"/>
        <w:bidi w:val="0"/>
        <w:spacing w:before="240" w:after="0"/>
        <w:jc w:val="left"/>
        <w:rPr/>
      </w:pPr>
      <w:r>
        <w:rPr/>
        <w:t>“</w:t>
      </w:r>
      <w:r>
        <w:rPr>
          <w:rFonts w:ascii="Times New Roman" w:hAnsi="Times New Roman"/>
          <w:b/>
          <w:sz w:val="20"/>
        </w:rPr>
        <w:t>Initial Funding Date</w:t>
      </w:r>
      <w:r>
        <w:rPr>
          <w:rFonts w:ascii="Times New Roman" w:hAnsi="Times New Roman"/>
          <w:sz w:val="20"/>
        </w:rPr>
        <w:t xml:space="preserve">” has the meaning set forth in </w:t>
      </w:r>
      <w:r>
        <w:rPr>
          <w:rFonts w:ascii="Times New Roman" w:hAnsi="Times New Roman"/>
          <w:sz w:val="20"/>
          <w:u w:val="single"/>
        </w:rPr>
        <w:t>Section 4.02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Inside Maturity Exception</w:t>
      </w:r>
      <w:r>
        <w:rPr>
          <w:rFonts w:ascii="Times New Roman" w:hAnsi="Times New Roman"/>
          <w:sz w:val="20"/>
        </w:rPr>
        <w:t xml:space="preserve">” means Indebtedness in an aggregate principal amount not to exceed $25,000,000 and such additional amounts as agreed by the Administrative Agent with the consent of the Required Lenders, that constitutes bridge financings, escrow or other similar arrangements, the terms of which provide for automatic and irrevocable extension of the maturity date thereof, subject to customary conditions, to a date that is not earlier than the latest maturity date of the Initial Revolving Loans, in each case, that is designated by the Borrower as being incurred pursuant to this provision, together with any Refinancing Indebtedness in respect of the foregoing. </w:t>
      </w:r>
    </w:p>
    <w:p>
      <w:pPr>
        <w:pStyle w:val="TextBody"/>
        <w:bidi w:val="0"/>
        <w:spacing w:before="240" w:after="0"/>
        <w:jc w:val="left"/>
        <w:rPr/>
      </w:pPr>
      <w:r>
        <w:rPr/>
        <w:t>“</w:t>
      </w:r>
      <w:r>
        <w:rPr>
          <w:rFonts w:ascii="Times New Roman" w:hAnsi="Times New Roman"/>
          <w:b/>
          <w:sz w:val="20"/>
        </w:rPr>
        <w:t>Intercompany Indebtedness</w:t>
      </w:r>
      <w:r>
        <w:rPr>
          <w:rFonts w:ascii="Times New Roman" w:hAnsi="Times New Roman"/>
          <w:sz w:val="20"/>
        </w:rPr>
        <w:t xml:space="preserve">” means Indebtedness by and among the Borrower or any Restricted Subsidiary, on the one hand, and the Borrower or any Restricted Subsidiary, on the other hand. </w:t>
      </w:r>
    </w:p>
    <w:p>
      <w:pPr>
        <w:pStyle w:val="TextBody"/>
        <w:bidi w:val="0"/>
        <w:spacing w:before="240" w:after="0"/>
        <w:jc w:val="left"/>
        <w:rPr/>
      </w:pPr>
      <w:r>
        <w:rPr/>
        <w:t>“</w:t>
      </w:r>
      <w:r>
        <w:rPr>
          <w:rFonts w:ascii="Times New Roman" w:hAnsi="Times New Roman"/>
          <w:b/>
          <w:sz w:val="20"/>
        </w:rPr>
        <w:t>Intercompany License Agreement</w:t>
      </w:r>
      <w:r>
        <w:rPr>
          <w:rFonts w:ascii="Times New Roman" w:hAnsi="Times New Roman"/>
          <w:sz w:val="20"/>
        </w:rPr>
        <w:t xml:space="preserve">”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Borrower or a Restricted Subsidiary. </w:t>
      </w:r>
    </w:p>
    <w:p>
      <w:pPr>
        <w:pStyle w:val="TextBody"/>
        <w:bidi w:val="0"/>
        <w:spacing w:before="240" w:after="0"/>
        <w:jc w:val="left"/>
        <w:rPr/>
      </w:pPr>
      <w:r>
        <w:rPr/>
        <w:t>“</w:t>
      </w:r>
      <w:r>
        <w:rPr>
          <w:rFonts w:ascii="Times New Roman" w:hAnsi="Times New Roman"/>
          <w:b/>
          <w:sz w:val="20"/>
        </w:rPr>
        <w:t>Intercreditor Agreements</w:t>
      </w:r>
      <w:r>
        <w:rPr>
          <w:rFonts w:ascii="Times New Roman" w:hAnsi="Times New Roman"/>
          <w:sz w:val="20"/>
        </w:rPr>
        <w:t xml:space="preserve">” means any Junior Lien Intercreditor Agreement, any Equal Priority Intercreditor Agreement, any Collateral Trust Agreement and any other intercreditor agreement governing lien priority with the approval of the Required Lenders, in each case that may be executed by the Administrative Agent and Collateral Agent from time to time.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means, (a) as to any SOFR Rate Loan, the last Business Day of each Interest Period applicable to such SOFR Rate Loan, as applicable, and the applicable Maturity Date; </w:t>
      </w:r>
      <w:r>
        <w:rPr>
          <w:rFonts w:ascii="Times New Roman" w:hAnsi="Times New Roman"/>
          <w:i/>
          <w:sz w:val="20"/>
        </w:rPr>
        <w:t xml:space="preserve">provided </w:t>
      </w:r>
      <w:r>
        <w:rPr>
          <w:rFonts w:ascii="Times New Roman" w:hAnsi="Times New Roman"/>
          <w:sz w:val="20"/>
        </w:rPr>
        <w:t xml:space="preserve">that if any Interest Period for a SOFR Rate Loan exceeds three months, the respective dates (which shall be a Business Day) that fall every three months after the beginning of such Interest Period shall also be Interest Payment Dates and (b) as to any Base Rate Loan, the last Business Day of each fiscal quarter and the applicable Maturity Date.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means, as to each SOFR Rate Loan, the period commencing on the date such SOFR Rate Loan is disbursed or converted to or continued as a SOFR Rate Loan and ending on the date one, three or six months thereafter, or to the extent consented to by each applicable Lender, twelve months (or such period of less than one month as may be consented to by each applicable Lender), as selected by the Borrower in its Committed Loan Notice;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(a) any Interest Period that would otherwise end on a day that is not a Business Day shall be extended to the next succeeding Business Day unless such Business Day falls in another calendar month, in which case such Interest Period shall end on the immediately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Interest Period shall extend beyond the applicable Maturity Date.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means, with respect to any Person, all investments by such Person in other Persons (including Affiliates) in the form of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 (iv) intercompany loans, advances or Indebtedness having a term not exceeding 364 days (inclusive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Equity Interests, Indebtedness or other similar instruments issued by, such other Persons and all other items that are or would be classified as investments on a balance sheet prepared in accordance with GAAP; provided, however, that endorsements of negotiable instruments and documents in the ordinary course of business or consistent with past practice will not be deemed to be an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w:t>
      </w:r>
      <w:r>
        <w:rPr>
          <w:rFonts w:ascii="Times New Roman" w:hAnsi="Times New Roman"/>
          <w:sz w:val="20"/>
          <w:u w:val="single"/>
        </w:rPr>
        <w:t>Section 6.13</w:t>
      </w:r>
      <w:r>
        <w:rPr>
          <w:rFonts w:ascii="Times New Roman" w:hAnsi="Times New Roman"/>
          <w:sz w:val="20"/>
        </w:rPr>
        <w:t xml:space="preserve"> and </w:t>
      </w:r>
      <w:r>
        <w:rPr>
          <w:rFonts w:ascii="Times New Roman" w:hAnsi="Times New Roman"/>
          <w:sz w:val="20"/>
          <w:u w:val="single"/>
        </w:rPr>
        <w:t>Section 7.06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“Investment” will include the portion (proportionate to the Borrower’s equity interest in a Restricted Subsidiary to be designated as an Unrestricted Subsidiary) of the Fair Market Value of the net assets of such Restricted Subsidiary at the time that such Restricted Subsidiary is designated an Unrestricted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a redesignation of such Subsidiary as a Restricted Subsidiary, the Borrower will be deemed to continue to have a permanent “Investment” in an Unrestricted Subsidiary in an amount (if positive) equal to (a) the Borrower’s “Investment” in such Subsidiary at the time of such redesignation less (b) the portion (proportionate to the Borrower’s equity interest in such Subsidiary) of the Fair Market Value of the net assets (as determined by the Borrower) of such Subsidiary at the time that such Subsidiary is so re-designated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 any property transferred to or from an Unrestricted Subsidiary will be valued at its Fair Market Value at the time of such transfer, in each case as determined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(3) if the Borrower or any Restricted Subsidiary issues, sells or otherwise disposes of Equity Interests in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 of any Investment outstanding at any time shall be the original cost of such Investment, reduced by any dividend, distribution, interest payment, return of capital, repayment or other amount received in cash and Cash Equivalents by the Borrower or a Restricted Subsidiary in respect of such Investment to the extent such amounts do not increase any other baskets under this Agreement. </w:t>
      </w:r>
    </w:p>
    <w:p>
      <w:pPr>
        <w:pStyle w:val="TextBody"/>
        <w:bidi w:val="0"/>
        <w:spacing w:before="240" w:after="0"/>
        <w:jc w:val="left"/>
        <w:rPr/>
      </w:pPr>
      <w:r>
        <w:rPr/>
        <w:t>“</w:t>
      </w:r>
      <w:r>
        <w:rPr>
          <w:rFonts w:ascii="Times New Roman" w:hAnsi="Times New Roman"/>
          <w:b/>
          <w:sz w:val="20"/>
        </w:rPr>
        <w:t>Investment Grade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securities issued or directly and fully Guaranteed or insured by the United States government or any agency or instrumentality thereof (other than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(2) securities issued or directly and fully guaranteed or insured by the Canadian, United Kingdom, Australian or Japanese governments, a member state of the European Union, or any agency or instrumentality thereof (other than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(3) 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(4) investments in any fund that invests exclusively in investments of the type described in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and </w:t>
      </w:r>
      <w:r>
        <w:rPr>
          <w:rFonts w:ascii="Times New Roman" w:hAnsi="Times New Roman"/>
          <w:sz w:val="20"/>
          <w:u w:val="single"/>
        </w:rPr>
        <w:t>(3)</w:t>
      </w:r>
      <w:r>
        <w:rPr>
          <w:rFonts w:ascii="Times New Roman" w:hAnsi="Times New Roman"/>
          <w:sz w:val="20"/>
        </w:rPr>
        <w:t xml:space="preserve"> above which fund may also hold cash and Cash Equivalents pending investment 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(5) corresponding instruments in countries other than the United States customarily utilized for high quality investments.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Internal Revenue Service of the United States. </w:t>
      </w:r>
    </w:p>
    <w:p>
      <w:pPr>
        <w:pStyle w:val="TextBody"/>
        <w:bidi w:val="0"/>
        <w:spacing w:before="240" w:after="0"/>
        <w:jc w:val="left"/>
        <w:rPr/>
      </w:pPr>
      <w:r>
        <w:rPr/>
        <w:t>“</w:t>
      </w:r>
      <w:r>
        <w:rPr>
          <w:rFonts w:ascii="Times New Roman" w:hAnsi="Times New Roman"/>
          <w:b/>
          <w:sz w:val="20"/>
        </w:rPr>
        <w:t>ISDA CDS Definitions</w:t>
      </w:r>
      <w:r>
        <w:rPr>
          <w:rFonts w:ascii="Times New Roman" w:hAnsi="Times New Roman"/>
          <w:sz w:val="20"/>
        </w:rPr>
        <w:t xml:space="preserve">” has the meaning specified in the definition of “Net Short Position.” </w:t>
      </w:r>
    </w:p>
    <w:p>
      <w:pPr>
        <w:pStyle w:val="TextBody"/>
        <w:bidi w:val="0"/>
        <w:spacing w:before="240" w:after="0"/>
        <w:jc w:val="left"/>
        <w:rPr/>
      </w:pPr>
      <w:r>
        <w:rPr/>
        <w:t>“</w:t>
      </w:r>
      <w:r>
        <w:rPr>
          <w:rFonts w:ascii="Times New Roman" w:hAnsi="Times New Roman"/>
          <w:b/>
          <w:sz w:val="20"/>
        </w:rPr>
        <w:t>ISDA Definitions</w:t>
      </w:r>
      <w:r>
        <w:rPr>
          <w:rFonts w:ascii="Times New Roman" w:hAnsi="Times New Roman"/>
          <w:sz w:val="20"/>
        </w:rPr>
        <w:t xml:space="preserve">”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w:t>
      </w:r>
    </w:p>
    <w:p>
      <w:pPr>
        <w:pStyle w:val="TextBody"/>
        <w:bidi w:val="0"/>
        <w:spacing w:before="240" w:after="0"/>
        <w:jc w:val="left"/>
        <w:rPr/>
      </w:pPr>
      <w:r>
        <w:rPr/>
        <w:t>“</w:t>
      </w:r>
      <w:r>
        <w:rPr>
          <w:rFonts w:ascii="Times New Roman" w:hAnsi="Times New Roman"/>
          <w:b/>
          <w:sz w:val="20"/>
        </w:rPr>
        <w:t>Issuance Notice</w:t>
      </w:r>
      <w:r>
        <w:rPr>
          <w:rFonts w:ascii="Times New Roman" w:hAnsi="Times New Roman"/>
          <w:sz w:val="20"/>
        </w:rPr>
        <w:t xml:space="preserve">” means an Issuance Notice in respect of letters of credit substantially in the form of </w:t>
      </w:r>
      <w:r>
        <w:rPr>
          <w:rFonts w:ascii="Times New Roman" w:hAnsi="Times New Roman"/>
          <w:sz w:val="20"/>
          <w:u w:val="single"/>
        </w:rPr>
        <w:t>Exhibit A-2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Issuing Bank</w:t>
      </w:r>
      <w:r>
        <w:rPr>
          <w:rFonts w:ascii="Times New Roman" w:hAnsi="Times New Roman"/>
          <w:sz w:val="20"/>
        </w:rPr>
        <w:t xml:space="preserve">” means DNB and JPMorgan Chase Bank, N.A. as Issuing Banks hereunder, together with their permitted successors and assigns in such capacity, and any other Revolving Lender that becomes an Issuing Bank in accordance with </w:t>
      </w:r>
      <w:r>
        <w:rPr>
          <w:rFonts w:ascii="Times New Roman" w:hAnsi="Times New Roman"/>
          <w:sz w:val="20"/>
          <w:u w:val="single"/>
        </w:rPr>
        <w:t>Section 2.04(k)</w:t>
      </w:r>
      <w:r>
        <w:rPr>
          <w:rFonts w:ascii="Times New Roman" w:hAnsi="Times New Roman"/>
          <w:sz w:val="20"/>
        </w:rPr>
        <w:t xml:space="preserve"> or </w:t>
      </w:r>
      <w:r>
        <w:rPr>
          <w:rFonts w:ascii="Times New Roman" w:hAnsi="Times New Roman"/>
          <w:sz w:val="20"/>
          <w:u w:val="single"/>
        </w:rPr>
        <w:t>(m)</w:t>
      </w:r>
      <w:r>
        <w:rPr>
          <w:rFonts w:ascii="Times New Roman" w:hAnsi="Times New Roman"/>
          <w:sz w:val="20"/>
        </w:rPr>
        <w:t xml:space="preserve">. Any Issuing Bank may cause Letters of Credit to be issued by an Affiliate of such Issuing Bank or by another financial institution designated by such Issuing Bank, and all Letters of Credit issued by any such Affiliate or any such designated financial institution shall be treated as being issued by such Issuing Bank for all purposes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Jones Act Notes</w:t>
      </w:r>
      <w:r>
        <w:rPr>
          <w:rFonts w:ascii="Times New Roman" w:hAnsi="Times New Roman"/>
          <w:sz w:val="20"/>
        </w:rPr>
        <w:t xml:space="preserve">” has the meaning specified in </w:t>
      </w:r>
      <w:r>
        <w:rPr>
          <w:rFonts w:ascii="Times New Roman" w:hAnsi="Times New Roman"/>
          <w:sz w:val="20"/>
          <w:u w:val="single"/>
        </w:rPr>
        <w:t>Section 7.03(q)</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Jones Act Vessel</w:t>
      </w:r>
      <w:r>
        <w:rPr>
          <w:rFonts w:ascii="Times New Roman" w:hAnsi="Times New Roman"/>
          <w:sz w:val="20"/>
        </w:rPr>
        <w:t xml:space="preserve">” means, when referring to a vessel, a United States-flagged vessel documented with the United States Coast Guard with a coastwise endorsement and qualified to engage in domestic coastwise trade under the U.S. citizenship and cabotage laws principally contained in 46 U.S.C. § 50501(a), (b) and (d) and 46 U.S.C. Chapters 121 and 551, as amended or modified from time to time, and any successor statutes thereto. </w:t>
      </w:r>
    </w:p>
    <w:p>
      <w:pPr>
        <w:pStyle w:val="TextBody"/>
        <w:bidi w:val="0"/>
        <w:spacing w:before="240" w:after="0"/>
        <w:jc w:val="left"/>
        <w:rPr/>
      </w:pPr>
      <w:r>
        <w:rPr/>
        <w:t>“</w:t>
      </w:r>
      <w:r>
        <w:rPr>
          <w:rFonts w:ascii="Times New Roman" w:hAnsi="Times New Roman"/>
          <w:b/>
          <w:sz w:val="20"/>
        </w:rPr>
        <w:t>Jones Act Warrants</w:t>
      </w:r>
      <w:r>
        <w:rPr>
          <w:rFonts w:ascii="Times New Roman" w:hAnsi="Times New Roman"/>
          <w:sz w:val="20"/>
        </w:rPr>
        <w:t xml:space="preserve">” means those certain warrants issued to certain non-U.S. citizens in settlement of certain liabilities in respect of the Chapter 11 cases in the United States Bankruptcy Court for the Southern District of Texas, Houston Division, consummated September 4, 2020 and in connection with subsequent private offerings of the Borrower’s Equity Interests. </w:t>
      </w:r>
    </w:p>
    <w:p>
      <w:pPr>
        <w:pStyle w:val="TextBody"/>
        <w:bidi w:val="0"/>
        <w:spacing w:before="240" w:after="0"/>
        <w:jc w:val="left"/>
        <w:rPr/>
      </w:pPr>
      <w:r>
        <w:rPr/>
        <w:t>“</w:t>
      </w:r>
      <w:r>
        <w:rPr>
          <w:rFonts w:ascii="Times New Roman" w:hAnsi="Times New Roman"/>
          <w:b/>
          <w:sz w:val="20"/>
        </w:rPr>
        <w:t>Judgment Currency</w:t>
      </w:r>
      <w:r>
        <w:rPr>
          <w:rFonts w:ascii="Times New Roman" w:hAnsi="Times New Roman"/>
          <w:sz w:val="20"/>
        </w:rPr>
        <w:t xml:space="preserve">” has the meaning specified in </w:t>
      </w:r>
      <w:r>
        <w:rPr>
          <w:rFonts w:ascii="Times New Roman" w:hAnsi="Times New Roman"/>
          <w:sz w:val="20"/>
          <w:u w:val="single"/>
        </w:rPr>
        <w:t>Section 2.21(b)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Junior Debt Repayment</w:t>
      </w:r>
      <w:r>
        <w:rPr>
          <w:rFonts w:ascii="Times New Roman" w:hAnsi="Times New Roman"/>
          <w:sz w:val="20"/>
        </w:rPr>
        <w:t>” has the meaning specified in</w:t>
      </w:r>
      <w:r>
        <w:rPr>
          <w:rFonts w:ascii="Times New Roman" w:hAnsi="Times New Roman"/>
          <w:sz w:val="20"/>
          <w:u w:val="single"/>
        </w:rPr>
        <w:t xml:space="preserve"> Section 7.09(a)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Junior Financing</w:t>
      </w:r>
      <w:r>
        <w:rPr>
          <w:rFonts w:ascii="Times New Roman" w:hAnsi="Times New Roman"/>
          <w:sz w:val="20"/>
        </w:rPr>
        <w:t xml:space="preserve">” means any Material Indebtedness (with </w:t>
      </w:r>
      <w:r>
        <w:rPr>
          <w:rFonts w:ascii="Times New Roman" w:hAnsi="Times New Roman"/>
          <w:sz w:val="20"/>
          <w:u w:val="single"/>
        </w:rPr>
        <w:t>clause (d)</w:t>
      </w:r>
      <w:r>
        <w:rPr>
          <w:rFonts w:ascii="Times New Roman" w:hAnsi="Times New Roman"/>
          <w:sz w:val="20"/>
        </w:rPr>
        <w:t xml:space="preserve"> of the proviso in the definition thereof being deemed to be limited to Intercompany Indebtedness) that is (a) contractually subordinated in right of payment to the Obligations expressly by its terms, (b) Junior Lien Debt or (c) unsecured and constitutes Ratio Debt or is incurred in reliance on </w:t>
      </w:r>
      <w:r>
        <w:rPr>
          <w:rFonts w:ascii="Times New Roman" w:hAnsi="Times New Roman"/>
          <w:sz w:val="20"/>
          <w:u w:val="single"/>
        </w:rPr>
        <w:t>Section 7.03(a)(ii).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Junior Financing Documentation</w:t>
      </w:r>
      <w:r>
        <w:rPr>
          <w:rFonts w:ascii="Times New Roman" w:hAnsi="Times New Roman"/>
          <w:sz w:val="20"/>
        </w:rPr>
        <w:t xml:space="preserve">” means any documentation governing any Junior Financing. </w:t>
      </w:r>
    </w:p>
    <w:p>
      <w:pPr>
        <w:pStyle w:val="TextBody"/>
        <w:bidi w:val="0"/>
        <w:spacing w:before="240" w:after="0"/>
        <w:jc w:val="left"/>
        <w:rPr/>
      </w:pPr>
      <w:r>
        <w:rPr/>
        <w:t>“</w:t>
      </w:r>
      <w:r>
        <w:rPr>
          <w:rFonts w:ascii="Times New Roman" w:hAnsi="Times New Roman"/>
          <w:b/>
          <w:sz w:val="20"/>
        </w:rPr>
        <w:t>Junior Lien Debt</w:t>
      </w:r>
      <w:r>
        <w:rPr>
          <w:rFonts w:ascii="Times New Roman" w:hAnsi="Times New Roman"/>
          <w:sz w:val="20"/>
        </w:rPr>
        <w:t xml:space="preserve">” means Indebtedness incurred in accordance with this Agreement that is secured by Liens on the Collateral (including any Vessel Collateral) having Junior Lien Priority, </w:t>
      </w:r>
      <w:r>
        <w:rPr>
          <w:rFonts w:ascii="Times New Roman" w:hAnsi="Times New Roman"/>
          <w:i/>
          <w:sz w:val="20"/>
        </w:rPr>
        <w:t xml:space="preserve">provided </w:t>
      </w:r>
      <w:r>
        <w:rPr>
          <w:rFonts w:ascii="Times New Roman" w:hAnsi="Times New Roman"/>
          <w:sz w:val="20"/>
        </w:rPr>
        <w:t xml:space="preserve">that prior to the issuance of any such Indebtedness, the applicable Debt Representative shall enter into a Junior Lien Intercreditor Agreement with the Collateral Agent and the Administrative Agent, among others (if applicable) and, if elected by the Borrower, the Collateral Trust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for the avoidance of doubt, that Junior Lien Debt shall not include any unsecured Indebtedness. </w:t>
      </w:r>
    </w:p>
    <w:p>
      <w:pPr>
        <w:pStyle w:val="TextBody"/>
        <w:bidi w:val="0"/>
        <w:spacing w:before="240" w:after="0"/>
        <w:jc w:val="left"/>
        <w:rPr/>
      </w:pPr>
      <w:r>
        <w:rPr/>
        <w:t>“</w:t>
      </w:r>
      <w:r>
        <w:rPr>
          <w:rFonts w:ascii="Times New Roman" w:hAnsi="Times New Roman"/>
          <w:b/>
          <w:sz w:val="20"/>
        </w:rPr>
        <w:t>Junior Lien Intercreditor Agreement</w:t>
      </w:r>
      <w:r>
        <w:rPr>
          <w:rFonts w:ascii="Times New Roman" w:hAnsi="Times New Roman"/>
          <w:sz w:val="20"/>
        </w:rPr>
        <w:t xml:space="preserve">” means </w:t>
      </w:r>
      <w:r>
        <w:rPr>
          <w:rFonts w:ascii="Times New Roman" w:hAnsi="Times New Roman"/>
          <w:color w:val="0000FF"/>
          <w:sz w:val="20"/>
          <w:u w:val="single"/>
          <w:bdr w:val="double" w:sz="2" w:space="1" w:color="000000"/>
        </w:rPr>
        <w:t>(a</w:t>
      </w:r>
      <w:r>
        <w:rPr>
          <w:rFonts w:ascii="Times New Roman" w:hAnsi="Times New Roman"/>
          <w:sz w:val="20"/>
        </w:rPr>
        <w:t xml:space="preserve">) the Existing Junior Lien Intercreditor Agreement and, after termination of the Existing Junior Lien Intercreditor Agreement in connection with the Second Lien Credit Agreement Refinancing or otherwise, </w:t>
      </w:r>
      <w:r>
        <w:rPr>
          <w:rFonts w:ascii="Times New Roman" w:hAnsi="Times New Roman"/>
          <w:color w:val="0000FF"/>
          <w:sz w:val="20"/>
          <w:u w:val="single"/>
          <w:bdr w:val="double" w:sz="2" w:space="1" w:color="000000"/>
        </w:rPr>
        <w:t xml:space="preserve">(b) the First Amendment Junior Lien Intercreditor Agreement, (c) </w:t>
      </w:r>
      <w:r>
        <w:rPr>
          <w:rFonts w:ascii="Times New Roman" w:hAnsi="Times New Roman"/>
          <w:sz w:val="20"/>
        </w:rPr>
        <w:t xml:space="preserve">a junior lien intercreditor agreement in the form attached hereto as </w:t>
      </w:r>
      <w:r>
        <w:rPr>
          <w:rFonts w:ascii="Times New Roman" w:hAnsi="Times New Roman"/>
          <w:sz w:val="20"/>
          <w:u w:val="single"/>
        </w:rPr>
        <w:t>Exhibit K-2</w:t>
      </w:r>
      <w:r>
        <w:rPr>
          <w:rFonts w:ascii="Times New Roman" w:hAnsi="Times New Roman"/>
          <w:sz w:val="20"/>
        </w:rPr>
        <w:t xml:space="preserve"> (as the same may be modified in a manner reasonably satisfactory to the Administrative Agent, the Collateral Agent (at the direction of the Administrative Agent), the Required Lenders and the Borrower), or, </w:t>
      </w:r>
      <w:r>
        <w:rPr>
          <w:rFonts w:ascii="Times New Roman" w:hAnsi="Times New Roman"/>
          <w:color w:val="0000FF"/>
          <w:sz w:val="20"/>
          <w:u w:val="single"/>
          <w:bdr w:val="double" w:sz="2" w:space="1" w:color="000000"/>
        </w:rPr>
        <w:t>(d)</w:t>
      </w:r>
      <w:r>
        <w:rPr>
          <w:rFonts w:ascii="Times New Roman" w:hAnsi="Times New Roman"/>
          <w:sz w:val="20"/>
        </w:rPr>
        <w:t xml:space="preserve"> if requested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providers of Indebtedness permitted hereunder to be Junior Lien Debt, another lien subordination arrangement reasonably satisfactory to the Administrative Agent, the Collateral Agent (at the direction of the Administrative Agent), the Required Lenders and the Borrower, in each case as amended, restated, amended and restated, modified or supplemented from time to time in accordance with the terms hereof and thereof. Upon the request of the Borrower, the Administrative Agent and the Collateral Agent will execute and deliver a Junior Lien Intercreditor Agreement with one or more Debt Representatives for secured Indebtedness that is permitted to be incurred hereunder as Junior Lien Debt; provided that the Borrower shall not make such request unless such Indebtedness and related Liens are permitted by (including with respect to priority) the Loan Documents. </w:t>
      </w:r>
    </w:p>
    <w:p>
      <w:pPr>
        <w:pStyle w:val="TextBody"/>
        <w:bidi w:val="0"/>
        <w:spacing w:before="240" w:after="0"/>
        <w:jc w:val="left"/>
        <w:rPr/>
      </w:pPr>
      <w:r>
        <w:rPr/>
        <w:t>“</w:t>
      </w:r>
      <w:r>
        <w:rPr>
          <w:rFonts w:ascii="Times New Roman" w:hAnsi="Times New Roman"/>
          <w:b/>
          <w:sz w:val="20"/>
        </w:rPr>
        <w:t>Junior Lien Priority</w:t>
      </w:r>
      <w:r>
        <w:rPr>
          <w:rFonts w:ascii="Times New Roman" w:hAnsi="Times New Roman"/>
          <w:sz w:val="20"/>
        </w:rPr>
        <w:t xml:space="preserve">” means, with respect to a Lien on the Collateral, a Lien on such Collateral that is junior in priority to the Liens on the Collateral securing the Obligations pursuant to a Junior Lien Intercreditor Agreement. </w:t>
      </w:r>
    </w:p>
    <w:p>
      <w:pPr>
        <w:pStyle w:val="TextBody"/>
        <w:bidi w:val="0"/>
        <w:spacing w:before="240" w:after="0"/>
        <w:jc w:val="left"/>
        <w:rPr/>
      </w:pPr>
      <w:r>
        <w:rPr/>
        <w:t>“</w:t>
      </w:r>
      <w:r>
        <w:rPr>
          <w:rFonts w:ascii="Times New Roman" w:hAnsi="Times New Roman"/>
          <w:b/>
          <w:sz w:val="20"/>
        </w:rPr>
        <w:t>L/C Fee</w:t>
      </w:r>
      <w:r>
        <w:rPr>
          <w:rFonts w:ascii="Times New Roman" w:hAnsi="Times New Roman"/>
          <w:sz w:val="20"/>
        </w:rPr>
        <w:t xml:space="preserve">” has the meaning specified in </w:t>
      </w:r>
      <w:r>
        <w:rPr>
          <w:rFonts w:ascii="Times New Roman" w:hAnsi="Times New Roman"/>
          <w:sz w:val="20"/>
          <w:u w:val="single"/>
        </w:rPr>
        <w:t>Section 2.11(b)(ii).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Latest Maturity Date</w:t>
      </w:r>
      <w:r>
        <w:rPr>
          <w:rFonts w:ascii="Times New Roman" w:hAnsi="Times New Roman"/>
          <w:sz w:val="20"/>
        </w:rPr>
        <w:t xml:space="preserve">” means, at any date of determination, the latest maturity or expiration date applicable to any Loan or Commitment hereunder at such time, including the latest maturity or expiration date of any Incremental Loan, any Refinancing Loan or any Extended Loan, in each case as extended in accordance with this Agreement from time to time. </w:t>
      </w:r>
    </w:p>
    <w:p>
      <w:pPr>
        <w:pStyle w:val="TextBody"/>
        <w:bidi w:val="0"/>
        <w:spacing w:before="240" w:after="0"/>
        <w:jc w:val="left"/>
        <w:rPr/>
      </w:pPr>
      <w:r>
        <w:rPr/>
        <w:t>“</w:t>
      </w:r>
      <w:r>
        <w:rPr>
          <w:rFonts w:ascii="Times New Roman" w:hAnsi="Times New Roman"/>
          <w:b/>
          <w:sz w:val="20"/>
        </w:rPr>
        <w:t>Laws</w:t>
      </w:r>
      <w:r>
        <w:rPr>
          <w:rFonts w:ascii="Times New Roman" w:hAnsi="Times New Roman"/>
          <w:sz w:val="20"/>
        </w:rPr>
        <w:t xml:space="preserve">” means, collectively, all international, foreign, federal, state, provincial, territorial and local statutes, treaties, rules, guidelines, regulations, ordinances, codes and administrative or judicial precedents or authorities and executive orders, including the interpretation or administration thereof by any Governmental Authority charged with the enforcement, interpretation or administration thereof. </w:t>
      </w:r>
    </w:p>
    <w:p>
      <w:pPr>
        <w:pStyle w:val="TextBody"/>
        <w:bidi w:val="0"/>
        <w:spacing w:before="240" w:after="0"/>
        <w:jc w:val="left"/>
        <w:rPr/>
      </w:pPr>
      <w:r>
        <w:rPr/>
        <w:t>“</w:t>
      </w:r>
      <w:r>
        <w:rPr>
          <w:rFonts w:ascii="Times New Roman" w:hAnsi="Times New Roman"/>
          <w:b/>
          <w:sz w:val="20"/>
        </w:rPr>
        <w:t>LCT Election</w:t>
      </w:r>
      <w:r>
        <w:rPr>
          <w:rFonts w:ascii="Times New Roman" w:hAnsi="Times New Roman"/>
          <w:sz w:val="20"/>
        </w:rPr>
        <w:t xml:space="preserve">” has the meaning specified in </w:t>
      </w:r>
      <w:r>
        <w:rPr>
          <w:rFonts w:ascii="Times New Roman" w:hAnsi="Times New Roman"/>
          <w:sz w:val="20"/>
          <w:u w:val="single"/>
        </w:rPr>
        <w:t>Section 1.08(f).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LCT Test Date</w:t>
      </w:r>
      <w:r>
        <w:rPr>
          <w:rFonts w:ascii="Times New Roman" w:hAnsi="Times New Roman"/>
          <w:sz w:val="20"/>
        </w:rPr>
        <w:t>” has the meaning specified in</w:t>
      </w:r>
      <w:r>
        <w:rPr>
          <w:rFonts w:ascii="Times New Roman" w:hAnsi="Times New Roman"/>
          <w:sz w:val="20"/>
          <w:u w:val="single"/>
        </w:rPr>
        <w:t xml:space="preserve"> Section 1.08(f).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Lead Arranger</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sz w:val="20"/>
        </w:rPr>
        <w:t>Lender</w:t>
      </w:r>
      <w:r>
        <w:rPr>
          <w:rFonts w:ascii="Times New Roman" w:hAnsi="Times New Roman"/>
          <w:sz w:val="20"/>
        </w:rPr>
        <w:t xml:space="preserve">” has the meaning specified in the introductory paragraph to this Agreement (and, for the avoidance of doubt, includes each Revolving Lender), and their respective successors and assigns as permitted hereunder, each of which is referred to herein as a “Lender.” Each Additional Lender shall be a Lender to the extent any such Person has executed and delivered a Refinancing Amendment or an Incremental Amendment, as the case may be, and to the extent such Refinancing Amendment or Incremental Amendment shall have become effective in accordance with the terms hereof and thereof, and each Extending Lender shall continue to be a Lender. As of the Closing Date, </w:t>
      </w:r>
      <w:r>
        <w:rPr>
          <w:rFonts w:ascii="Times New Roman" w:hAnsi="Times New Roman"/>
          <w:sz w:val="20"/>
          <w:u w:val="single"/>
        </w:rPr>
        <w:t>Schedule 2.01</w:t>
      </w:r>
      <w:r>
        <w:rPr>
          <w:rFonts w:ascii="Times New Roman" w:hAnsi="Times New Roman"/>
          <w:sz w:val="20"/>
        </w:rPr>
        <w:t xml:space="preserve"> sets forth the name of each Lender. Unless the context otherwise requires, the term “Lenders” includes the Issuing Banks.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Lending Office</w:t>
      </w:r>
      <w:r>
        <w:rPr>
          <w:rFonts w:ascii="Times New Roman" w:hAnsi="Times New Roman"/>
          <w:sz w:val="20"/>
        </w:rPr>
        <w:t xml:space="preserve">” means, as to any Lender, the office or offices of such Lender described as such in such Lender’s Administrative Questionnaire, or such other office or offices as a Lender may from time to time notify the Borrower and the Administrative Agent. </w:t>
      </w:r>
    </w:p>
    <w:p>
      <w:pPr>
        <w:pStyle w:val="TextBody"/>
        <w:bidi w:val="0"/>
        <w:spacing w:before="240" w:after="0"/>
        <w:jc w:val="left"/>
        <w:rPr/>
      </w:pPr>
      <w:r>
        <w:rPr/>
        <w:t>“</w:t>
      </w:r>
      <w:r>
        <w:rPr>
          <w:rFonts w:ascii="Times New Roman" w:hAnsi="Times New Roman"/>
          <w:b/>
          <w:sz w:val="20"/>
        </w:rPr>
        <w:t>Letter of Credit</w:t>
      </w:r>
      <w:r>
        <w:rPr>
          <w:rFonts w:ascii="Times New Roman" w:hAnsi="Times New Roman"/>
          <w:sz w:val="20"/>
        </w:rPr>
        <w:t xml:space="preserve">” means a letter of credit issued or to be issued (or, in the case of an Existing Letter of Credit, deemed to be issued) by any Issuing Bank pursuant to this Agreement, which letter of credit shall be (a) a standby letter of credit or (b) solely to the extent agreed by the applicable Issuing Bank in its sole discretion, commercial or “trade” letter of credit. </w:t>
      </w:r>
    </w:p>
    <w:p>
      <w:pPr>
        <w:pStyle w:val="TextBody"/>
        <w:bidi w:val="0"/>
        <w:spacing w:before="240" w:after="0"/>
        <w:jc w:val="left"/>
        <w:rPr/>
      </w:pPr>
      <w:r>
        <w:rPr/>
        <w:t>“</w:t>
      </w:r>
      <w:r>
        <w:rPr>
          <w:rFonts w:ascii="Times New Roman" w:hAnsi="Times New Roman"/>
          <w:b/>
          <w:sz w:val="20"/>
        </w:rPr>
        <w:t>Letter of Credit Advance</w:t>
      </w:r>
      <w:r>
        <w:rPr>
          <w:rFonts w:ascii="Times New Roman" w:hAnsi="Times New Roman"/>
          <w:sz w:val="20"/>
        </w:rPr>
        <w:t xml:space="preserve">” means, as to any Revolving Lender, such Lender’s funding of its participation in any Letter of Credit Borrowing in accordance with its Pro Rata Share. </w:t>
      </w:r>
    </w:p>
    <w:p>
      <w:pPr>
        <w:pStyle w:val="TextBody"/>
        <w:bidi w:val="0"/>
        <w:spacing w:before="240" w:after="0"/>
        <w:jc w:val="left"/>
        <w:rPr/>
      </w:pPr>
      <w:r>
        <w:rPr/>
        <w:t>“</w:t>
      </w:r>
      <w:r>
        <w:rPr>
          <w:rFonts w:ascii="Times New Roman" w:hAnsi="Times New Roman"/>
          <w:b/>
          <w:sz w:val="20"/>
        </w:rPr>
        <w:t>Letter of Credit Application</w:t>
      </w:r>
      <w:r>
        <w:rPr>
          <w:rFonts w:ascii="Times New Roman" w:hAnsi="Times New Roman"/>
          <w:sz w:val="20"/>
        </w:rPr>
        <w:t xml:space="preserve">” means an application and agreement for the issuance or amendment of a Letter of Credit in the form from time to time in use by the applicable Issuing Bank, together with an Issuance Notice. </w:t>
      </w:r>
    </w:p>
    <w:p>
      <w:pPr>
        <w:pStyle w:val="TextBody"/>
        <w:bidi w:val="0"/>
        <w:spacing w:before="240" w:after="0"/>
        <w:jc w:val="left"/>
        <w:rPr/>
      </w:pPr>
      <w:r>
        <w:rPr/>
        <w:t>“</w:t>
      </w:r>
      <w:r>
        <w:rPr>
          <w:rFonts w:ascii="Times New Roman" w:hAnsi="Times New Roman"/>
          <w:b/>
          <w:sz w:val="20"/>
        </w:rPr>
        <w:t>Letter of Credit Borrowing</w:t>
      </w:r>
      <w:r>
        <w:rPr>
          <w:rFonts w:ascii="Times New Roman" w:hAnsi="Times New Roman"/>
          <w:sz w:val="20"/>
        </w:rPr>
        <w:t xml:space="preserve">” means an extension of credit resulting from a drawing under any Letter of Credit that has not been reimbursed by the Borrower on the date when made or refinanced as a Revolving Loan Borrowing. </w:t>
      </w:r>
    </w:p>
    <w:p>
      <w:pPr>
        <w:pStyle w:val="TextBody"/>
        <w:bidi w:val="0"/>
        <w:spacing w:before="240" w:after="0"/>
        <w:jc w:val="left"/>
        <w:rPr/>
      </w:pPr>
      <w:r>
        <w:rPr/>
        <w:t>“</w:t>
      </w:r>
      <w:r>
        <w:rPr>
          <w:rFonts w:ascii="Times New Roman" w:hAnsi="Times New Roman"/>
          <w:b/>
          <w:sz w:val="20"/>
        </w:rPr>
        <w:t>Letter of Credit Documents</w:t>
      </w:r>
      <w:r>
        <w:rPr>
          <w:rFonts w:ascii="Times New Roman" w:hAnsi="Times New Roman"/>
          <w:sz w:val="20"/>
        </w:rPr>
        <w:t xml:space="preserve">” means, as to any Letter of Credit, each Letter of Credit Application and any other document, agreement and instrument entered into by the applicable Issuing Bank and the Borrower or in favor of such Issuing Bank and relating to such Letter of Credit. </w:t>
      </w:r>
    </w:p>
    <w:p>
      <w:pPr>
        <w:pStyle w:val="TextBody"/>
        <w:bidi w:val="0"/>
        <w:spacing w:before="240" w:after="0"/>
        <w:jc w:val="left"/>
        <w:rPr/>
      </w:pPr>
      <w:r>
        <w:rPr/>
        <w:t>“</w:t>
      </w:r>
      <w:r>
        <w:rPr>
          <w:rFonts w:ascii="Times New Roman" w:hAnsi="Times New Roman"/>
          <w:b/>
          <w:sz w:val="20"/>
        </w:rPr>
        <w:t>Letter of Credit Expiration Date</w:t>
      </w:r>
      <w:r>
        <w:rPr>
          <w:rFonts w:ascii="Times New Roman" w:hAnsi="Times New Roman"/>
          <w:sz w:val="20"/>
        </w:rPr>
        <w:t xml:space="preserve">” means the day that is five Business Days prior to the Commitment Maturity Date (or, if such day is not a Business Day, the immediately preceding Business Day). </w:t>
      </w:r>
    </w:p>
    <w:p>
      <w:pPr>
        <w:pStyle w:val="TextBody"/>
        <w:bidi w:val="0"/>
        <w:spacing w:before="240" w:after="0"/>
        <w:jc w:val="left"/>
        <w:rPr/>
      </w:pPr>
      <w:r>
        <w:rPr/>
        <w:t>“</w:t>
      </w:r>
      <w:r>
        <w:rPr>
          <w:rFonts w:ascii="Times New Roman" w:hAnsi="Times New Roman"/>
          <w:b/>
          <w:sz w:val="20"/>
        </w:rPr>
        <w:t>Letter of Credit Extension</w:t>
      </w:r>
      <w:r>
        <w:rPr>
          <w:rFonts w:ascii="Times New Roman" w:hAnsi="Times New Roman"/>
          <w:sz w:val="20"/>
        </w:rPr>
        <w:t xml:space="preserve">” means, with respect to any Letter of Credit, the issuance thereof or the extension of the expiry date thereof, or the renewal or increase of the amount thereof. </w:t>
      </w:r>
    </w:p>
    <w:p>
      <w:pPr>
        <w:pStyle w:val="TextBody"/>
        <w:bidi w:val="0"/>
        <w:spacing w:before="240" w:after="0"/>
        <w:jc w:val="left"/>
        <w:rPr/>
      </w:pPr>
      <w:r>
        <w:rPr/>
        <w:t>“</w:t>
      </w:r>
      <w:r>
        <w:rPr>
          <w:rFonts w:ascii="Times New Roman" w:hAnsi="Times New Roman"/>
          <w:b/>
          <w:sz w:val="20"/>
        </w:rPr>
        <w:t>Letter of Credit Obligations</w:t>
      </w:r>
      <w:r>
        <w:rPr>
          <w:rFonts w:ascii="Times New Roman" w:hAnsi="Times New Roman"/>
          <w:sz w:val="20"/>
        </w:rPr>
        <w:t xml:space="preserve">” means, at any time, the aggregate of all liabilities at such time of any Loan Party to each Issuing Bank with respect to Letters of Credit, whether or not any such liability is contingent, including, without duplication, the sum of (a) the Reimbursement Obligations at such time and (b) the maximum aggregate amount which is, or at any time thereafter may become, available for drawing under all Letters of Credit then outstanding. </w:t>
      </w:r>
    </w:p>
    <w:p>
      <w:pPr>
        <w:pStyle w:val="TextBody"/>
        <w:bidi w:val="0"/>
        <w:spacing w:before="240" w:after="0"/>
        <w:jc w:val="left"/>
        <w:rPr/>
      </w:pPr>
      <w:r>
        <w:rPr/>
        <w:t>“</w:t>
      </w:r>
      <w:r>
        <w:rPr>
          <w:rFonts w:ascii="Times New Roman" w:hAnsi="Times New Roman"/>
          <w:b/>
          <w:sz w:val="20"/>
        </w:rPr>
        <w:t>Letter of Credit Percentage</w:t>
      </w:r>
      <w:r>
        <w:rPr>
          <w:rFonts w:ascii="Times New Roman" w:hAnsi="Times New Roman"/>
          <w:sz w:val="20"/>
        </w:rPr>
        <w:t>” means, (a) initially with respect to DNB, 100.00% (as may be reduced to reflect any percentage allocated to another Issuing Bank pursuant to the immediately succeeding</w:t>
      </w:r>
      <w:r>
        <w:rPr>
          <w:rFonts w:ascii="Times New Roman" w:hAnsi="Times New Roman"/>
          <w:sz w:val="20"/>
          <w:u w:val="single"/>
        </w:rPr>
        <w:t xml:space="preserve"> clause (b)</w:t>
      </w:r>
      <w:r>
        <w:rPr>
          <w:rFonts w:ascii="Times New Roman" w:hAnsi="Times New Roman"/>
          <w:sz w:val="20"/>
        </w:rPr>
        <w:t xml:space="preserve">) and (b) from time to time after the Closing Date with respect to any other Issuing Bank, a percentage to be agreed between the Borrower and such Issuing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Letter of Credit Sublimit</w:t>
      </w:r>
      <w:r>
        <w:rPr>
          <w:rFonts w:ascii="Times New Roman" w:hAnsi="Times New Roman"/>
          <w:sz w:val="20"/>
        </w:rPr>
        <w:t xml:space="preserve">” means the greater of (a) $25,000,000 and (b) such higher amount as the Borrower, the Revolving Lenders and the applicable Issuing Bank(s) may from time to time agree. </w:t>
      </w:r>
    </w:p>
    <w:p>
      <w:pPr>
        <w:pStyle w:val="TextBody"/>
        <w:bidi w:val="0"/>
        <w:spacing w:before="240" w:after="0"/>
        <w:jc w:val="left"/>
        <w:rPr/>
      </w:pPr>
      <w:r>
        <w:rPr/>
        <w:t>“</w:t>
      </w:r>
      <w:r>
        <w:rPr>
          <w:rFonts w:ascii="Times New Roman" w:hAnsi="Times New Roman"/>
          <w:b/>
          <w:sz w:val="20"/>
        </w:rPr>
        <w:t>Letter of Credit Usage</w:t>
      </w:r>
      <w:r>
        <w:rPr>
          <w:rFonts w:ascii="Times New Roman" w:hAnsi="Times New Roman"/>
          <w:sz w:val="20"/>
        </w:rPr>
        <w:t xml:space="preserve">” means, as of any date of determination, the sum of (a) the maximum aggregate amount which is, or at any time thereafter may become, available for drawing under all Letters of Credit then outstanding and (b) the aggregate amount of all Reimbursement Obligations outstanding at such time.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any mortgage, pledge, security interest, encumbrance, lien, hypothecation or charge of any kind (including any conditional sale or other title retention agreement or lease in the nature thereof); provided that in no event shall Non-Financing Lease Obligations be deemed to constitute a Lien. </w:t>
      </w:r>
    </w:p>
    <w:p>
      <w:pPr>
        <w:pStyle w:val="TextBody"/>
        <w:bidi w:val="0"/>
        <w:spacing w:before="240" w:after="0"/>
        <w:jc w:val="left"/>
        <w:rPr/>
      </w:pPr>
      <w:r>
        <w:rPr/>
        <w:t>“</w:t>
      </w:r>
      <w:r>
        <w:rPr>
          <w:rFonts w:ascii="Times New Roman" w:hAnsi="Times New Roman"/>
          <w:b/>
          <w:sz w:val="20"/>
        </w:rPr>
        <w:t>Lien Release Event</w:t>
      </w:r>
      <w:r>
        <w:rPr>
          <w:rFonts w:ascii="Times New Roman" w:hAnsi="Times New Roman"/>
          <w:sz w:val="20"/>
        </w:rPr>
        <w:t xml:space="preserve">” has the meaning specified in </w:t>
      </w:r>
      <w:r>
        <w:rPr>
          <w:rFonts w:ascii="Times New Roman" w:hAnsi="Times New Roman"/>
          <w:sz w:val="20"/>
          <w:u w:val="single"/>
        </w:rPr>
        <w:t>Section 10.11(a)(i)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Limited Condition Transaction</w:t>
      </w:r>
      <w:r>
        <w:rPr>
          <w:rFonts w:ascii="Times New Roman" w:hAnsi="Times New Roman"/>
          <w:sz w:val="20"/>
        </w:rPr>
        <w:t xml:space="preserve">” means (1) any Investment or acquisition (whether by merger, amalgamation, consolidation or other business combination or the acquisition of Equity Interests or otherwise and which may include, for the avoidance of doubt, a transaction that may constitute a Change of Control), (2) any redemption, repurchase, defeasance, satisfaction and discharge or repayment of Indebtedness, Disqualified Equity Interests or Preferred Stock requiring irrevocable notice in advance of such redemption, repurchase, defeasance, satisfaction and discharge or repayment, (3) any Restricted Payment requiring irrevocable notice in advance thereof, (4) any asset sale or a disposition excluded from the definition of “Disposition,” and (5) any combination of any of the foregoing. </w:t>
      </w:r>
    </w:p>
    <w:p>
      <w:pPr>
        <w:pStyle w:val="TextBody"/>
        <w:bidi w:val="0"/>
        <w:spacing w:before="240" w:after="0"/>
        <w:jc w:val="left"/>
        <w:rPr/>
      </w:pPr>
      <w:r>
        <w:rPr/>
        <w:t>“</w:t>
      </w:r>
      <w:r>
        <w:rPr>
          <w:rFonts w:ascii="Times New Roman" w:hAnsi="Times New Roman"/>
          <w:b/>
          <w:sz w:val="20"/>
        </w:rPr>
        <w:t>Liquidity</w:t>
      </w:r>
      <w:r>
        <w:rPr>
          <w:rFonts w:ascii="Times New Roman" w:hAnsi="Times New Roman"/>
          <w:sz w:val="20"/>
        </w:rPr>
        <w:t xml:space="preserve">” means, as of any date of determination, the aggregate amount of cash and Cash Equivalents that is not Restricted, in each case, of the Loan Parties and their Restricted Subsidiaries, together with unused and undrawn Commitments under this Agreement that are available to be drawn at such time. </w:t>
      </w:r>
    </w:p>
    <w:p>
      <w:pPr>
        <w:pStyle w:val="TextBody"/>
        <w:bidi w:val="0"/>
        <w:spacing w:before="240" w:after="0"/>
        <w:jc w:val="left"/>
        <w:rPr/>
      </w:pPr>
      <w:r>
        <w:rPr/>
        <w:t>“</w:t>
      </w:r>
      <w:r>
        <w:rPr>
          <w:rFonts w:ascii="Times New Roman" w:hAnsi="Times New Roman"/>
          <w:b/>
          <w:sz w:val="20"/>
        </w:rPr>
        <w:t>Loan</w:t>
      </w:r>
      <w:r>
        <w:rPr>
          <w:rFonts w:ascii="Times New Roman" w:hAnsi="Times New Roman"/>
          <w:sz w:val="20"/>
        </w:rPr>
        <w:t xml:space="preserve">” means a Revolving Loan made by a Lender to the Borrower under </w:t>
      </w:r>
      <w:r>
        <w:rPr>
          <w:rFonts w:ascii="Times New Roman" w:hAnsi="Times New Roman"/>
          <w:sz w:val="20"/>
          <w:u w:val="single"/>
        </w:rPr>
        <w:t>Article II</w:t>
      </w:r>
      <w:r>
        <w:rPr>
          <w:rFonts w:ascii="Times New Roman" w:hAnsi="Times New Roman"/>
          <w:sz w:val="20"/>
        </w:rPr>
        <w:t xml:space="preserve"> (including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Loan Documents</w:t>
      </w:r>
      <w:r>
        <w:rPr>
          <w:rFonts w:ascii="Times New Roman" w:hAnsi="Times New Roman"/>
          <w:sz w:val="20"/>
        </w:rPr>
        <w:t xml:space="preserve">” means, collectively, (a) this Agreement, (b) the Revolving Loan Notes, if any, (c) any Refinancing Amendment, Incremental Amendment or Extension Amendment, (d) the Guaranty, (e) the Collateral Documents, (f) any Intercreditor Agreements required to be entered into pursuant to the terms of this Agreement, (g) the Collateral Agent Fee Letter, (h) the Agency Fee Letter and (i) any other document or agreement designated as such by the Borrower and the Administrative Agent. </w:t>
      </w:r>
    </w:p>
    <w:p>
      <w:pPr>
        <w:pStyle w:val="TextBody"/>
        <w:bidi w:val="0"/>
        <w:spacing w:before="240" w:after="0"/>
        <w:jc w:val="left"/>
        <w:rPr/>
      </w:pPr>
      <w:r>
        <w:rPr/>
        <w:t>“</w:t>
      </w:r>
      <w:r>
        <w:rPr>
          <w:rFonts w:ascii="Times New Roman" w:hAnsi="Times New Roman"/>
          <w:b/>
          <w:sz w:val="20"/>
        </w:rPr>
        <w:t>Loan Parties</w:t>
      </w:r>
      <w:r>
        <w:rPr>
          <w:rFonts w:ascii="Times New Roman" w:hAnsi="Times New Roman"/>
          <w:sz w:val="20"/>
        </w:rPr>
        <w:t xml:space="preserve">” means, collectively, the Borrower and the Guarantors. </w:t>
      </w:r>
    </w:p>
    <w:p>
      <w:pPr>
        <w:pStyle w:val="TextBody"/>
        <w:bidi w:val="0"/>
        <w:spacing w:before="240" w:after="0"/>
        <w:jc w:val="left"/>
        <w:rPr/>
      </w:pPr>
      <w:r>
        <w:rPr/>
        <w:t>“</w:t>
      </w:r>
      <w:r>
        <w:rPr>
          <w:rFonts w:ascii="Times New Roman" w:hAnsi="Times New Roman"/>
          <w:b/>
          <w:sz w:val="20"/>
        </w:rPr>
        <w:t>Low-Spec Vessel</w:t>
      </w:r>
      <w:r>
        <w:rPr>
          <w:rFonts w:ascii="Times New Roman" w:hAnsi="Times New Roman"/>
          <w:sz w:val="20"/>
        </w:rPr>
        <w:t xml:space="preserve">” means, when referring to a Vessel, a Vessel with cargo-carrying capacity of less than 2,500 DWT (i.e., primarily 200 class OSV notations), and/or dynamic-positioning systems with a DP-1 classification or lower.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Management Advances</w:t>
      </w:r>
      <w:r>
        <w:rPr>
          <w:rFonts w:ascii="Times New Roman" w:hAnsi="Times New Roman"/>
          <w:sz w:val="20"/>
        </w:rPr>
        <w:t xml:space="preserve">”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(1)(a)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Equity Interests (or similar obligations) of the Borrower, its Subsidiaries or any Parent Entity with (in the case of this</w:t>
      </w:r>
      <w:r>
        <w:rPr>
          <w:rFonts w:ascii="Times New Roman" w:hAnsi="Times New Roman"/>
          <w:sz w:val="20"/>
          <w:u w:val="single"/>
        </w:rPr>
        <w:t xml:space="preserve"> clause (1)(b)</w:t>
      </w:r>
      <w:r>
        <w:rPr>
          <w:rFonts w:ascii="Times New Roman" w:hAnsi="Times New Roman"/>
          <w:sz w:val="20"/>
        </w:rPr>
        <w:t xml:space="preserve">) the approval of the Board of Directors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(2) in respect of relocation or moving related expenses, payroll advances and other analogous or similar expenses or payroll expenses, in each case incurred in connection with any closing or consolidation of any facility or office; or </w:t>
      </w:r>
    </w:p>
    <w:p>
      <w:pPr>
        <w:pStyle w:val="TextBody"/>
        <w:bidi w:val="0"/>
        <w:spacing w:before="120" w:after="0"/>
        <w:jc w:val="left"/>
        <w:rPr>
          <w:rFonts w:ascii="Times New Roman" w:hAnsi="Times New Roman"/>
          <w:sz w:val="20"/>
        </w:rPr>
      </w:pPr>
      <w:r>
        <w:rPr>
          <w:rFonts w:ascii="Times New Roman" w:hAnsi="Times New Roman"/>
          <w:sz w:val="20"/>
        </w:rPr>
        <w:t xml:space="preserve">(3) not exceeding $2.0 million . </w:t>
      </w:r>
    </w:p>
    <w:p>
      <w:pPr>
        <w:pStyle w:val="TextBody"/>
        <w:bidi w:val="0"/>
        <w:spacing w:before="240" w:after="0"/>
        <w:jc w:val="left"/>
        <w:rPr/>
      </w:pPr>
      <w:r>
        <w:rPr/>
        <w:t>“</w:t>
      </w:r>
      <w:r>
        <w:rPr>
          <w:rFonts w:ascii="Times New Roman" w:hAnsi="Times New Roman"/>
          <w:b/>
          <w:sz w:val="20"/>
        </w:rPr>
        <w:t>Management Stockholders</w:t>
      </w:r>
      <w:r>
        <w:rPr>
          <w:rFonts w:ascii="Times New Roman" w:hAnsi="Times New Roman"/>
          <w:sz w:val="20"/>
        </w:rPr>
        <w:t xml:space="preserve">” means the members of management of the Borrower (or any Parent Entity) or its Subsidiaries who are holders of Equity Interests of the Borrower or of any Parent Entity. </w:t>
      </w:r>
    </w:p>
    <w:p>
      <w:pPr>
        <w:pStyle w:val="TextBody"/>
        <w:bidi w:val="0"/>
        <w:spacing w:before="240" w:after="0"/>
        <w:jc w:val="left"/>
        <w:rPr/>
      </w:pPr>
      <w:r>
        <w:rPr/>
        <w:t>“</w:t>
      </w:r>
      <w:r>
        <w:rPr>
          <w:rFonts w:ascii="Times New Roman" w:hAnsi="Times New Roman"/>
          <w:b/>
          <w:sz w:val="20"/>
        </w:rPr>
        <w:t>Margin Stock</w:t>
      </w:r>
      <w:r>
        <w:rPr>
          <w:rFonts w:ascii="Times New Roman" w:hAnsi="Times New Roman"/>
          <w:sz w:val="20"/>
        </w:rPr>
        <w:t xml:space="preserve">” has the meaning set forth in Regulation U.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event, circumstance or condition that has had a materially adverse effect on (a) the business, operations, assets, liabilities (actual or contingent) or financial condition of the Borrower and the Restricted Subsidiaries, taken as a whole, (b) the ability of the Loan Parties (taken as a whole) to perform their respective payment obligations under any Loan Document to which any of the Loan Parties is a party or (c) the rights and remedies of the Collateral Agent or the Administrative Agent under any Loan Document. </w:t>
      </w:r>
    </w:p>
    <w:p>
      <w:pPr>
        <w:pStyle w:val="TextBody"/>
        <w:bidi w:val="0"/>
        <w:spacing w:before="240" w:after="0"/>
        <w:jc w:val="left"/>
        <w:rPr/>
      </w:pPr>
      <w:r>
        <w:rPr/>
        <w:t>“</w:t>
      </w:r>
      <w:r>
        <w:rPr>
          <w:rFonts w:ascii="Times New Roman" w:hAnsi="Times New Roman"/>
          <w:b/>
          <w:sz w:val="20"/>
        </w:rPr>
        <w:t>Material Indebtedness</w:t>
      </w:r>
      <w:r>
        <w:rPr>
          <w:rFonts w:ascii="Times New Roman" w:hAnsi="Times New Roman"/>
          <w:sz w:val="20"/>
        </w:rPr>
        <w:t xml:space="preserve">” means, as of any date, Indebtedness for Borrowed Money on such date of any Loan Party in an aggregate principal amount exceeding the Threshold Amount; </w:t>
      </w:r>
      <w:r>
        <w:rPr>
          <w:rFonts w:ascii="Times New Roman" w:hAnsi="Times New Roman"/>
          <w:i/>
          <w:sz w:val="20"/>
        </w:rPr>
        <w:t xml:space="preserve">provided </w:t>
      </w:r>
      <w:r>
        <w:rPr>
          <w:rFonts w:ascii="Times New Roman" w:hAnsi="Times New Roman"/>
          <w:sz w:val="20"/>
        </w:rPr>
        <w:t xml:space="preserve">that in no event shall any of the following be Material Indebtedness (a) Indebtedness under a Loan Document, (b) obligations in respect of a Qualified Securitization Financing, (c) Capitalized Lease Obligations, (d) Indebtedness held by a Loan Party or any Indebtedness held by an Affiliate of a Loan Party and (e) Indebtedness under Hedge Agreements.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means, (a) with respect to any Revolving Loans, the earlier of (i) the date that is five years after the Closing Date and (ii) the date such Revolving Loans are terminated and declared due and payable pursuant to</w:t>
      </w:r>
      <w:r>
        <w:rPr>
          <w:rFonts w:ascii="Times New Roman" w:hAnsi="Times New Roman"/>
          <w:sz w:val="20"/>
          <w:u w:val="single"/>
        </w:rPr>
        <w:t xml:space="preserve"> Section 9.02</w:t>
      </w:r>
      <w:r>
        <w:rPr>
          <w:rFonts w:ascii="Times New Roman" w:hAnsi="Times New Roman"/>
          <w:sz w:val="20"/>
        </w:rPr>
        <w:t xml:space="preserve">, (b) with respect to any tranche of Extended Commitments, the earlier of (i) the final maturity date as specified in the applicable Extension Amendment and (ii) the date such tranche of Extended Commitments are terminated and declared due and payable pursuant to </w:t>
      </w:r>
      <w:r>
        <w:rPr>
          <w:rFonts w:ascii="Times New Roman" w:hAnsi="Times New Roman"/>
          <w:sz w:val="20"/>
          <w:u w:val="single"/>
        </w:rPr>
        <w:t>Section 9.02</w:t>
      </w:r>
      <w:r>
        <w:rPr>
          <w:rFonts w:ascii="Times New Roman" w:hAnsi="Times New Roman"/>
          <w:sz w:val="20"/>
        </w:rPr>
        <w:t xml:space="preserve">, and (c) with respect to any Refinancing Loans, the earlier of (i) the final maturity date as specified in the applicable Refinancing Amendment and (ii) the date such Refinancing Loans are terminated and declared due and payable pursuant to </w:t>
      </w:r>
      <w:r>
        <w:rPr>
          <w:rFonts w:ascii="Times New Roman" w:hAnsi="Times New Roman"/>
          <w:sz w:val="20"/>
          <w:u w:val="single"/>
        </w:rPr>
        <w:t>Section 9.02;</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if such day is not a Business Day, the applicable Maturity Date shall be the Business Day immediately preceding such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Maximum Rate</w:t>
      </w:r>
      <w:r>
        <w:rPr>
          <w:rFonts w:ascii="Times New Roman" w:hAnsi="Times New Roman"/>
          <w:sz w:val="20"/>
        </w:rPr>
        <w:t xml:space="preserve">” has the meaning specified in </w:t>
      </w:r>
      <w:r>
        <w:rPr>
          <w:rFonts w:ascii="Times New Roman" w:hAnsi="Times New Roman"/>
          <w:sz w:val="20"/>
          <w:u w:val="single"/>
        </w:rPr>
        <w:t>Section 11.10.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Measurement Date</w:t>
      </w:r>
      <w:r>
        <w:rPr>
          <w:rFonts w:ascii="Times New Roman" w:hAnsi="Times New Roman"/>
          <w:sz w:val="20"/>
        </w:rPr>
        <w:t xml:space="preserve">” has the meaning assigned to such term in </w:t>
      </w:r>
      <w:r>
        <w:rPr>
          <w:rFonts w:ascii="Times New Roman" w:hAnsi="Times New Roman"/>
          <w:sz w:val="20"/>
          <w:u w:val="single"/>
        </w:rPr>
        <w:t>Section 8.01(a)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Mid Specification”</w:t>
      </w:r>
      <w:r>
        <w:rPr>
          <w:rFonts w:ascii="Times New Roman" w:hAnsi="Times New Roman"/>
          <w:sz w:val="20"/>
        </w:rPr>
        <w:t>or “</w:t>
      </w:r>
      <w:r>
        <w:rPr>
          <w:rFonts w:ascii="Times New Roman" w:hAnsi="Times New Roman"/>
          <w:b/>
          <w:sz w:val="20"/>
        </w:rPr>
        <w:t>Mid-Spec</w:t>
      </w:r>
      <w:r>
        <w:rPr>
          <w:rFonts w:ascii="Times New Roman" w:hAnsi="Times New Roman"/>
          <w:sz w:val="20"/>
        </w:rPr>
        <w:t xml:space="preserve">” means, when referring to OSVs, vessels with cargo carrying capacity of between 2,500 and 3,500 DWT (i.e., primarily 240 class OSV notations), and dynamic positioning systems with a DP-2 classification or lower. </w:t>
      </w:r>
    </w:p>
    <w:p>
      <w:pPr>
        <w:pStyle w:val="TextBody"/>
        <w:bidi w:val="0"/>
        <w:spacing w:before="240" w:after="0"/>
        <w:jc w:val="left"/>
        <w:rPr/>
      </w:pPr>
      <w:r>
        <w:rPr/>
        <w:t>“</w:t>
      </w:r>
      <w:r>
        <w:rPr>
          <w:rFonts w:ascii="Times New Roman" w:hAnsi="Times New Roman"/>
          <w:b/>
          <w:sz w:val="20"/>
        </w:rPr>
        <w:t>Minimum L/C Collateral Amount</w:t>
      </w:r>
      <w:r>
        <w:rPr>
          <w:rFonts w:ascii="Times New Roman" w:hAnsi="Times New Roman"/>
          <w:sz w:val="20"/>
        </w:rPr>
        <w:t xml:space="preserve">” means, at any time, (a) with respect to Cash Collateral consisting of cash or deposit account balances, an amount equal to 105% of the Fronting Exposure of the Issuing Banks with respect to Letters of Credit issued and outstanding at such time, and (b) otherwise, an amount determined by the Administrative Agent and the Issuing Banks in their sole discretion. </w:t>
      </w:r>
    </w:p>
    <w:p>
      <w:pPr>
        <w:pStyle w:val="TextBody"/>
        <w:bidi w:val="0"/>
        <w:spacing w:before="240" w:after="0"/>
        <w:jc w:val="left"/>
        <w:rPr/>
      </w:pPr>
      <w:r>
        <w:rPr/>
        <w:t>“</w:t>
      </w:r>
      <w:r>
        <w:rPr>
          <w:rFonts w:ascii="Times New Roman" w:hAnsi="Times New Roman"/>
          <w:b/>
          <w:sz w:val="20"/>
        </w:rPr>
        <w:t>Moody</w:t>
      </w:r>
      <w:r>
        <w:rPr>
          <w:rFonts w:ascii="Times New Roman" w:hAnsi="Times New Roman"/>
          <w:sz w:val="20"/>
        </w:rPr>
        <w:t xml:space="preserve">’s” means Moody’s Investors Service, Inc. and any successor thereto. </w:t>
      </w:r>
    </w:p>
    <w:p>
      <w:pPr>
        <w:pStyle w:val="TextBody"/>
        <w:bidi w:val="0"/>
        <w:spacing w:before="240" w:after="0"/>
        <w:jc w:val="left"/>
        <w:rPr/>
      </w:pPr>
      <w:r>
        <w:rPr/>
        <w:t>“</w:t>
      </w:r>
      <w:r>
        <w:rPr>
          <w:rFonts w:ascii="Times New Roman" w:hAnsi="Times New Roman"/>
          <w:b/>
          <w:sz w:val="20"/>
        </w:rPr>
        <w:t>Mortgage</w:t>
      </w:r>
      <w:r>
        <w:rPr>
          <w:rFonts w:ascii="Times New Roman" w:hAnsi="Times New Roman"/>
          <w:sz w:val="20"/>
        </w:rPr>
        <w:t xml:space="preserve">” has the meaning specified in </w:t>
      </w:r>
      <w:r>
        <w:rPr>
          <w:rFonts w:ascii="Times New Roman" w:hAnsi="Times New Roman"/>
          <w:sz w:val="20"/>
          <w:u w:val="single"/>
        </w:rPr>
        <w:t>Section 6.19(e)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MPSV</w:t>
      </w:r>
      <w:r>
        <w:rPr>
          <w:rFonts w:ascii="Times New Roman" w:hAnsi="Times New Roman"/>
          <w:sz w:val="20"/>
        </w:rPr>
        <w:t xml:space="preserve">” means a multi-purpose support vessel.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 if liability to a Loan Party remains. </w:t>
      </w:r>
    </w:p>
    <w:p>
      <w:pPr>
        <w:pStyle w:val="TextBody"/>
        <w:bidi w:val="0"/>
        <w:spacing w:before="240" w:after="0"/>
        <w:jc w:val="left"/>
        <w:rPr/>
      </w:pPr>
      <w:r>
        <w:rPr/>
        <w:t>“</w:t>
      </w:r>
      <w:r>
        <w:rPr>
          <w:rFonts w:ascii="Times New Roman" w:hAnsi="Times New Roman"/>
          <w:b/>
          <w:sz w:val="20"/>
        </w:rPr>
        <w:t>Net Income</w:t>
      </w:r>
      <w:r>
        <w:rPr>
          <w:rFonts w:ascii="Times New Roman" w:hAnsi="Times New Roman"/>
          <w:sz w:val="20"/>
        </w:rPr>
        <w:t xml:space="preserve">” means, with respect to any Person, the net income (loss) of such Person, determined in accordance with GAAP (determined, for the avoidance of doubt, on a consolidated basis) and before any reduction in respect of preferred stock dividends. </w:t>
      </w:r>
    </w:p>
    <w:p>
      <w:pPr>
        <w:pStyle w:val="TextBody"/>
        <w:bidi w:val="0"/>
        <w:spacing w:before="240" w:after="0"/>
        <w:jc w:val="left"/>
        <w:rPr/>
      </w:pPr>
      <w:r>
        <w:rPr/>
        <w:t>“</w:t>
      </w:r>
      <w:r>
        <w:rPr>
          <w:rFonts w:ascii="Times New Roman" w:hAnsi="Times New Roman"/>
          <w:b/>
          <w:sz w:val="20"/>
        </w:rPr>
        <w:t>Net Short Lender</w:t>
      </w:r>
      <w:r>
        <w:rPr>
          <w:rFonts w:ascii="Times New Roman" w:hAnsi="Times New Roman"/>
          <w:sz w:val="20"/>
        </w:rPr>
        <w:t xml:space="preserve">” means, at any date of determination, each Lender (other than any Unrestricted Lender) that has a Net Short Position as of such date. </w:t>
      </w:r>
    </w:p>
    <w:p>
      <w:pPr>
        <w:pStyle w:val="TextBody"/>
        <w:bidi w:val="0"/>
        <w:spacing w:before="240" w:after="0"/>
        <w:jc w:val="left"/>
        <w:rPr/>
      </w:pPr>
      <w:r>
        <w:rPr/>
        <w:t>“</w:t>
      </w:r>
      <w:r>
        <w:rPr>
          <w:rFonts w:ascii="Times New Roman" w:hAnsi="Times New Roman"/>
          <w:b/>
          <w:sz w:val="20"/>
        </w:rPr>
        <w:t>Net Short Position</w:t>
      </w:r>
      <w:r>
        <w:rPr>
          <w:rFonts w:ascii="Times New Roman" w:hAnsi="Times New Roman"/>
          <w:sz w:val="20"/>
        </w:rPr>
        <w:t xml:space="preserve">” means, with respect to a Lender (other than an Unrestricted Lender), as of a date of determination, the net positive position, if any, held by such Lender that is remaining after deducting any long position that the Lender holds (i.e., a position (whether as an investor, lender or holder of Loans, debt obligations and/or Derivative Instruments) where the Lender is exposed to the credit risk of Deliverable Obligations of the Loan Parties) from any short positions (i.e., a position as described above, but where the Lender is instead protected from the credit risk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determining whether a Lender (other than an Unrestricted Lender) has a Net Short Position on any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(i) Derivative Instruments shall be counted at the notional amount (in Dollars) of such Derivative Instrument; </w:t>
      </w:r>
      <w:r>
        <w:rPr>
          <w:rFonts w:ascii="Times New Roman" w:hAnsi="Times New Roman"/>
          <w:i/>
          <w:sz w:val="20"/>
        </w:rPr>
        <w:t xml:space="preserve">provided </w:t>
      </w:r>
      <w:r>
        <w:rPr>
          <w:rFonts w:ascii="Times New Roman" w:hAnsi="Times New Roman"/>
          <w:sz w:val="20"/>
        </w:rPr>
        <w:t xml:space="preserve">that, subject to </w:t>
      </w:r>
      <w:r>
        <w:rPr>
          <w:rFonts w:ascii="Times New Roman" w:hAnsi="Times New Roman"/>
          <w:sz w:val="20"/>
          <w:u w:val="single"/>
        </w:rPr>
        <w:t>clause (v)</w:t>
      </w:r>
      <w:r>
        <w:rPr>
          <w:rFonts w:ascii="Times New Roman" w:hAnsi="Times New Roman"/>
          <w:sz w:val="20"/>
        </w:rPr>
        <w:t xml:space="preserve"> below, the notional amount of Derivative Instruments referencing an index that includes any of the Loan Parties or any bond or loan obligation issued or guaranteed by any Loan Party shall be determined in proportionate amount and by reference to the percentage weighting of the component which references any Loan Party or any bond or loan obligation issued or guaranteed by any Loan Party that would be a “Deliverable Obligation” or an “Obligation” (as defined in the ISDA CDS Definitions) of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(ii) notional amounts of Derivative Instruments in other currencies shall be converted to the Dollar equivalent thereof by such Lender in accordance with the terms of such Derivative Instruments, as applicable; </w:t>
      </w:r>
      <w:r>
        <w:rPr>
          <w:rFonts w:ascii="Times New Roman" w:hAnsi="Times New Roman"/>
          <w:i/>
          <w:sz w:val="20"/>
        </w:rPr>
        <w:t xml:space="preserve">provided </w:t>
      </w:r>
      <w:r>
        <w:rPr>
          <w:rFonts w:ascii="Times New Roman" w:hAnsi="Times New Roman"/>
          <w:sz w:val="20"/>
        </w:rPr>
        <w:t xml:space="preserve">that if not otherwise provided in such Derivative Instrument, such conversion shall be made in a commercially reasonable manner consistent with generally accepted financial practices and based on the prevailing conversion rate determined (on a mid-market basis) by such Lender, acting in a commercially reasonable manner, on the date of determination; </w:t>
      </w:r>
    </w:p>
    <w:p>
      <w:pPr>
        <w:pStyle w:val="TextBody"/>
        <w:bidi w:val="0"/>
        <w:spacing w:before="120" w:after="0"/>
        <w:jc w:val="left"/>
        <w:rPr>
          <w:rFonts w:ascii="Times New Roman" w:hAnsi="Times New Roman"/>
          <w:sz w:val="20"/>
        </w:rPr>
      </w:pPr>
      <w:r>
        <w:rPr>
          <w:rFonts w:ascii="Times New Roman" w:hAnsi="Times New Roman"/>
          <w:sz w:val="20"/>
        </w:rPr>
        <w:t>(iii) Derivative Instruments that are documented using either the 2014 ISDA Credit Derivatives Definitions or the 2003 ISDA Credit Derivatives Definitions (or any successor definitions thereof, collectively, the “</w:t>
      </w:r>
      <w:r>
        <w:rPr>
          <w:rFonts w:ascii="Times New Roman" w:hAnsi="Times New Roman"/>
          <w:b/>
          <w:sz w:val="20"/>
        </w:rPr>
        <w:t>ISDA CDS Definitions</w:t>
      </w:r>
      <w:r>
        <w:rPr>
          <w:rFonts w:ascii="Times New Roman" w:hAnsi="Times New Roman"/>
          <w:sz w:val="20"/>
        </w:rPr>
        <w:t xml:space="preserve">”) shall be deemed to create a short position with respect to the Loans if such Lender is a protection buyer or the equivalent thereof for such Derivative Instrument and (A) the Loans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or (B) the Loans would be a “Deliverable Obligation” or an “Obligation” (as defined in the ISDA CDS Definitions) of the Loan Parties under the terms of such derivative transaction; </w:t>
      </w:r>
    </w:p>
    <w:p>
      <w:pPr>
        <w:pStyle w:val="TextBody"/>
        <w:bidi w:val="0"/>
        <w:spacing w:before="120" w:after="0"/>
        <w:jc w:val="left"/>
        <w:rPr>
          <w:rFonts w:ascii="Times New Roman" w:hAnsi="Times New Roman"/>
          <w:sz w:val="20"/>
        </w:rPr>
      </w:pPr>
      <w:r>
        <w:rPr>
          <w:rFonts w:ascii="Times New Roman" w:hAnsi="Times New Roman"/>
          <w:sz w:val="20"/>
        </w:rPr>
        <w:t xml:space="preserve">(iv) credit derivative transactions or other Derivative Instruments not documented using the ISDA CDS Definitions shall be counted for purposes of the Net Short Position determination if, with respect to the Loans, such transactions are functionally equivalent to a transaction that offers such Lender protection in respect of the Loans; and </w:t>
      </w:r>
    </w:p>
    <w:p>
      <w:pPr>
        <w:pStyle w:val="TextBody"/>
        <w:bidi w:val="0"/>
        <w:spacing w:before="120" w:after="0"/>
        <w:jc w:val="left"/>
        <w:rPr>
          <w:rFonts w:ascii="Times New Roman" w:hAnsi="Times New Roman"/>
          <w:sz w:val="20"/>
        </w:rPr>
      </w:pPr>
      <w:r>
        <w:rPr>
          <w:rFonts w:ascii="Times New Roman" w:hAnsi="Times New Roman"/>
          <w:sz w:val="20"/>
        </w:rPr>
        <w:t xml:space="preserve">(v) Derivative Instruments in respect of an index that includes any of the Loan Parties or any instrument issued or guaranteed by any of the Loan Parties shall not be deemed to create a short position, so long as (A) such index is not created, designed, administered or requested by such Lender and (B) the Loan Parties, and any Deliverable Obligation of the Loan Parties, collectively, shall represent less than 5.0% of the components of such index.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Net Short Representation</w:t>
      </w:r>
      <w:r>
        <w:rPr>
          <w:rFonts w:ascii="Times New Roman" w:hAnsi="Times New Roman"/>
          <w:sz w:val="20"/>
        </w:rPr>
        <w:t xml:space="preserve">” means, with respect to any Lender (other than an Unrestricted Lender) at any time, a representation and warranty (including any deemed representation and warranty, as the case may be) from such Lender to the Borrower that it is not (x) a Net Short Lender at such time or (y) knowingly and intentionally acting in concert with any of its Affiliates for the express purpose of creating (and in fact creating) the same economic effect with respect to the Loan Parties as though such Lender were a Net Short Lender at such time. </w:t>
      </w:r>
    </w:p>
    <w:p>
      <w:pPr>
        <w:pStyle w:val="TextBody"/>
        <w:bidi w:val="0"/>
        <w:spacing w:before="240" w:after="0"/>
        <w:jc w:val="left"/>
        <w:rPr/>
      </w:pPr>
      <w:r>
        <w:rPr/>
        <w:t>“</w:t>
      </w:r>
      <w:r>
        <w:rPr>
          <w:rFonts w:ascii="Times New Roman" w:hAnsi="Times New Roman"/>
          <w:b/>
          <w:sz w:val="20"/>
        </w:rPr>
        <w:t>Non-Consenting Lender</w:t>
      </w:r>
      <w:r>
        <w:rPr>
          <w:rFonts w:ascii="Times New Roman" w:hAnsi="Times New Roman"/>
          <w:sz w:val="20"/>
        </w:rPr>
        <w:t xml:space="preserve">” has the meaning specified in the penultimate paragraph of </w:t>
      </w:r>
      <w:r>
        <w:rPr>
          <w:rFonts w:ascii="Times New Roman" w:hAnsi="Times New Roman"/>
          <w:sz w:val="20"/>
          <w:u w:val="single"/>
        </w:rPr>
        <w:t>Section 3.07.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b/>
          <w:sz w:val="20"/>
        </w:rPr>
        <w:t>Non-Financing Lease Obligation</w:t>
      </w:r>
      <w:r>
        <w:rPr>
          <w:rFonts w:ascii="Times New Roman" w:hAnsi="Times New Roman"/>
          <w:sz w:val="20"/>
        </w:rPr>
        <w:t xml:space="preserve">” means a lease obligation that is not required to be accounted for as a financing or capital lease in accordance with GAAP. For the avoidance of doubt, a straight-line or operating lease shall be considered a Non-Financing Lease Obligation. </w:t>
      </w:r>
    </w:p>
    <w:p>
      <w:pPr>
        <w:pStyle w:val="TextBody"/>
        <w:bidi w:val="0"/>
        <w:spacing w:before="240" w:after="0"/>
        <w:jc w:val="left"/>
        <w:rPr/>
      </w:pPr>
      <w:r>
        <w:rPr/>
        <w:t>“</w:t>
      </w:r>
      <w:r>
        <w:rPr>
          <w:rFonts w:ascii="Times New Roman" w:hAnsi="Times New Roman"/>
          <w:b/>
          <w:sz w:val="20"/>
        </w:rPr>
        <w:t>Nonrenewal Notice Date</w:t>
      </w:r>
      <w:r>
        <w:rPr>
          <w:rFonts w:ascii="Times New Roman" w:hAnsi="Times New Roman"/>
          <w:sz w:val="20"/>
        </w:rPr>
        <w:t>” has the meaning specified in</w:t>
      </w:r>
      <w:r>
        <w:rPr>
          <w:rFonts w:ascii="Times New Roman" w:hAnsi="Times New Roman"/>
          <w:sz w:val="20"/>
          <w:u w:val="single"/>
        </w:rPr>
        <w:t xml:space="preserve"> Section 2.04(b)(iii).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NYFRB</w:t>
      </w:r>
      <w:r>
        <w:rPr>
          <w:rFonts w:ascii="Times New Roman" w:hAnsi="Times New Roman"/>
          <w:sz w:val="20"/>
        </w:rPr>
        <w:t xml:space="preserve">” means the Federal Reserve Bank of New York.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means all (a)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(b) obligations of any Loan Party arising under any Secured Hedge Agreement, (c) Cash Management Obligations and (d) Erroneous Payment Subrogation Rights; </w:t>
      </w:r>
      <w:r>
        <w:rPr>
          <w:rFonts w:ascii="Times New Roman" w:hAnsi="Times New Roman"/>
          <w:i/>
          <w:sz w:val="20"/>
        </w:rPr>
        <w:t xml:space="preserve">provided </w:t>
      </w:r>
      <w:r>
        <w:rPr>
          <w:rFonts w:ascii="Times New Roman" w:hAnsi="Times New Roman"/>
          <w:sz w:val="20"/>
        </w:rPr>
        <w:t xml:space="preserve">that “Obligations” shall exclude any Excluded Swap Obligations.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Attorney Costs, indemnities and other amounts payable by any Loan Party and to provide Cash Collateral under any Loan Document. </w:t>
      </w:r>
    </w:p>
    <w:p>
      <w:pPr>
        <w:pStyle w:val="TextBody"/>
        <w:bidi w:val="0"/>
        <w:spacing w:before="240" w:after="0"/>
        <w:jc w:val="left"/>
        <w:rPr/>
      </w:pPr>
      <w:r>
        <w:rPr/>
        <w:t>“</w:t>
      </w:r>
      <w:r>
        <w:rPr>
          <w:rFonts w:ascii="Times New Roman" w:hAnsi="Times New Roman"/>
          <w:b/>
          <w:sz w:val="20"/>
        </w:rPr>
        <w:t>Organization Documents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corporation, the certificate or articles of incorporation and the bylaws (or equivalent or comparable constitutive documents with respect to any non-U.S.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limited liability company, the certificate or articles of formation or organization and operating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by any Loan Document).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has the meaning specified in </w:t>
      </w:r>
      <w:r>
        <w:rPr>
          <w:rFonts w:ascii="Times New Roman" w:hAnsi="Times New Roman"/>
          <w:sz w:val="20"/>
          <w:u w:val="single"/>
        </w:rPr>
        <w:t>Section 3.01(f).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Overnight Rate</w:t>
      </w:r>
      <w:r>
        <w:rPr>
          <w:rFonts w:ascii="Times New Roman" w:hAnsi="Times New Roman"/>
          <w:sz w:val="20"/>
        </w:rPr>
        <w:t xml:space="preserve">” means, for any day, the greater of (i) the Federal Funds Rate and (ii) an overnight rate determined by the Administrative Agent in accordance with banking industry rules on interbank compensation. </w:t>
      </w:r>
    </w:p>
    <w:p>
      <w:pPr>
        <w:pStyle w:val="TextBody"/>
        <w:bidi w:val="0"/>
        <w:spacing w:before="240" w:after="0"/>
        <w:jc w:val="left"/>
        <w:rPr/>
      </w:pPr>
      <w:r>
        <w:rPr/>
        <w:t>“</w:t>
      </w:r>
      <w:r>
        <w:rPr>
          <w:rFonts w:ascii="Times New Roman" w:hAnsi="Times New Roman"/>
          <w:b/>
          <w:sz w:val="20"/>
        </w:rPr>
        <w:t>Parent Entity</w:t>
      </w:r>
      <w:r>
        <w:rPr>
          <w:rFonts w:ascii="Times New Roman" w:hAnsi="Times New Roman"/>
          <w:sz w:val="20"/>
        </w:rPr>
        <w:t xml:space="preserve">” has the meaning specified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Pari Passu Lien Debt</w:t>
      </w:r>
      <w:r>
        <w:rPr>
          <w:rFonts w:ascii="Times New Roman" w:hAnsi="Times New Roman"/>
          <w:sz w:val="20"/>
        </w:rPr>
        <w:t xml:space="preserve">” means any Indebtedness that is secured by Liens on the Vessel Collateral that are </w:t>
      </w:r>
      <w:r>
        <w:rPr>
          <w:rFonts w:ascii="Times New Roman" w:hAnsi="Times New Roman"/>
          <w:i/>
          <w:sz w:val="20"/>
        </w:rPr>
        <w:t xml:space="preserve">pari passu </w:t>
      </w:r>
      <w:r>
        <w:rPr>
          <w:rFonts w:ascii="Times New Roman" w:hAnsi="Times New Roman"/>
          <w:sz w:val="20"/>
        </w:rPr>
        <w:t xml:space="preserve">in priority with the Liens on the Collateral (including any Vessel Collateral) that secure the Obligations. For the avoidance of doubt, “Pari Passu Lien Debt” includes the Revolving Loans (if any) and the Commitments as of the Closing Date. </w:t>
      </w:r>
    </w:p>
    <w:p>
      <w:pPr>
        <w:pStyle w:val="TextBody"/>
        <w:bidi w:val="0"/>
        <w:spacing w:before="240" w:after="0"/>
        <w:jc w:val="left"/>
        <w:rPr/>
      </w:pPr>
      <w:r>
        <w:rPr/>
        <w:t>“</w:t>
      </w:r>
      <w:r>
        <w:rPr>
          <w:rFonts w:ascii="Times New Roman" w:hAnsi="Times New Roman"/>
          <w:b/>
          <w:sz w:val="20"/>
        </w:rPr>
        <w:t>Participant</w:t>
      </w:r>
      <w:r>
        <w:rPr>
          <w:rFonts w:ascii="Times New Roman" w:hAnsi="Times New Roman"/>
          <w:sz w:val="20"/>
        </w:rPr>
        <w:t xml:space="preserve">” has the meaning specified in </w:t>
      </w:r>
      <w:r>
        <w:rPr>
          <w:rFonts w:ascii="Times New Roman" w:hAnsi="Times New Roman"/>
          <w:sz w:val="20"/>
          <w:u w:val="single"/>
        </w:rPr>
        <w:t>Section 11.07(d).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Participant Register</w:t>
      </w:r>
      <w:r>
        <w:rPr>
          <w:rFonts w:ascii="Times New Roman" w:hAnsi="Times New Roman"/>
          <w:sz w:val="20"/>
        </w:rPr>
        <w:t xml:space="preserve">” has the meaning specified in </w:t>
      </w:r>
      <w:r>
        <w:rPr>
          <w:rFonts w:ascii="Times New Roman" w:hAnsi="Times New Roman"/>
          <w:sz w:val="20"/>
          <w:u w:val="single"/>
        </w:rPr>
        <w:t>Section 11.07(e).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Participating Member State</w:t>
      </w:r>
      <w:r>
        <w:rPr>
          <w:rFonts w:ascii="Times New Roman" w:hAnsi="Times New Roman"/>
          <w:sz w:val="20"/>
        </w:rPr>
        <w:t xml:space="preserve">” means each state as described in any EMU Legislation. </w:t>
      </w:r>
    </w:p>
    <w:p>
      <w:pPr>
        <w:pStyle w:val="TextBody"/>
        <w:bidi w:val="0"/>
        <w:spacing w:before="240" w:after="0"/>
        <w:jc w:val="left"/>
        <w:rPr/>
      </w:pPr>
      <w:r>
        <w:rPr/>
        <w:t>“</w:t>
      </w:r>
      <w:r>
        <w:rPr>
          <w:rFonts w:ascii="Times New Roman" w:hAnsi="Times New Roman"/>
          <w:b/>
          <w:sz w:val="20"/>
        </w:rPr>
        <w:t>Payment Recipient</w:t>
      </w:r>
      <w:r>
        <w:rPr>
          <w:rFonts w:ascii="Times New Roman" w:hAnsi="Times New Roman"/>
          <w:sz w:val="20"/>
        </w:rPr>
        <w:t xml:space="preserve">” has the meaning specified in </w:t>
      </w:r>
      <w:r>
        <w:rPr>
          <w:rFonts w:ascii="Times New Roman" w:hAnsi="Times New Roman"/>
          <w:sz w:val="20"/>
          <w:u w:val="single"/>
        </w:rPr>
        <w:t>Section 10.17(a).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means the Pension Benefit Guaranty Corporation or any successor thereto. </w:t>
      </w:r>
    </w:p>
    <w:p>
      <w:pPr>
        <w:pStyle w:val="TextBody"/>
        <w:bidi w:val="0"/>
        <w:spacing w:before="240" w:after="0"/>
        <w:jc w:val="left"/>
        <w:rPr/>
      </w:pPr>
      <w:r>
        <w:rPr/>
        <w:t>“</w:t>
      </w:r>
      <w:r>
        <w:rPr>
          <w:rFonts w:ascii="Times New Roman" w:hAnsi="Times New Roman"/>
          <w:b/>
          <w:sz w:val="20"/>
        </w:rPr>
        <w:t>Pension Plan</w:t>
      </w:r>
      <w:r>
        <w:rPr>
          <w:rFonts w:ascii="Times New Roman" w:hAnsi="Times New Roman"/>
          <w:sz w:val="20"/>
        </w:rPr>
        <w:t xml:space="preserve">” means any “employee pension benefit plan” (as such term is defined in Section 3(2) of ERISA), other than a Multiemployer Plan, that is subject to Title IV of ERISA or Section 302 of ERISA or Section 412 of the Code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or has had an obligation to make, contributions at any time in the preceding five plan years if liability to a Loan Party remains.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Permitted Asset Swap</w:t>
      </w:r>
      <w:r>
        <w:rPr>
          <w:rFonts w:ascii="Times New Roman" w:hAnsi="Times New Roman"/>
          <w:sz w:val="20"/>
        </w:rPr>
        <w:t xml:space="preserve">” means the concurrent purchase and sale or exchange of assets used or useful in a Similar Business or a combination of such assets and cash, Cash Equivalents between the Borrower or any of the Restricted Subsidiaries and another Person. </w:t>
      </w:r>
    </w:p>
    <w:p>
      <w:pPr>
        <w:pStyle w:val="TextBody"/>
        <w:bidi w:val="0"/>
        <w:spacing w:before="240" w:after="0"/>
        <w:jc w:val="left"/>
        <w:rPr/>
      </w:pPr>
      <w:r>
        <w:rPr/>
        <w:t>“</w:t>
      </w:r>
      <w:r>
        <w:rPr>
          <w:rFonts w:ascii="Times New Roman" w:hAnsi="Times New Roman"/>
          <w:b/>
          <w:sz w:val="20"/>
        </w:rPr>
        <w:t>Permitted Consent Event</w:t>
      </w:r>
      <w:r>
        <w:rPr>
          <w:rFonts w:ascii="Times New Roman" w:hAnsi="Times New Roman"/>
          <w:sz w:val="20"/>
        </w:rPr>
        <w:t xml:space="preserve">” has the meaning specified in </w:t>
      </w:r>
      <w:r>
        <w:rPr>
          <w:rFonts w:ascii="Times New Roman" w:hAnsi="Times New Roman"/>
          <w:sz w:val="20"/>
          <w:u w:val="single"/>
        </w:rPr>
        <w:t>Section 10.11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Debt</w:t>
      </w:r>
      <w:r>
        <w:rPr>
          <w:rFonts w:ascii="Times New Roman" w:hAnsi="Times New Roman"/>
          <w:sz w:val="20"/>
        </w:rPr>
        <w:t xml:space="preserve">” has the meaning specified in </w:t>
      </w:r>
      <w:r>
        <w:rPr>
          <w:rFonts w:ascii="Times New Roman" w:hAnsi="Times New Roman"/>
          <w:sz w:val="20"/>
          <w:u w:val="single"/>
        </w:rPr>
        <w:t>Section 7.03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Holders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the Sponsors; </w:t>
      </w:r>
    </w:p>
    <w:p>
      <w:pPr>
        <w:pStyle w:val="TextBody"/>
        <w:bidi w:val="0"/>
        <w:spacing w:before="120" w:after="0"/>
        <w:jc w:val="left"/>
        <w:rPr>
          <w:rFonts w:ascii="Times New Roman" w:hAnsi="Times New Roman"/>
          <w:sz w:val="20"/>
        </w:rPr>
      </w:pPr>
      <w:r>
        <w:rPr>
          <w:rFonts w:ascii="Times New Roman" w:hAnsi="Times New Roman"/>
          <w:sz w:val="20"/>
        </w:rPr>
        <w:t xml:space="preserve">(b) the Management Stockholders (including any Management Stockholders holding Equity Interests through an equityholding vehicle); </w:t>
      </w:r>
    </w:p>
    <w:p>
      <w:pPr>
        <w:pStyle w:val="TextBody"/>
        <w:bidi w:val="0"/>
        <w:spacing w:before="120" w:after="0"/>
        <w:jc w:val="left"/>
        <w:rPr>
          <w:rFonts w:ascii="Times New Roman" w:hAnsi="Times New Roman"/>
          <w:sz w:val="20"/>
        </w:rPr>
      </w:pPr>
      <w:r>
        <w:rPr>
          <w:rFonts w:ascii="Times New Roman" w:hAnsi="Times New Roman"/>
          <w:sz w:val="20"/>
        </w:rPr>
        <w:t xml:space="preserve">(c) any Person who is acting solely as an underwriter in connection with a public or private offering of Equity Interests of any Parent Entity or the Borrower, acting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(d) 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members and any member of such group; </w:t>
      </w:r>
      <w:r>
        <w:rPr>
          <w:rFonts w:ascii="Times New Roman" w:hAnsi="Times New Roman"/>
          <w:i/>
          <w:sz w:val="20"/>
        </w:rPr>
        <w:t xml:space="preserve">provided </w:t>
      </w:r>
      <w:r>
        <w:rPr>
          <w:rFonts w:ascii="Times New Roman" w:hAnsi="Times New Roman"/>
          <w:sz w:val="20"/>
        </w:rPr>
        <w:t xml:space="preserve">that, in the case of such group and without giving effect to the existence of such group or any other group, Persons referred to in </w:t>
      </w:r>
      <w:r>
        <w:rPr>
          <w:rFonts w:ascii="Times New Roman" w:hAnsi="Times New Roman"/>
          <w:sz w:val="20"/>
          <w:u w:val="single"/>
        </w:rPr>
        <w:t>subclauses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collectively, have beneficial ownership of more than 50% of the total voting power of the Voting Stock of the Borrower or any Parent Entity held by such group; </w:t>
      </w:r>
    </w:p>
    <w:p>
      <w:pPr>
        <w:pStyle w:val="TextBody"/>
        <w:bidi w:val="0"/>
        <w:spacing w:before="120" w:after="0"/>
        <w:jc w:val="left"/>
        <w:rPr>
          <w:rFonts w:ascii="Times New Roman" w:hAnsi="Times New Roman"/>
          <w:sz w:val="20"/>
        </w:rPr>
      </w:pPr>
      <w:r>
        <w:rPr>
          <w:rFonts w:ascii="Times New Roman" w:hAnsi="Times New Roman"/>
          <w:sz w:val="20"/>
        </w:rPr>
        <w:t xml:space="preserve">(e) any Holding Company in connection with and immediately following a Qualifying IPO or, prior to a Qualifying IPO, to the extent such Holding Company itself (or any of its Parent Entities) is listed on any United States national securities exchange; and </w:t>
      </w:r>
    </w:p>
    <w:p>
      <w:pPr>
        <w:pStyle w:val="TextBody"/>
        <w:bidi w:val="0"/>
        <w:spacing w:before="120" w:after="0"/>
        <w:jc w:val="left"/>
        <w:rPr>
          <w:rFonts w:ascii="Times New Roman" w:hAnsi="Times New Roman"/>
          <w:sz w:val="20"/>
        </w:rPr>
      </w:pPr>
      <w:r>
        <w:rPr>
          <w:rFonts w:ascii="Times New Roman" w:hAnsi="Times New Roman"/>
          <w:sz w:val="20"/>
        </w:rPr>
        <w:t xml:space="preserve">(f) any Permitted Plan. </w:t>
      </w:r>
    </w:p>
    <w:p>
      <w:pPr>
        <w:pStyle w:val="TextBody"/>
        <w:bidi w:val="0"/>
        <w:spacing w:before="120" w:after="0"/>
        <w:jc w:val="left"/>
        <w:rPr>
          <w:rFonts w:ascii="Times New Roman" w:hAnsi="Times New Roman"/>
          <w:sz w:val="20"/>
        </w:rPr>
      </w:pPr>
      <w:r>
        <w:rPr>
          <w:rFonts w:ascii="Times New Roman" w:hAnsi="Times New Roman"/>
          <w:sz w:val="20"/>
        </w:rPr>
        <w:t xml:space="preserve">Any Person or group whose acquisition of beneficial ownership constitutes a Change of Control in respect of which the Required Lenders have provided a consent in accordance with this Agreement will thereafter, together with its Affiliates, constitute an additional Permitted Holder. </w:t>
      </w:r>
    </w:p>
    <w:p>
      <w:pPr>
        <w:pStyle w:val="TextBody"/>
        <w:bidi w:val="0"/>
        <w:spacing w:before="240" w:after="0"/>
        <w:jc w:val="left"/>
        <w:rPr/>
      </w:pPr>
      <w:r>
        <w:rPr/>
        <w:t>“</w:t>
      </w:r>
      <w:r>
        <w:rPr>
          <w:rFonts w:ascii="Times New Roman" w:hAnsi="Times New Roman"/>
          <w:b/>
          <w:sz w:val="20"/>
        </w:rPr>
        <w:t>Permitted Intercompany Activities</w:t>
      </w:r>
      <w:r>
        <w:rPr>
          <w:rFonts w:ascii="Times New Roman" w:hAnsi="Times New Roman"/>
          <w:sz w:val="20"/>
        </w:rPr>
        <w:t xml:space="preserve">” means any transactions (A) between or among the Borrower and its Restricted Subsidiaries that are entered into in the ordinary course of business or consistent with past practice of the Borrower and its Restricted Subsidiaries and, in the reasonable determination of the Borrower are necessary or advisable in connection with the ownership or operation of the business of the Borrower and its Restricted Subsidiaries, including (i) payroll, cash management, purchasing, insurance and hedging arrangements; (ii) management, technology and licensing arrangements; (iii) customary loyalty and rewards programs and (iv) Vessel reflagging arrangements (to the extent the reflagging is otherwise permitted hereunder); and (B) between or among the Borrower, its Restricted Subsidiaries and any Captive Insurance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Permitted Investment</w:t>
      </w:r>
      <w:r>
        <w:rPr>
          <w:rFonts w:ascii="Times New Roman" w:hAnsi="Times New Roman"/>
          <w:sz w:val="20"/>
        </w:rPr>
        <w:t xml:space="preserve">” means (in each case, by the Borrower or any of the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(1) Investments in (a) a Restricted Subsidiary (including the Equity Interests of, or guarantees of obligations of, a Restricted Subsidiary) or the Borrower or (b) a Person (including the Equity Interests of any such Person) that will, upon the making of such Investment, become a Restricted Subsidiary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(2) Investments in another Person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Borrower or a Restricted Subsidiary, and any Investment held by such Person; </w:t>
      </w:r>
      <w:r>
        <w:rPr>
          <w:rFonts w:ascii="Times New Roman" w:hAnsi="Times New Roman"/>
          <w:i/>
          <w:sz w:val="20"/>
        </w:rPr>
        <w:t xml:space="preserve">provided </w:t>
      </w:r>
      <w:r>
        <w:rPr>
          <w:rFonts w:ascii="Times New Roman" w:hAnsi="Times New Roman"/>
          <w:sz w:val="20"/>
        </w:rPr>
        <w:t xml:space="preserve">that such Investment was not acquired by such Person in contemplation of such acquisition, merger, amalgamation, consolidation, combination, transfer or conveyance; </w:t>
      </w:r>
    </w:p>
    <w:p>
      <w:pPr>
        <w:pStyle w:val="TextBody"/>
        <w:bidi w:val="0"/>
        <w:spacing w:before="120" w:after="0"/>
        <w:jc w:val="left"/>
        <w:rPr>
          <w:rFonts w:ascii="Times New Roman" w:hAnsi="Times New Roman"/>
          <w:sz w:val="20"/>
        </w:rPr>
      </w:pPr>
      <w:r>
        <w:rPr>
          <w:rFonts w:ascii="Times New Roman" w:hAnsi="Times New Roman"/>
          <w:sz w:val="20"/>
        </w:rPr>
        <w:t xml:space="preserve">(3) Investments in cash, Cash Equivalents or Investment Grade Securities; </w:t>
      </w:r>
    </w:p>
    <w:p>
      <w:pPr>
        <w:pStyle w:val="TextBody"/>
        <w:bidi w:val="0"/>
        <w:spacing w:before="120" w:after="0"/>
        <w:jc w:val="left"/>
        <w:rPr>
          <w:rFonts w:ascii="Times New Roman" w:hAnsi="Times New Roman"/>
          <w:sz w:val="20"/>
        </w:rPr>
      </w:pPr>
      <w:r>
        <w:rPr>
          <w:rFonts w:ascii="Times New Roman" w:hAnsi="Times New Roman"/>
          <w:sz w:val="20"/>
        </w:rPr>
        <w:t xml:space="preserve">(4) Investments in receivables owing to the Borrower or any Restricted Subsidiary created or acquired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(5) Investments in payroll, travel, entertainment, relocation, moving related and similar advances that are made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(6) Management Advances; </w:t>
      </w:r>
    </w:p>
    <w:p>
      <w:pPr>
        <w:pStyle w:val="TextBody"/>
        <w:bidi w:val="0"/>
        <w:spacing w:before="120" w:after="0"/>
        <w:jc w:val="left"/>
        <w:rPr>
          <w:rFonts w:ascii="Times New Roman" w:hAnsi="Times New Roman"/>
          <w:sz w:val="20"/>
        </w:rPr>
      </w:pPr>
      <w:r>
        <w:rPr>
          <w:rFonts w:ascii="Times New Roman" w:hAnsi="Times New Roman"/>
          <w:sz w:val="20"/>
        </w:rPr>
        <w:t xml:space="preserve">(7) 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held by the Borrower or any such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 </w:t>
      </w:r>
    </w:p>
    <w:p>
      <w:pPr>
        <w:pStyle w:val="TextBody"/>
        <w:bidi w:val="0"/>
        <w:spacing w:before="120" w:after="0"/>
        <w:jc w:val="left"/>
        <w:rPr>
          <w:rFonts w:ascii="Times New Roman" w:hAnsi="Times New Roman"/>
          <w:sz w:val="20"/>
        </w:rPr>
      </w:pPr>
      <w:r>
        <w:rPr>
          <w:rFonts w:ascii="Times New Roman" w:hAnsi="Times New Roman"/>
          <w:sz w:val="20"/>
        </w:rPr>
        <w:t xml:space="preserve">(8) Investments made as a result of the receipt of promissory notes or other non-cash consideration (including earn-outs) from a sale or other disposition of property or assets that complies with or is permitted by </w:t>
      </w:r>
      <w:r>
        <w:rPr>
          <w:rFonts w:ascii="Times New Roman" w:hAnsi="Times New Roman"/>
          <w:sz w:val="20"/>
          <w:u w:val="single"/>
        </w:rPr>
        <w:t>Section 7.05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Investments existing or pursuant to binding commitments, agreements or arrangements in effect on the Closing Date and any modification, replacement, renewal, reinvestment or extension thereof; </w:t>
      </w:r>
      <w:r>
        <w:rPr>
          <w:rFonts w:ascii="Times New Roman" w:hAnsi="Times New Roman"/>
          <w:i/>
          <w:sz w:val="20"/>
        </w:rPr>
        <w:t xml:space="preserve">provided </w:t>
      </w:r>
      <w:r>
        <w:rPr>
          <w:rFonts w:ascii="Times New Roman" w:hAnsi="Times New Roman"/>
          <w:sz w:val="20"/>
        </w:rPr>
        <w:t xml:space="preserve">that the amount of any such Investment may not be increased except (i) as required by the terms of such Investment or binding commitment as in existence on the Closing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Closing Date or (ii) as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 Obligations in respect of Hedge Agreements, which transactions or obligations not prohibited by </w:t>
      </w:r>
      <w:r>
        <w:rPr>
          <w:rFonts w:ascii="Times New Roman" w:hAnsi="Times New Roman"/>
          <w:sz w:val="20"/>
          <w:u w:val="single"/>
        </w:rPr>
        <w:t>Section 7.03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pledges or deposits with respect to leases or utilities provided to third parties in the ordinary course of business or Liens otherwise made in connection with Liens permitted under </w:t>
      </w:r>
      <w:r>
        <w:rPr>
          <w:rFonts w:ascii="Times New Roman" w:hAnsi="Times New Roman"/>
          <w:sz w:val="20"/>
          <w:u w:val="single"/>
        </w:rPr>
        <w:t>Section 7.01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 any Investment to the extent made using Equity Interests of the Borrower (other than Disqualified Equity Interests) or Equity Interests of any Parent Entity or any Unrestricted Subsidiary as consideration; </w:t>
      </w:r>
    </w:p>
    <w:p>
      <w:pPr>
        <w:pStyle w:val="TextBody"/>
        <w:bidi w:val="0"/>
        <w:spacing w:before="120" w:after="0"/>
        <w:jc w:val="left"/>
        <w:rPr>
          <w:rFonts w:ascii="Times New Roman" w:hAnsi="Times New Roman"/>
          <w:sz w:val="20"/>
        </w:rPr>
      </w:pPr>
      <w:r>
        <w:rPr>
          <w:rFonts w:ascii="Times New Roman" w:hAnsi="Times New Roman"/>
          <w:sz w:val="20"/>
        </w:rPr>
        <w:t xml:space="preserve">(13) Investments consisting of (i) purchases or other acquisitions of inventory, supplies, materials, equipment and similar assets or (ii) licenses, sublicenses, cross-licenses, leases, subleases, assignments, contributions or other Investments of intellectual property or other intangibles or services in the ordinary course of business pursuant to any joint development, joint venture or marketing arrangements with other Persons or any Intercompany License Agreement and any other Investments made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(14)(i) Guarantees of Indebtedness not prohibited by </w:t>
      </w:r>
      <w:r>
        <w:rPr>
          <w:rFonts w:ascii="Times New Roman" w:hAnsi="Times New Roman"/>
          <w:sz w:val="20"/>
          <w:u w:val="single"/>
        </w:rPr>
        <w:t>Section 7.03</w:t>
      </w:r>
      <w:r>
        <w:rPr>
          <w:rFonts w:ascii="Times New Roman" w:hAnsi="Times New Roman"/>
          <w:sz w:val="20"/>
        </w:rPr>
        <w:t xml:space="preserve"> and (other than with respect to Indebtedness) guarantees, keepwells and similar arrangements in the ordinary course of business or consistent with past practice, and (ii) performance guarantees and Contingent Obligations with respect to obligations that are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(15) Investments consisting of earnest money deposits required in connection with a purchase agreement, or letter of intent, or other acquisitions to the extent not otherwise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(16) Investments of a Restricted Subsidiary acquired after the Closing Date or of an entity merged or amalgamated into or consolidated with the Borrower or merged or amalgamated into or consolidated with a Restricted Subsidiary after the Closing Date to the extent that such Investments were not made in contemplation of or in connection with such acquisition, merger, amalgamation or consolidation and were in existence on the date of such acquisition, merger, amalgamation or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contributions to a “rabbi” trust for the benefit of any employee, director, officer, manager, contractor, consultant, advisor or other service providers or other grantor trust subject to claims of creditors in the case of a bankruptcy of the Borrower, and Investments relating to non-qualified deferred payment plans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(18) provided no Default or Event of Default has occurred and is continuing, Investments in joint ventures and similar entities and Unrestricted Subsidiaries having an aggregate Fair Market Value, when taken together with all other Investments made pursuant to this clause that are at the time outstanding, not to exceed the greater of (i) $25.0 million and (ii) an amount equal to 3.0% of the Borrower’s Consolidated Net Tangible Assets determined as of the end of the Borrower’s most recently completed fiscal quarter for which internal financial statements are available in the aggregate outstanding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of any amounts applied pursuant to </w:t>
      </w:r>
      <w:r>
        <w:rPr>
          <w:rFonts w:ascii="Times New Roman" w:hAnsi="Times New Roman"/>
          <w:sz w:val="20"/>
          <w:u w:val="single"/>
        </w:rPr>
        <w:t>Section 7.06(d)(iv)</w:t>
      </w:r>
      <w:r>
        <w:rPr>
          <w:rFonts w:ascii="Times New Roman" w:hAnsi="Times New Roman"/>
          <w:sz w:val="20"/>
        </w:rPr>
        <w:t xml:space="preserve">) with the Fair Market Value of each Investment being measured at the time made and without giving effect to subsequent changes in value;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Investment pursuant to this clause is made in any Person that is not the Borrower or a Restricted Subsidiary at the date of the making of such Investment (A) and such person becomes the Borrower or a Restricted Subsidiary after such date, such Investment shall thereafter be deemed to have been made pursuant to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above and shall cease to have been made pursuant to this clause and (B) the Borrower shall be in pro forma compliance with the Financial Covenants upon giving effect to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(19) provided no Default or Event of Default has occurred and is continuing, additional Investments having an aggregate Fair Market Value, taken together with all other Investments made pursuant to this clause that are at that time outstanding, not to exceed the greater of (i) $75.0 million and (ii) an amount equal to 10.0% of the Borrower’s Consolidated Net Tangible Assets determined as of the end of the Borrower’s most recently completed fiscal quarter for which internal financial statements are available in the aggregate outstanding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of any amounts applied pursuant to </w:t>
      </w:r>
      <w:r>
        <w:rPr>
          <w:rFonts w:ascii="Times New Roman" w:hAnsi="Times New Roman"/>
          <w:sz w:val="20"/>
          <w:u w:val="single"/>
        </w:rPr>
        <w:t>Section 7.06(d)(iv)</w:t>
      </w:r>
      <w:r>
        <w:rPr>
          <w:rFonts w:ascii="Times New Roman" w:hAnsi="Times New Roman"/>
          <w:sz w:val="20"/>
        </w:rPr>
        <w:t xml:space="preserve">) with the Fair Market Value of each Investment being measured at the time made and without giving effect to subsequent changes in value; </w:t>
      </w:r>
      <w:r>
        <w:rPr>
          <w:rFonts w:ascii="Times New Roman" w:hAnsi="Times New Roman"/>
          <w:i/>
          <w:sz w:val="20"/>
        </w:rPr>
        <w:t>provided, however</w:t>
      </w:r>
      <w:r>
        <w:rPr>
          <w:rFonts w:ascii="Times New Roman" w:hAnsi="Times New Roman"/>
          <w:sz w:val="20"/>
        </w:rPr>
        <w:t xml:space="preserve">, that if any Investment pursuant to this clause is made in any Person that is not the Borrower or a Restricted Subsidiary at the date of the making of such Investment (A) and such Person becomes the Borrower or a Restricted Subsidiary after such date, such Investment shall thereafter be deemed to have been made pursuant to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above and shall cease to have been made pursuant to this clause and (B) the Borrower shall be in pro forma compliance with the Financial Covenants upon giving effect to such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[reserved]; </w:t>
      </w:r>
    </w:p>
    <w:p>
      <w:pPr>
        <w:pStyle w:val="TextBody"/>
        <w:bidi w:val="0"/>
        <w:spacing w:before="120" w:after="0"/>
        <w:jc w:val="left"/>
        <w:rPr>
          <w:rFonts w:ascii="Times New Roman" w:hAnsi="Times New Roman"/>
          <w:sz w:val="20"/>
        </w:rPr>
      </w:pPr>
      <w:r>
        <w:rPr>
          <w:rFonts w:ascii="Times New Roman" w:hAnsi="Times New Roman"/>
          <w:sz w:val="20"/>
        </w:rPr>
        <w:t xml:space="preserve">(21)(i) Investments arising or made in connection with a Qualified Securitization Financing or Receivables Facility and (ii) distributions or payments of Securitization Fees and purchases of Securitization Assets or Receivables Assets in connection with a Qualified Securitization Financing or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(22) Investments made from casualty insurance proceeds in connection with the replacement, substitution, restoration or repair of assets on account of a Casualty Event; </w:t>
      </w:r>
    </w:p>
    <w:p>
      <w:pPr>
        <w:pStyle w:val="TextBody"/>
        <w:bidi w:val="0"/>
        <w:spacing w:before="120" w:after="0"/>
        <w:jc w:val="left"/>
        <w:rPr>
          <w:rFonts w:ascii="Times New Roman" w:hAnsi="Times New Roman"/>
          <w:sz w:val="20"/>
        </w:rPr>
      </w:pPr>
      <w:r>
        <w:rPr>
          <w:rFonts w:ascii="Times New Roman" w:hAnsi="Times New Roman"/>
          <w:sz w:val="20"/>
        </w:rPr>
        <w:t xml:space="preserve">(23) guaranty and indemnification obligations arising in connection with surety bonds issued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contacts and loans or (c) advances, loans, extensions of credit (including the creation of receivables) or prepayments made to, and guarantees with respect to obligations of, franchisees, distributors, suppliers, lessors, licensors and licensees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(25) Investments in prepaid expenses, negotiable instruments held for collection and lease, utility and workers compensation, performance and similar deposits entered into as a result of the operations of the business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(26) Investments consisting of UCC Article 3 endorsements for collection or deposit and Article 4 trade arrangements with customers (or any comparable or similar provisions in other applicable jurisdictions) in the ordinary course of business or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(27) any Investment by any Captive Insurance Subsidiary in connection with the provision of insurance to the Borrower or any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(28) non-cash Investments in connection with Tax planning and reorganization activities, and Investments in connection with a Permitted Intercompany Activities and related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 [reserved]; and </w:t>
      </w:r>
    </w:p>
    <w:p>
      <w:pPr>
        <w:pStyle w:val="TextBody"/>
        <w:bidi w:val="0"/>
        <w:spacing w:before="120" w:after="0"/>
        <w:jc w:val="left"/>
        <w:rPr>
          <w:rFonts w:ascii="Times New Roman" w:hAnsi="Times New Roman"/>
          <w:sz w:val="20"/>
        </w:rPr>
      </w:pPr>
      <w:r>
        <w:rPr>
          <w:rFonts w:ascii="Times New Roman" w:hAnsi="Times New Roman"/>
          <w:sz w:val="20"/>
        </w:rPr>
        <w:t xml:space="preserve">(30) any other Investment so long as no Default or Event of Default has occurred and is continuing and immediately after giving pro forma effect to the Investment and the incurrence of any Indebtedness the net proceeds of which are used to make such Investment, the Total Net Leverage Ratio shall be no greater than 2.00 to 1.00 and the Borrower shall be in pro forma compliance with the Financial Covenants upon giving effect to such Investment. </w:t>
      </w:r>
    </w:p>
    <w:p>
      <w:pPr>
        <w:pStyle w:val="TextBody"/>
        <w:bidi w:val="0"/>
        <w:spacing w:before="240" w:after="0"/>
        <w:jc w:val="left"/>
        <w:rPr/>
      </w:pPr>
      <w:r>
        <w:rPr/>
        <w:t>“</w:t>
      </w:r>
      <w:r>
        <w:rPr>
          <w:rFonts w:ascii="Times New Roman" w:hAnsi="Times New Roman"/>
          <w:b/>
          <w:sz w:val="20"/>
        </w:rPr>
        <w:t>Permitted Junior Debt Repayment</w:t>
      </w:r>
      <w:r>
        <w:rPr>
          <w:rFonts w:ascii="Times New Roman" w:hAnsi="Times New Roman"/>
          <w:sz w:val="20"/>
        </w:rPr>
        <w:t xml:space="preserve">” has the meaning specified in </w:t>
      </w:r>
      <w:r>
        <w:rPr>
          <w:rFonts w:ascii="Times New Roman" w:hAnsi="Times New Roman"/>
          <w:sz w:val="20"/>
          <w:u w:val="single"/>
        </w:rPr>
        <w:t>Section 7.09(a)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Junior Secured Refinancing Debt</w:t>
      </w:r>
      <w:r>
        <w:rPr>
          <w:rFonts w:ascii="Times New Roman" w:hAnsi="Times New Roman"/>
          <w:sz w:val="20"/>
        </w:rPr>
        <w:t xml:space="preserve">” means any Second Lien Credit Agreement Refinancing Indebtedness that is Junior Lien Debt. </w:t>
      </w:r>
    </w:p>
    <w:p>
      <w:pPr>
        <w:pStyle w:val="TextBody"/>
        <w:bidi w:val="0"/>
        <w:spacing w:before="240" w:after="0"/>
        <w:jc w:val="left"/>
        <w:rPr/>
      </w:pPr>
      <w:r>
        <w:rPr/>
        <w:t>“</w:t>
      </w:r>
      <w:r>
        <w:rPr>
          <w:rFonts w:ascii="Times New Roman" w:hAnsi="Times New Roman"/>
          <w:b/>
          <w:sz w:val="20"/>
        </w:rPr>
        <w:t>Permitted Lien</w:t>
      </w:r>
      <w:r>
        <w:rPr>
          <w:rFonts w:ascii="Times New Roman" w:hAnsi="Times New Roman"/>
          <w:sz w:val="20"/>
        </w:rPr>
        <w:t>” means any Lien permitted under</w:t>
      </w:r>
      <w:r>
        <w:rPr>
          <w:rFonts w:ascii="Times New Roman" w:hAnsi="Times New Roman"/>
          <w:sz w:val="20"/>
          <w:u w:val="single"/>
        </w:rPr>
        <w:t xml:space="preserve"> Section 7.01.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Maritime Lien</w:t>
      </w:r>
      <w:r>
        <w:rPr>
          <w:rFonts w:ascii="Times New Roman" w:hAnsi="Times New Roman"/>
          <w:sz w:val="20"/>
        </w:rPr>
        <w:t xml:space="preserve">” means, at any time with respect to any Vessel Collateral: </w:t>
      </w:r>
    </w:p>
    <w:p>
      <w:pPr>
        <w:pStyle w:val="TextBody"/>
        <w:bidi w:val="0"/>
        <w:spacing w:before="120" w:after="0"/>
        <w:jc w:val="left"/>
        <w:rPr>
          <w:rFonts w:ascii="Times New Roman" w:hAnsi="Times New Roman"/>
          <w:sz w:val="20"/>
        </w:rPr>
      </w:pPr>
      <w:r>
        <w:rPr>
          <w:rFonts w:ascii="Times New Roman" w:hAnsi="Times New Roman"/>
          <w:sz w:val="20"/>
        </w:rPr>
        <w:t xml:space="preserve">(1) Liens for crews’ wages (including the wages of the master of any Vessel) that are incurred in the ordinary course of business and have accrued for not more than forty-five (45) days unless any such Lien is being contested in good faith and by appropriate proceedings or other acts by the relevant Loan Party and the relevant Loan Party shall have set aside on its books adequate reserves with respect to such Lien; </w:t>
      </w:r>
    </w:p>
    <w:p>
      <w:pPr>
        <w:pStyle w:val="TextBody"/>
        <w:bidi w:val="0"/>
        <w:spacing w:before="120" w:after="0"/>
        <w:jc w:val="left"/>
        <w:rPr>
          <w:rFonts w:ascii="Times New Roman" w:hAnsi="Times New Roman"/>
          <w:sz w:val="20"/>
        </w:rPr>
      </w:pPr>
      <w:r>
        <w:rPr>
          <w:rFonts w:ascii="Times New Roman" w:hAnsi="Times New Roman"/>
          <w:sz w:val="20"/>
        </w:rPr>
        <w:t xml:space="preserve">(2) Liens for salvage (including contract salvage) or general average, and Liens for wages of stevedores employed by the owner of any Vessel, the master of such Vessel or a charterer or lessee of such Vessel, which in each case have accrued for not more than forty-five (45) days unless any such Lien is being contested in good faith and by appropriate proceedings or other acts by the relevant Loan Party and such Loan Party shall have set aside on its books adequate reserves with respect to such Lien; </w:t>
      </w:r>
    </w:p>
    <w:p>
      <w:pPr>
        <w:pStyle w:val="TextBody"/>
        <w:bidi w:val="0"/>
        <w:spacing w:before="120" w:after="0"/>
        <w:jc w:val="left"/>
        <w:rPr>
          <w:rFonts w:ascii="Times New Roman" w:hAnsi="Times New Roman"/>
          <w:sz w:val="20"/>
        </w:rPr>
      </w:pPr>
      <w:r>
        <w:rPr>
          <w:rFonts w:ascii="Times New Roman" w:hAnsi="Times New Roman"/>
          <w:sz w:val="20"/>
        </w:rPr>
        <w:t xml:space="preserve">(3) shipyard Liens and other Liens arising by operation of law arising in the ordinary course of business in operating, maintaining, repairing, modifying, refurbishing, or rebuilding any Vessel (other than those referred to in (1) and (2) above), including maritime Liens for necessaries, which in each case have accrued for not more than forty-five (45) days unless any such Lien is being contested in good faith and by appropriate proceedings or other acts by the relevant Loan Party, and such Loan Party shall have set aside on its books adequate reserves with respect to such Lien; </w:t>
      </w:r>
    </w:p>
    <w:p>
      <w:pPr>
        <w:pStyle w:val="TextBody"/>
        <w:bidi w:val="0"/>
        <w:spacing w:before="120" w:after="0"/>
        <w:jc w:val="left"/>
        <w:rPr>
          <w:rFonts w:ascii="Times New Roman" w:hAnsi="Times New Roman"/>
          <w:sz w:val="20"/>
        </w:rPr>
      </w:pPr>
      <w:r>
        <w:rPr>
          <w:rFonts w:ascii="Times New Roman" w:hAnsi="Times New Roman"/>
          <w:sz w:val="20"/>
        </w:rPr>
        <w:t xml:space="preserve">(4) Liens for damages arising from maritime torts which are unclaimed, or are covered by insurance and any deductible applicable thereto, or in respect of which a bond or other security has been posted on behalf of the relevant Loan Party with the appropriate court or other tribunal to prevent the arrest or secure the release of any Vessel from arrest, unless any such Lien is being contested in good faith and by appropriate proceedings or other acts by the relevant Loan Party, and such Loan Party shall have set aside on its books adequate reserves with respect to such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Liens that, as indicated by the written admission of liability therefor by an insurance company, are covered by insurance (subject to reasonable deductibles); and </w:t>
      </w:r>
    </w:p>
    <w:p>
      <w:pPr>
        <w:pStyle w:val="TextBody"/>
        <w:bidi w:val="0"/>
        <w:spacing w:before="120" w:after="0"/>
        <w:jc w:val="left"/>
        <w:rPr>
          <w:rFonts w:ascii="Times New Roman" w:hAnsi="Times New Roman"/>
          <w:sz w:val="20"/>
        </w:rPr>
      </w:pPr>
      <w:r>
        <w:rPr>
          <w:rFonts w:ascii="Times New Roman" w:hAnsi="Times New Roman"/>
          <w:sz w:val="20"/>
        </w:rPr>
        <w:t xml:space="preserve">(6) Liens for charters or subcharters or leases or subleases, including any charter, subcharter, lease or sublease permitted under this Agreement. </w:t>
      </w:r>
    </w:p>
    <w:p>
      <w:pPr>
        <w:pStyle w:val="TextBody"/>
        <w:bidi w:val="0"/>
        <w:spacing w:before="240" w:after="0"/>
        <w:jc w:val="left"/>
        <w:rPr/>
      </w:pPr>
      <w:r>
        <w:rPr/>
        <w:t>“</w:t>
      </w:r>
      <w:r>
        <w:rPr>
          <w:rFonts w:ascii="Times New Roman" w:hAnsi="Times New Roman"/>
          <w:b/>
          <w:sz w:val="20"/>
        </w:rPr>
        <w:t>Permitted Pari Passu Secured Refinancing Debt</w:t>
      </w:r>
      <w:r>
        <w:rPr>
          <w:rFonts w:ascii="Times New Roman" w:hAnsi="Times New Roman"/>
          <w:sz w:val="20"/>
        </w:rPr>
        <w:t xml:space="preserve">” means any Second Lien Credit Agreement Refinancing Indebtedness that is Pari Passu Lien Debt. </w:t>
      </w:r>
    </w:p>
    <w:p>
      <w:pPr>
        <w:pStyle w:val="TextBody"/>
        <w:bidi w:val="0"/>
        <w:spacing w:before="240" w:after="0"/>
        <w:jc w:val="left"/>
        <w:rPr/>
      </w:pPr>
      <w:r>
        <w:rPr/>
        <w:t>“</w:t>
      </w:r>
      <w:r>
        <w:rPr>
          <w:rFonts w:ascii="Times New Roman" w:hAnsi="Times New Roman"/>
          <w:b/>
          <w:sz w:val="20"/>
        </w:rPr>
        <w:t>Permitted Payment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the payment of any dividend or distribution within sixty (60) days after the date of declaration thereof, if at the date of declaration such payment would have complied with the provisions of this Agreement or the redemption, repurchase or retirement of Indebtedness if, at the date of any redemption notice, such payment would have complied with the provisions of this Agreement as if it were and is deemed at such time to be a Restricted Payment at the time of such notice; </w:t>
      </w:r>
    </w:p>
    <w:p>
      <w:pPr>
        <w:pStyle w:val="TextBody"/>
        <w:bidi w:val="0"/>
        <w:spacing w:before="120" w:after="0"/>
        <w:jc w:val="left"/>
        <w:rPr>
          <w:rFonts w:ascii="Times New Roman" w:hAnsi="Times New Roman"/>
          <w:sz w:val="20"/>
        </w:rPr>
      </w:pPr>
      <w:r>
        <w:rPr>
          <w:rFonts w:ascii="Times New Roman" w:hAnsi="Times New Roman"/>
          <w:sz w:val="20"/>
        </w:rPr>
        <w:t>(2)(a) any prepayment, purchase, repurchase, redemption, defeasance, discharge, retirement or other acquisition of Equity Interests, including any accrued and unpaid dividends thereon (“</w:t>
      </w:r>
      <w:r>
        <w:rPr>
          <w:rFonts w:ascii="Times New Roman" w:hAnsi="Times New Roman"/>
          <w:b/>
          <w:sz w:val="20"/>
        </w:rPr>
        <w:t>Treasury Equity Interests</w:t>
      </w:r>
      <w:r>
        <w:rPr>
          <w:rFonts w:ascii="Times New Roman" w:hAnsi="Times New Roman"/>
          <w:sz w:val="20"/>
        </w:rPr>
        <w:t>”) made by exchange (including any such exchange pursuant to the exercise of a conversion right or privilege in connection with which cash is paid in lieu of the issuance of fractional shares) for, or out of the proceeds of the substantially concurrent sale of, Equity Interests of the Borrower or any Parent Entity to the extent contributed to the Borrower (in each case, other than Disqualified Equity Interests) (“</w:t>
      </w:r>
      <w:r>
        <w:rPr>
          <w:rFonts w:ascii="Times New Roman" w:hAnsi="Times New Roman"/>
          <w:b/>
          <w:sz w:val="20"/>
        </w:rPr>
        <w:t>Refunding Equity Interests</w:t>
      </w:r>
      <w:r>
        <w:rPr>
          <w:rFonts w:ascii="Times New Roman" w:hAnsi="Times New Roman"/>
          <w:sz w:val="20"/>
        </w:rPr>
        <w:t xml:space="preserve">”) and (b) the declaration and payment of dividends on Treasury Equity Interests out of the proceeds of the substantially concurrent sale or issuance (other than to a Subsidiary of the Borrower or to an employee stock ownership plan or any trust established by a Parent Entity, the Borrower or any of its Subsidiaries) of Refunding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(3) any prepayment, purchase, repurchase, exchange, redemption, defeasance, discharge, retirement or other acquisition of Junior Financing made by exchange for, or out of the proceeds of the substantially concurrent sale of, any Refinancing Indebtedness or Second Lien Credit Agreement Refinancing Indebtedness permitted to be incurred pursuant to </w:t>
      </w:r>
      <w:r>
        <w:rPr>
          <w:rFonts w:ascii="Times New Roman" w:hAnsi="Times New Roman"/>
          <w:sz w:val="20"/>
          <w:u w:val="single"/>
        </w:rPr>
        <w:t>Section 7.03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(4) any prepayment, purchase, repurchase, exchange, redemption, defeasance, discharge, retirement or other acquisition of preferred stock of the Borrower or a Restricted Subsidiary made by exchange for, or out of the proceeds of the substantially concurrent sale of, preferred stock of the Borrower or a Restricted Subsidiary, as the case may be, that, in each case, is permitted to be incurred pursuant to</w:t>
      </w:r>
      <w:r>
        <w:rPr>
          <w:rFonts w:ascii="Times New Roman" w:hAnsi="Times New Roman"/>
          <w:sz w:val="20"/>
          <w:u w:val="single"/>
        </w:rPr>
        <w:t xml:space="preserve"> Section 7.03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any prepayment, purchase, repurchase, redemption, defeasance, discharge, retirement or other acquisition of Subordinated Indebtedness of the Issuer or a Restricted Subsidiary to the extent required by the agreement governing such Subordinated Indebtedness, following the occurrence of (i) a Change of Control (or other similar event described therein as a “change of control”) or (ii) an asset disposition (or other similar event described therein as an “asset disposition” or “asset sale”), but only if the Borrower shall have first complied with the terms described under “—Change of Control” or “— Limitation on Sales of Assets and Subsidiary Stock,” as applicable, and purchased all notes tendered pursuant to the offer to repurchase all the notes required thereby, prior to purchasing, repurchasing, redeeming, defeasing or otherwise acquiring or retiring such Subordinated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(6) a Restricted Payment to pay for the prepayment, purchase, repurchase, redemption, defeasance, discharge, retirement or other acquisition of Equity Interests of the Borrower or any Parent Entity held by any future, present or former employee, director, officer, manager, contractor, consultant or advisor (or their respective Controlled Investment Affiliates or Immediate Family Members) of the Borrower, any of its Subsidiaries or any Parent Entity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Borrower or any Parent Entity in connection with such prepayment, purchase, repurchase, redemption, defeasance, discharge, retirement or other acquisition), including any Equity Interests rolled over, accelerated or paid out by or to any employee, director, officer, manager, contractor, consultant or advisor (or their respective Controlled Investment Affiliates or Immediate Family Members) of the Borrower, any of its Subsidiaries or any Parent Entity in connection with any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aggregate Restricted Payments made under this clause do not exceed (x) the greater of (i) $15.0 million and (ii) an amount equal to 1.5% of the Borrower’s Consolidated Net Tangible Assets determined as of the end of the Borrower’s most recently completed fiscal quarter for which internal financial statements are available in any fiscal year (with unused amounts in any fiscal year being carried over to succeeding fiscal years) or (y) subsequent to the consummation of a Qualifying IPO of the Borrower or any Parent Entity, the greater of (i) $25.0 million and (ii) an amount equal to 3.0% of the Borrower’s Consolidated Net Tangible Assets determined as of the end of the Borrower’s most recently completed fiscal quarter for which internal financial statements are available in any fiscal year (with unused amounts in any fiscal year being carried over to succeeding fiscal years);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amount in any fiscal year may be increased by an amount not to exceed: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proceeds from the sale of Equity Interests (other than Disqualified Equity Interests) of the Borrower and, to the extent contributed to the capital of the Borrower, the cash proceeds from the sale of Equity Interests of any Parent Entity, in each case, to any future, present or former employee, director, officer, manager, contractor, consultant or advisor (or their respective Controlled Investment Affiliates or Immediate Family Members) of the Borrower, any of its Subsidiaries or any Parent Entity that occurred after the Closing Date, to the extent the cash proceeds from the sale of such Equity Interests have not otherwise been applied to the payment of Restricted Payments by virtue of </w:t>
            </w:r>
            <w:r>
              <w:rPr>
                <w:rFonts w:ascii="Times New Roman" w:hAnsi="Times New Roman"/>
                <w:sz w:val="20"/>
                <w:u w:val="single"/>
              </w:rPr>
              <w:t>clause (c)</w:t>
            </w:r>
            <w:r>
              <w:rPr>
                <w:rFonts w:ascii="Times New Roman" w:hAnsi="Times New Roman"/>
                <w:sz w:val="20"/>
              </w:rPr>
              <w:t xml:space="preserve"> of the preceding paragraph; plus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proceeds of key man life insurance policies received by the Borrower or its Restricted Subsidiaries (or any Parent Entity to the extent contributed to the Borrower) after the Closing Date;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any Restricted Payments made in previous calendar years pursuant to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this clause; </w:t>
            </w:r>
            <w:r>
              <w:rPr>
                <w:rFonts w:ascii="Times New Roman" w:hAnsi="Times New Roman"/>
                <w:i/>
                <w:sz w:val="20"/>
              </w:rPr>
              <w:t xml:space="preserve">provided </w:t>
            </w:r>
            <w:r>
              <w:rPr>
                <w:rFonts w:ascii="Times New Roman" w:hAnsi="Times New Roman"/>
                <w:sz w:val="20"/>
              </w:rPr>
              <w:t xml:space="preserve">that the Borrower may elect to apply all or any portion of the aggregate increase contemplated by </w:t>
            </w:r>
            <w:r>
              <w:rPr>
                <w:rFonts w:ascii="Times New Roman" w:hAnsi="Times New Roman"/>
                <w:sz w:val="20"/>
                <w:u w:val="single"/>
              </w:rPr>
              <w:t>subclauses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this clause in any fiscal year;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 cancellation of Indebtedness owing to the Borrower or any Restricted Subsidiary from any future, present or former employee, director, officer, manager, contractor, consultant or advisor (or their respective Controlled Investment Affiliates or Immediate Family Members) of the Borrower or Restricted Subsidiaries or any Parent Entity in connection with a repurchase of Equity Interests of the Borrower or any Parent Entity and (ii) the repurchase of Equity Interests deemed to occur upon the exercise of options, warrants or similar instruments if such Equity Interests represents all or a portion of the exercise price thereof and payments, in lieu of the issuance of fractional shares of such Equity Interests or withholding to pay other Taxes payable in connection therewith,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will not be deemed to constitute a Restricted Payment for purposes of this covenant or any other provision of this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(7) the declaration and payment of dividends on Disqualified Equity Interests of the Borrower or any of its Restricted Subsidiaries or preferred stock of a Restricted Subsidiary, issued in accordance with the covenant described under </w:t>
      </w:r>
      <w:r>
        <w:rPr>
          <w:rFonts w:ascii="Times New Roman" w:hAnsi="Times New Roman"/>
          <w:sz w:val="20"/>
          <w:u w:val="single"/>
        </w:rPr>
        <w:t>Section 7.03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payments made or expected to be made by the Borrower or any Restricted Subsidiary in respect of withholding or similar Taxes payable in connection with the exercise or vesting of Equity Interests or any other equity award by any future, present or former employee, director, officer, manager, contractor, consultant or advisor (or their respective Controlled Investment Affiliates or Immediate Family Members) of the Borrower or any Restricted Subsidiary or any Parent Entity and purchases, repurchases, redemptions, defeasances or other acquisitions or retirements of Equity Interests deemed to occur upon the exercise, conversion or exchange of stock options, warrants, equity-based awards or other rights in respect thereof if such Equity Interests represents a portion of the exercise price thereof or payments in respect of withholding or similar Taxes payable upon exercise or vesting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(9)(a) the declaration and payment of dividends on the common stock, common equity interests or Jones Act Warrants (including, for the avoidance of doubt, in the form of notes, warrants or similar Indebtedness) of the Borrower or any Parent Entity (and any equivalent declaration and payment of a distribution of any security exchangeable for such common stock, common equity interests or Jones Act Warrants to the extent required by the terms of any such exchangeable securities and any Restricted Payment to any such Parent Entity to fund the payment by such Parent Entity of dividends on such entity’s Equity Interests), following a public offering of such common stock, common equity interests or Jones Act Warrants (or such exchangeable securities, as applicable), in an amount in any fiscal year not to exceed 6% of the amount of net cash proceeds received by or contributed to the Borrower or any of its Restricted Subsidiaries from any such public offering; or (b) in lieu of all or a portion of the dividends permitted by </w:t>
      </w:r>
      <w:r>
        <w:rPr>
          <w:rFonts w:ascii="Times New Roman" w:hAnsi="Times New Roman"/>
          <w:sz w:val="20"/>
          <w:u w:val="single"/>
        </w:rPr>
        <w:t>clause (a)</w:t>
      </w:r>
      <w:r>
        <w:rPr>
          <w:rFonts w:ascii="Times New Roman" w:hAnsi="Times New Roman"/>
          <w:sz w:val="20"/>
        </w:rPr>
        <w:t xml:space="preserve">, any prepayment, purchase, repurchase, redemption, defeasance, discharge, retirement or other acquisition of the Borrower’s Equity Interests (and any equivalent declaration and payment of a distribution of any security exchangeable for such common stock, common equity interests or Jones Act Warrants to the extent required by the terms of any such exchangeable securities and any Restricted Payment to any such Parent Entity to fund the payment by such Parent Entity of dividends on such entity’s Equity Interests) for aggregate consideration that, when taken together with dividends permitted by </w:t>
      </w:r>
      <w:r>
        <w:rPr>
          <w:rFonts w:ascii="Times New Roman" w:hAnsi="Times New Roman"/>
          <w:sz w:val="20"/>
          <w:u w:val="single"/>
        </w:rPr>
        <w:t>clause (a)</w:t>
      </w:r>
      <w:r>
        <w:rPr>
          <w:rFonts w:ascii="Times New Roman" w:hAnsi="Times New Roman"/>
          <w:sz w:val="20"/>
        </w:rPr>
        <w:t xml:space="preserve">, does not exceed the amount contemplated by </w:t>
      </w:r>
      <w:r>
        <w:rPr>
          <w:rFonts w:ascii="Times New Roman" w:hAnsi="Times New Roman"/>
          <w:sz w:val="20"/>
          <w:u w:val="single"/>
        </w:rPr>
        <w:t>clause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(10) payments by the Borrower, or loans, advances, dividends or distributions to any Parent Entity to make payments, to holders of Equity Interests of the Borrower or any Parent Entity in lieu of the issuance of fractional shares of such Equity Interests,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payment, loan, advance, dividend or distribution shall not be for the purpose of evading any limitation of this covenant or otherwise to facilitate any dividend or other return of capital to the holders of such Equity Interests (as determined in good faith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(11) distributions, by dividend or otherwise, or other transfer or disposition of shares of Equity Interests of, or equity interests in, an Unrestricted Subsidiary (or a Restricted Subsidiary that owns one or more Unrestricted Subsidiaries and no other material assets), or Indebtedness owed to the Borrower or a Restricted Subsidiary by an Unrestricted Subsidiary (or a Restricted Subsidiary that owns one or more Unrestricted Subsidiaries and no other material assets), in each case, other than Unrestricted Subsidiaries, substantially all of the assets of which are 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(12) 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(13)(i) so long as, immediately after giving pro forma effect to the payment of any such Restricted Payment and the incurrence of any Indebtedness the net proceeds of which are used to make such Restricted Payment, no Default or Event of Default has occurred and is continuing (or would result therefrom), Restricted Payments (including, for the avoidance of doubt, in the form of notes, warrants or similar Indebtedness and including loans or advances) in an aggregate amount outstanding at the time made not to exceed the greater of (x) $50.0 million and (y) an amount equal to 6.0%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Borrower’s Consolidated Net Tangible Assets determined as of the end of the Borrower’s most recently completed fiscal quarter for which internal financial statements are available, and (ii) any Restricted Payments, so long as, immediately after giving pro forma effect to the payment of any such Restricted Payment and the incurrence of any Indebtedness the net proceeds of which are used to make such Restricted Payment, (A) no Default or Event of Default has occurred and is continuing (or would result therefrom) and (B) the Total Net Leverage Ratio shall be no greater than 1.50 to 1.00;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in the case of this clause (13), the Borrower shall be in pro forma compliance with the Financial Covenants upon giving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(14) 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Times New Roman" w:hAnsi="Times New Roman"/>
          <w:sz w:val="20"/>
          <w:u w:val="single"/>
        </w:rPr>
        <w:t>Section 7.04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(15) any Restricted Payment made in connection with a Permitted Intercompany Activity or related transactions; </w:t>
      </w:r>
      <w:r>
        <w:rPr>
          <w:rFonts w:ascii="Times New Roman" w:hAnsi="Times New Roman"/>
          <w:i/>
          <w:sz w:val="20"/>
        </w:rPr>
        <w:t xml:space="preserve">provided </w:t>
      </w:r>
      <w:r>
        <w:rPr>
          <w:rFonts w:ascii="Times New Roman" w:hAnsi="Times New Roman"/>
          <w:sz w:val="20"/>
        </w:rPr>
        <w:t xml:space="preserve">that Restricted Payments in connection with Permitted Intercompany Activities between the Borrower and Restricted Subsidiaries that are Loan Parties, on the one hand, and Restricted Subsidiaries that are not Loan Parties or any other Person, on the other hand, shall only be permitted so long as an Event of Default has not occurred and is continuing (other than, for the avoidance of doubt, Permitted Intercompany Activities in accordance with clause (A)(i) of the definition thereof); and </w:t>
      </w:r>
    </w:p>
    <w:p>
      <w:pPr>
        <w:pStyle w:val="TextBody"/>
        <w:bidi w:val="0"/>
        <w:spacing w:before="120" w:after="0"/>
        <w:jc w:val="left"/>
        <w:rPr>
          <w:rFonts w:ascii="Times New Roman" w:hAnsi="Times New Roman"/>
          <w:sz w:val="20"/>
        </w:rPr>
      </w:pPr>
      <w:r>
        <w:rPr>
          <w:rFonts w:ascii="Times New Roman" w:hAnsi="Times New Roman"/>
          <w:sz w:val="20"/>
        </w:rPr>
        <w:t>(16) the making of (i) cash payments made by the Borrower or any of its Restricted Subsidiaries in satisfaction of the conversion obligation upon conversion into the Borrower equity of convertible Indebtedness issued in a convertible notes offering (it being understood that the satisfaction of such conversion obligation in cash shall not increase the Available Amount) and (ii) any payments by the Borrower or any of its Restricted Subsidiaries pursuant to the initiation, exercise, settlement or termination of any Hedge Agreement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a “</w:t>
      </w:r>
      <w:r>
        <w:rPr>
          <w:rFonts w:ascii="Times New Roman" w:hAnsi="Times New Roman"/>
          <w:b/>
          <w:sz w:val="20"/>
        </w:rPr>
        <w:t>Conversion Settlement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Plan</w:t>
      </w:r>
      <w:r>
        <w:rPr>
          <w:rFonts w:ascii="Times New Roman" w:hAnsi="Times New Roman"/>
          <w:sz w:val="20"/>
        </w:rPr>
        <w:t xml:space="preserve">” means any employee benefits plan of the Borrower or any of its Affiliates and any Person acting in its capacity as trustee, agent or other fiduciary or administrator of any such plan. </w:t>
      </w:r>
    </w:p>
    <w:p>
      <w:pPr>
        <w:pStyle w:val="TextBody"/>
        <w:bidi w:val="0"/>
        <w:spacing w:before="240" w:after="0"/>
        <w:jc w:val="left"/>
        <w:rPr/>
      </w:pPr>
      <w:r>
        <w:rPr/>
        <w:t>“</w:t>
      </w:r>
      <w:r>
        <w:rPr>
          <w:rFonts w:ascii="Times New Roman" w:hAnsi="Times New Roman"/>
          <w:b/>
          <w:sz w:val="20"/>
        </w:rPr>
        <w:t>Permitted Reflagging Transaction</w:t>
      </w:r>
      <w:r>
        <w:rPr>
          <w:rFonts w:ascii="Times New Roman" w:hAnsi="Times New Roman"/>
          <w:sz w:val="20"/>
        </w:rPr>
        <w:t xml:space="preserve">” means any transaction or action by a Loan Party resulting in (i) the Vessel Collateral being reflagged under the laws of another Approved Flag Jurisdiction so long as no less than five (5) Business Days prior written notice has been provided to the Administrative Agent (or such shorter period as the Administrative Agent shall agree in its discretion) and either (A) such Vessel would thereafter constitute an Excluded Foreign Flag Vessel or (B) the Required Lenders have provided their consent thereto (such consent not to be unreasonably withheld, conditioned or delayed) or (ii) any Excluded Vessel being reflagged (x) from a non-Approved Flag Jurisdiction to another non-Approved Flag Jurisdiction or to an Approved Flag Jurisdiction or (x) from an Approved Flag Jurisdiction to another Approved Flag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Permitted Tax Amount</w:t>
      </w:r>
      <w:r>
        <w:rPr>
          <w:rFonts w:ascii="Times New Roman" w:hAnsi="Times New Roman"/>
          <w:sz w:val="20"/>
        </w:rPr>
        <w:t xml:space="preserve">” means for any taxable year (or portion thereof) in which Borrower is a member of a group filing a consolidated, combined group, affiliated, unitary or similar Tax return with any Parent Entity that is a parent of such group, any dividends or other distributions to fund any income taxes for which such Parent Entity is liable up to an amount not to exceed the amount of any such Taxes that the Borrower and its subsidiaries would have been required to pay on a separate company basis or on a consolidated basis calculated as if the Borrower and its subsidiaries had paid Tax on a consolidated, combined, group, affiliated, unitary or similar basis on behalf of a consolidated, combined affiliated, unitary or similar group consisting only of the Borrower and its subsidiaries with the Borrower treated as the parent corporation for U.S. federal income tax purposes, taking into account any net operating losses or other attributes of the Borrower and its subsidiaries, less any amounts paid directly by the Borrower and its subsidiaries with respect to such income taxes; provided that in the case of any such amounts attributable to any Taxes of any Unrestricted Subsidiaries, the Borrower shall use commercially reasonable efforts to cause such Unrestricted Subsidiary (or any other Unrestricted Subsidiary) to make cash distributions to such Borrower or its Restricted Subsidiaries in an aggregate amount that the Borrower determines in its reasonable discretion equals the Tax liability of the Unrestricted Subsidiary had such Unrestricted Subsidiary been required to pay Taxes on a separate company basis. </w:t>
      </w:r>
    </w:p>
    <w:p>
      <w:pPr>
        <w:pStyle w:val="TextBody"/>
        <w:bidi w:val="0"/>
        <w:spacing w:before="240" w:after="0"/>
        <w:jc w:val="left"/>
        <w:rPr/>
      </w:pPr>
      <w:r>
        <w:rPr/>
        <w:t>“</w:t>
      </w:r>
      <w:r>
        <w:rPr>
          <w:rFonts w:ascii="Times New Roman" w:hAnsi="Times New Roman"/>
          <w:b/>
          <w:sz w:val="20"/>
        </w:rPr>
        <w:t>Permitted Unsecured Refinancing Debt</w:t>
      </w:r>
      <w:r>
        <w:rPr>
          <w:rFonts w:ascii="Times New Roman" w:hAnsi="Times New Roman"/>
          <w:sz w:val="20"/>
        </w:rPr>
        <w:t xml:space="preserve">” means any Second Lien Credit Agreement Refinancing Indebtedness that is unsecured debt.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b/>
          <w:sz w:val="20"/>
        </w:rPr>
        <w:t>Plan</w:t>
      </w:r>
      <w:r>
        <w:rPr>
          <w:rFonts w:ascii="Times New Roman" w:hAnsi="Times New Roman"/>
          <w:sz w:val="20"/>
        </w:rPr>
        <w:t xml:space="preserve">” means any material “employee benefit plan” (as such term is defined in Section 3(3) of ERISA) established, sponsored, maintained or contributed to (or required to be contributed to) by any Loan Party or, with respect to any such plan that (i) is subject to Section 412 of the Code, Section 302 of ERISA or Title IV of ERISA or (ii) for which any Loan Party has liability under ERISA or the Code as a result of being in a “controlled group” with any of their respective ERISA Affiliates. </w:t>
      </w:r>
    </w:p>
    <w:p>
      <w:pPr>
        <w:pStyle w:val="TextBody"/>
        <w:bidi w:val="0"/>
        <w:spacing w:before="240" w:after="0"/>
        <w:jc w:val="left"/>
        <w:rPr/>
      </w:pPr>
      <w:r>
        <w:rPr/>
        <w:t>“</w:t>
      </w:r>
      <w:r>
        <w:rPr>
          <w:rFonts w:ascii="Times New Roman" w:hAnsi="Times New Roman"/>
          <w:b/>
          <w:sz w:val="20"/>
        </w:rPr>
        <w:t>Platform</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Pledged Collateral</w:t>
      </w:r>
      <w:r>
        <w:rPr>
          <w:rFonts w:ascii="Times New Roman" w:hAnsi="Times New Roman"/>
          <w:sz w:val="20"/>
        </w:rPr>
        <w:t xml:space="preserve">” has the meaning specified in the Collateral Agreement. </w:t>
      </w:r>
    </w:p>
    <w:p>
      <w:pPr>
        <w:pStyle w:val="TextBody"/>
        <w:bidi w:val="0"/>
        <w:spacing w:before="240" w:after="0"/>
        <w:jc w:val="left"/>
        <w:rPr/>
      </w:pPr>
      <w:r>
        <w:rPr/>
        <w:t>“</w:t>
      </w:r>
      <w:r>
        <w:rPr>
          <w:rFonts w:ascii="Times New Roman" w:hAnsi="Times New Roman"/>
          <w:b/>
          <w:sz w:val="20"/>
        </w:rPr>
        <w:t>Pledged Equity</w:t>
      </w:r>
      <w:r>
        <w:rPr>
          <w:rFonts w:ascii="Times New Roman" w:hAnsi="Times New Roman"/>
          <w:sz w:val="20"/>
        </w:rPr>
        <w:t xml:space="preserve">” has the meaning specified in the Collateral Agreement. </w:t>
      </w:r>
    </w:p>
    <w:p>
      <w:pPr>
        <w:pStyle w:val="TextBody"/>
        <w:bidi w:val="0"/>
        <w:spacing w:before="240" w:after="0"/>
        <w:jc w:val="left"/>
        <w:rPr/>
      </w:pPr>
      <w:r>
        <w:rPr/>
        <w:t>“</w:t>
      </w:r>
      <w:r>
        <w:rPr>
          <w:rFonts w:ascii="Times New Roman" w:hAnsi="Times New Roman"/>
          <w:b/>
          <w:sz w:val="20"/>
        </w:rPr>
        <w:t>Pre-Approved Lender</w:t>
      </w:r>
      <w:r>
        <w:rPr>
          <w:rFonts w:ascii="Times New Roman" w:hAnsi="Times New Roman"/>
          <w:sz w:val="20"/>
        </w:rPr>
        <w:t xml:space="preserve">” means each bank or financial institution set forth on a list agreed to between the Borrower and the Administrative Agent and distributed to the Lenders prior to the date of this Agreement. </w:t>
      </w:r>
    </w:p>
    <w:p>
      <w:pPr>
        <w:pStyle w:val="TextBody"/>
        <w:bidi w:val="0"/>
        <w:spacing w:before="240" w:after="0"/>
        <w:jc w:val="left"/>
        <w:rPr/>
      </w:pPr>
      <w:r>
        <w:rPr/>
        <w:t>“</w:t>
      </w:r>
      <w:r>
        <w:rPr>
          <w:rFonts w:ascii="Times New Roman" w:hAnsi="Times New Roman"/>
          <w:b/>
          <w:sz w:val="20"/>
        </w:rPr>
        <w:t>Preferred Stock</w:t>
      </w:r>
      <w:r>
        <w:rPr>
          <w:rFonts w:ascii="Times New Roman" w:hAnsi="Times New Roman"/>
          <w:sz w:val="20"/>
        </w:rPr>
        <w:t xml:space="preserve">” as applied to the Equity Interests of any Person, means Equity Interests of any class or classes (however designated) which is preferred as to the payment of dividends or as to the distribution of assets upon any voluntary or involuntary liquidation or dissolution of such Person, over shares of Equity Interests of any other class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Prepayment Date</w:t>
      </w:r>
      <w:r>
        <w:rPr>
          <w:rFonts w:ascii="Times New Roman" w:hAnsi="Times New Roman"/>
          <w:sz w:val="20"/>
        </w:rPr>
        <w:t xml:space="preserve">” has the meaning specified in </w:t>
      </w:r>
      <w:r>
        <w:rPr>
          <w:rFonts w:ascii="Times New Roman" w:hAnsi="Times New Roman"/>
          <w:sz w:val="20"/>
          <w:u w:val="single"/>
        </w:rPr>
        <w:t>Section 2.07(b)(iii).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Prepayment Notice</w:t>
      </w:r>
      <w:r>
        <w:rPr>
          <w:rFonts w:ascii="Times New Roman" w:hAnsi="Times New Roman"/>
          <w:sz w:val="20"/>
        </w:rPr>
        <w:t xml:space="preserve">” means a written notice made pursuant to </w:t>
      </w:r>
      <w:r>
        <w:rPr>
          <w:rFonts w:ascii="Times New Roman" w:hAnsi="Times New Roman"/>
          <w:sz w:val="20"/>
          <w:u w:val="single"/>
        </w:rPr>
        <w:t>Section 2.07(a)(i)</w:t>
      </w:r>
      <w:r>
        <w:rPr>
          <w:rFonts w:ascii="Times New Roman" w:hAnsi="Times New Roman"/>
          <w:sz w:val="20"/>
        </w:rPr>
        <w:t xml:space="preserve"> substantially in the form of </w:t>
      </w:r>
      <w:r>
        <w:rPr>
          <w:rFonts w:ascii="Times New Roman" w:hAnsi="Times New Roman"/>
          <w:sz w:val="20"/>
          <w:u w:val="single"/>
        </w:rPr>
        <w:t>Exhibit 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Prime Rate</w:t>
      </w:r>
      <w:r>
        <w:rPr>
          <w:rFonts w:ascii="Times New Roman" w:hAnsi="Times New Roman"/>
          <w:sz w:val="20"/>
        </w:rPr>
        <w:t xml:space="preserve">”means the rate of interest last quoted by The Wall Street Journal as the “Prime Rate” in the U.S. or, if The Wall Street Journal ceases to quote such rate, the highest </w:t>
      </w:r>
      <w:r>
        <w:rPr>
          <w:rFonts w:ascii="Times New Roman" w:hAnsi="Times New Roman"/>
          <w:i/>
          <w:sz w:val="20"/>
        </w:rPr>
        <w:t xml:space="preserve">per annum </w:t>
      </w:r>
      <w:r>
        <w:rPr>
          <w:rFonts w:ascii="Times New Roman" w:hAnsi="Times New Roman"/>
          <w:sz w:val="20"/>
        </w:rPr>
        <w:t xml:space="preserve">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w:t>
      </w:r>
    </w:p>
    <w:p>
      <w:pPr>
        <w:pStyle w:val="TextBody"/>
        <w:bidi w:val="0"/>
        <w:spacing w:before="240" w:after="0"/>
        <w:jc w:val="left"/>
        <w:rPr/>
      </w:pPr>
      <w:r>
        <w:rPr/>
        <w:t>“</w:t>
      </w:r>
      <w:r>
        <w:rPr>
          <w:rFonts w:ascii="Times New Roman" w:hAnsi="Times New Roman"/>
          <w:b/>
          <w:sz w:val="20"/>
        </w:rPr>
        <w:t>Priority Waterfall</w:t>
      </w:r>
      <w:r>
        <w:rPr>
          <w:rFonts w:ascii="Times New Roman" w:hAnsi="Times New Roman"/>
          <w:sz w:val="20"/>
        </w:rPr>
        <w:t xml:space="preserve">” means the provisions of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Private-Side Information</w:t>
      </w:r>
      <w:r>
        <w:rPr>
          <w:rFonts w:ascii="Times New Roman" w:hAnsi="Times New Roman"/>
          <w:sz w:val="20"/>
        </w:rPr>
        <w:t xml:space="preserve">” means any information with respect to the Borrower and its Subsidiaries that is not Public-Side Information. </w:t>
      </w:r>
    </w:p>
    <w:p>
      <w:pPr>
        <w:pStyle w:val="TextBody"/>
        <w:bidi w:val="0"/>
        <w:spacing w:before="240" w:after="0"/>
        <w:jc w:val="left"/>
        <w:rPr/>
      </w:pPr>
      <w:r>
        <w:rPr/>
        <w:t>“</w:t>
      </w:r>
      <w:r>
        <w:rPr>
          <w:rFonts w:ascii="Times New Roman" w:hAnsi="Times New Roman"/>
          <w:b/>
          <w:sz w:val="20"/>
        </w:rPr>
        <w:t>Pro Forma Basis</w:t>
      </w:r>
      <w:r>
        <w:rPr>
          <w:rFonts w:ascii="Times New Roman" w:hAnsi="Times New Roman"/>
          <w:sz w:val="20"/>
        </w:rPr>
        <w:t>” and “</w:t>
      </w:r>
      <w:r>
        <w:rPr>
          <w:rFonts w:ascii="Times New Roman" w:hAnsi="Times New Roman"/>
          <w:b/>
          <w:sz w:val="20"/>
        </w:rPr>
        <w:t>Pro Forma Effect</w:t>
      </w:r>
      <w:r>
        <w:rPr>
          <w:rFonts w:ascii="Times New Roman" w:hAnsi="Times New Roman"/>
          <w:sz w:val="20"/>
        </w:rPr>
        <w:t xml:space="preserve">” mean, with respect to compliance with any test or covenant or calculation hereunder, the determination or calculation of such test, covenant or ratio in accordance with the definition of “Consolidated Adjusted EBITDA”, the definition of “Fixed Charge Coverage Ratio” and </w:t>
      </w:r>
      <w:r>
        <w:rPr>
          <w:rFonts w:ascii="Times New Roman" w:hAnsi="Times New Roman"/>
          <w:sz w:val="20"/>
          <w:u w:val="single"/>
        </w:rPr>
        <w:t>Section 1.08.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 Rata Share</w:t>
      </w:r>
      <w:r>
        <w:rPr>
          <w:rFonts w:ascii="Times New Roman" w:hAnsi="Times New Roman"/>
          <w:sz w:val="20"/>
        </w:rPr>
        <w:t xml:space="preserve">” means (a) with respect to all payments, computations and other matters relating to the Commitment of any Lender at any time a fraction (expressed as a percentage, carried out to the ninth decimal place), the numerator of which is the unused Commitment of that Lender and the denominator of which is the aggregate unused Commitments of all Lenders at such time and (b) with respect to all payments, computations and other matters relating to the Revolving Loans of any Lender and any Letters of Credit issued or participations purchased therein by any Lender (expressed as a percentage, carried out to the ninth decimal place), the numerator of which is the amount of the Revolving Exposure of that Lender and the denominator of which is the aggregate Revolving Exposure of all Lenders at such time. </w:t>
      </w:r>
    </w:p>
    <w:p>
      <w:pPr>
        <w:pStyle w:val="TextBody"/>
        <w:bidi w:val="0"/>
        <w:spacing w:before="240" w:after="0"/>
        <w:jc w:val="left"/>
        <w:rPr/>
      </w:pPr>
      <w:r>
        <w:rPr/>
        <w:t>“</w:t>
      </w:r>
      <w:r>
        <w:rPr>
          <w:rFonts w:ascii="Times New Roman" w:hAnsi="Times New Roman"/>
          <w:b/>
          <w:sz w:val="20"/>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b/>
          <w:sz w:val="20"/>
        </w:rPr>
        <w:t>Public Company Costs</w:t>
      </w:r>
      <w:r>
        <w:rPr>
          <w:rFonts w:ascii="Times New Roman" w:hAnsi="Times New Roman"/>
          <w:sz w:val="20"/>
        </w:rPr>
        <w:t xml:space="preserve">”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Public Lenders</w:t>
      </w:r>
      <w:r>
        <w:rPr>
          <w:rFonts w:ascii="Times New Roman" w:hAnsi="Times New Roman"/>
          <w:sz w:val="20"/>
        </w:rPr>
        <w:t xml:space="preserve">” means Lenders that do not wish to receive Private-Side Information. </w:t>
      </w:r>
    </w:p>
    <w:p>
      <w:pPr>
        <w:pStyle w:val="TextBody"/>
        <w:bidi w:val="0"/>
        <w:spacing w:before="240" w:after="0"/>
        <w:jc w:val="left"/>
        <w:rPr/>
      </w:pPr>
      <w:r>
        <w:rPr/>
        <w:t>“</w:t>
      </w:r>
      <w:r>
        <w:rPr>
          <w:rFonts w:ascii="Times New Roman" w:hAnsi="Times New Roman"/>
          <w:b/>
          <w:sz w:val="20"/>
        </w:rPr>
        <w:t>Public-Side Information</w:t>
      </w:r>
      <w:r>
        <w:rPr>
          <w:rFonts w:ascii="Times New Roman" w:hAnsi="Times New Roman"/>
          <w:sz w:val="20"/>
        </w:rPr>
        <w:t xml:space="preserve">” means (a) at any time prior to a Parent Entity or the Borrower or any of their respective Subsidiaries becoming the issuer of any Traded Securities, information that the Borrower determines (i) would be required by applicable Law to be publicly disclosed in connection with an issuance by such Parent Entity or the Borrower or any of their respective Subsidiaries of its debt or equity securities pursuant to a registered public offering made at such time or (ii) not material to make an investment decision with respect to securities of such Parent Entity or the Borrower or any of their respective Subsidiaries (for purposes of United States federal, state or other applicable securities laws), and (b) at any time on or after such Parent Entity or the Borrower or any of their respective Subsidiaries becoming the issuer of any Traded Securities, information that does not constitute material non-public information (within the meaning of United States federal, state or other applicable securities laws) with respect to such Parent Entity or the Borrower or any of their respective Subsidiaries or any of their respective securities. </w:t>
      </w:r>
    </w:p>
    <w:p>
      <w:pPr>
        <w:pStyle w:val="TextBody"/>
        <w:bidi w:val="0"/>
        <w:spacing w:before="240" w:after="0"/>
        <w:jc w:val="left"/>
        <w:rPr/>
      </w:pPr>
      <w:r>
        <w:rPr/>
        <w:t>“</w:t>
      </w:r>
      <w:r>
        <w:rPr>
          <w:rFonts w:ascii="Times New Roman" w:hAnsi="Times New Roman"/>
          <w:b/>
          <w:sz w:val="20"/>
        </w:rPr>
        <w:t>Purchase Money Obligations</w:t>
      </w:r>
      <w:r>
        <w:rPr>
          <w:rFonts w:ascii="Times New Roman" w:hAnsi="Times New Roman"/>
          <w:sz w:val="20"/>
        </w:rPr>
        <w:t xml:space="preserve">” means any Indebtedness incurred to finance or refinance the acquisition, leasing, expansion, construction, installation, replacement, repair or improvement of property (real or personal), equipment or assets (including Equity Interests), and whether acquired through the direct acquisition of such property or assets, or the acquisition of the Equity Interests of any Person owning such property or assets, or otherwise. </w:t>
      </w:r>
    </w:p>
    <w:p>
      <w:pPr>
        <w:pStyle w:val="TextBody"/>
        <w:bidi w:val="0"/>
        <w:spacing w:before="240" w:after="0"/>
        <w:jc w:val="left"/>
        <w:rPr/>
      </w:pPr>
      <w:r>
        <w:rPr/>
        <w:t>“</w:t>
      </w:r>
      <w:r>
        <w:rPr>
          <w:rFonts w:ascii="Times New Roman" w:hAnsi="Times New Roman"/>
          <w:b/>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pPr>
      <w:r>
        <w:rPr/>
        <w:t>“</w:t>
      </w:r>
      <w:r>
        <w:rPr>
          <w:rFonts w:ascii="Times New Roman" w:hAnsi="Times New Roman"/>
          <w:b/>
          <w:sz w:val="20"/>
        </w:rPr>
        <w:t>QFC Credit Support</w:t>
      </w:r>
      <w:r>
        <w:rPr>
          <w:rFonts w:ascii="Times New Roman" w:hAnsi="Times New Roman"/>
          <w:sz w:val="20"/>
        </w:rPr>
        <w:t xml:space="preserve">” has the meaning specified in </w:t>
      </w:r>
      <w:r>
        <w:rPr>
          <w:rFonts w:ascii="Times New Roman" w:hAnsi="Times New Roman"/>
          <w:sz w:val="20"/>
          <w:u w:val="single"/>
        </w:rPr>
        <w:t>Section 11.26(a).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QSC Adjustment</w:t>
      </w:r>
      <w:r>
        <w:rPr>
          <w:rFonts w:ascii="Times New Roman" w:hAnsi="Times New Roman"/>
          <w:sz w:val="20"/>
        </w:rPr>
        <w:t xml:space="preserve">” has the meaning specified in the definition of “Consolidated Adjusted EBITDA”. </w:t>
      </w:r>
    </w:p>
    <w:p>
      <w:pPr>
        <w:pStyle w:val="TextBody"/>
        <w:bidi w:val="0"/>
        <w:spacing w:before="240" w:after="0"/>
        <w:jc w:val="left"/>
        <w:rPr/>
      </w:pPr>
      <w:r>
        <w:rPr/>
        <w:t>“</w:t>
      </w:r>
      <w:r>
        <w:rPr>
          <w:rFonts w:ascii="Times New Roman" w:hAnsi="Times New Roman"/>
          <w:b/>
          <w:sz w:val="20"/>
        </w:rPr>
        <w:t>Qualified Equity Interests</w:t>
      </w:r>
      <w:r>
        <w:rPr>
          <w:rFonts w:ascii="Times New Roman" w:hAnsi="Times New Roman"/>
          <w:sz w:val="20"/>
        </w:rPr>
        <w:t xml:space="preserve">” means any Equity Interests that are not Disqualified Equity Interests. </w:t>
      </w:r>
    </w:p>
    <w:p>
      <w:pPr>
        <w:pStyle w:val="TextBody"/>
        <w:bidi w:val="0"/>
        <w:spacing w:before="240" w:after="0"/>
        <w:jc w:val="left"/>
        <w:rPr/>
      </w:pPr>
      <w:r>
        <w:rPr/>
        <w:t>“</w:t>
      </w:r>
      <w:r>
        <w:rPr>
          <w:rFonts w:ascii="Times New Roman" w:hAnsi="Times New Roman"/>
          <w:b/>
          <w:sz w:val="20"/>
        </w:rPr>
        <w:t>Qualified Securitization Financing</w:t>
      </w:r>
      <w:r>
        <w:rPr>
          <w:rFonts w:ascii="Times New Roman" w:hAnsi="Times New Roman"/>
          <w:sz w:val="20"/>
        </w:rPr>
        <w:t xml:space="preserve">” means any Securitization Facility that meets the following conditions: (i) the Board of Directors shall have determined in good faith that such Securitization Facility (including financing terms, covenants, termination events and other provisions) is in the aggregate economically fair and reasonable to the Borrower and its Restricted Subsidiaries, (ii) all sales of Securitization Assets and related assets by the Borrower or any Restricted Subsidiary to the Securitization Subsidiary or any other Person are made for fair consideration (as determined in good faith by the Borrower) and (iii) the financing terms, covenants, termination events and other provisions thereof shall be fair and reasonable terms (as determined in good faith by the Borrower) and may include Standard Securitization Undertakings.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Qualified Services Contract</w:t>
      </w:r>
      <w:r>
        <w:rPr>
          <w:rFonts w:ascii="Times New Roman" w:hAnsi="Times New Roman"/>
          <w:sz w:val="20"/>
        </w:rPr>
        <w:t xml:space="preserve">” means, with respect to any newly delivered, acquired or reactivated Specified Vessel (including, without limitation, offshore supply vessel, offshore service vessel, multi-purpose support vessels, service operation vessels, commissioning service operation vessels, other offshore wind-related vessels, construction support offshore vessels, flotels, other specialty vessels, other construction vessels, crewboats, fast supply vessels, anchor handling and towing supply vessels, tankers, tugs and tank barges) within 365 days of such vessel’s original delivery date, acquisition date or reactivation date, as applicable, a contract that the Board of Directors, acting in good faith, designates as a “Qualified Services Contract”, which contract: (a) provides for services to be performed by the Borrower or one of its Restricted Subsidiaries involving the use of such vessel or a charter (bareboat or otherwise) of such vessel by the Borrower or one of its Restricted Subsidiaries, in either case for a minimum period of at least 3 months; and (b) provides for a fixed or minimum dayrate or fixed or minimum volume or freight rates (including, if applicable, lay time and demurrage) for such vessel. </w:t>
      </w:r>
    </w:p>
    <w:p>
      <w:pPr>
        <w:pStyle w:val="TextBody"/>
        <w:bidi w:val="0"/>
        <w:spacing w:before="240" w:after="0"/>
        <w:jc w:val="left"/>
        <w:rPr/>
      </w:pPr>
      <w:r>
        <w:rPr/>
        <w:t>“</w:t>
      </w:r>
      <w:r>
        <w:rPr>
          <w:rFonts w:ascii="Times New Roman" w:hAnsi="Times New Roman"/>
          <w:b/>
          <w:sz w:val="20"/>
        </w:rPr>
        <w:t>Qualifying IPO</w:t>
      </w:r>
      <w:r>
        <w:rPr>
          <w:rFonts w:ascii="Times New Roman" w:hAnsi="Times New Roman"/>
          <w:sz w:val="20"/>
        </w:rPr>
        <w:t xml:space="preserve">” means (a) an underwritten public Equity Offering of the Borrower or any Parent Entity or (b) a transaction where the Equity Interests of the Borrower or any Parent Entity thereof is listed on any United States national securities exchange. </w:t>
      </w:r>
    </w:p>
    <w:p>
      <w:pPr>
        <w:pStyle w:val="TextBody"/>
        <w:bidi w:val="0"/>
        <w:spacing w:before="240" w:after="0"/>
        <w:jc w:val="left"/>
        <w:rPr/>
      </w:pPr>
      <w:r>
        <w:rPr/>
        <w:t>“</w:t>
      </w:r>
      <w:r>
        <w:rPr>
          <w:rFonts w:ascii="Times New Roman" w:hAnsi="Times New Roman"/>
          <w:b/>
          <w:sz w:val="20"/>
        </w:rPr>
        <w:t>RCF Collateral Coverage Ratio</w:t>
      </w:r>
      <w:r>
        <w:rPr>
          <w:rFonts w:ascii="Times New Roman" w:hAnsi="Times New Roman"/>
          <w:sz w:val="20"/>
        </w:rPr>
        <w:t xml:space="preserve">” means, as of any Measurement Date, the ratio of (a) Collateral Value Amount to (b) Consolidated Total Debt outstanding under the Facility (including for the avoidance of doubt, under any Incremental Facilities), net of unrestricted cash and Cash Equivalents of up to $25 million, in each case, as of such date of determination. </w:t>
      </w:r>
    </w:p>
    <w:p>
      <w:pPr>
        <w:pStyle w:val="TextBody"/>
        <w:bidi w:val="0"/>
        <w:spacing w:before="240" w:after="0"/>
        <w:jc w:val="left"/>
        <w:rPr/>
      </w:pPr>
      <w:r>
        <w:rPr/>
        <w:t>“</w:t>
      </w:r>
      <w:r>
        <w:rPr>
          <w:rFonts w:ascii="Times New Roman" w:hAnsi="Times New Roman"/>
          <w:b/>
          <w:sz w:val="20"/>
        </w:rPr>
        <w:t>RCF Collateral Release Ratio</w:t>
      </w:r>
      <w:r>
        <w:rPr>
          <w:rFonts w:ascii="Times New Roman" w:hAnsi="Times New Roman"/>
          <w:sz w:val="20"/>
        </w:rPr>
        <w:t xml:space="preserve">” means the ratio of (i) the Vessel Collateral Value Amount (as determined, if the Borrower so elects, by the most recent appraisals required to be delivered under </w:t>
      </w:r>
      <w:r>
        <w:rPr>
          <w:rFonts w:ascii="Times New Roman" w:hAnsi="Times New Roman"/>
          <w:sz w:val="20"/>
          <w:u w:val="single"/>
        </w:rPr>
        <w:t>Section 6.02(b)</w:t>
      </w:r>
      <w:r>
        <w:rPr>
          <w:rFonts w:ascii="Times New Roman" w:hAnsi="Times New Roman"/>
          <w:sz w:val="20"/>
        </w:rPr>
        <w:t xml:space="preserve"> or otherwise delivered hereunder) in respect of Vessels which are not Stacked Vessels, to (ii) the aggregate principal amount of Commitments under the Facility (including for the avoidance of doubt, under any Incremental Facilities). </w:t>
      </w:r>
    </w:p>
    <w:p>
      <w:pPr>
        <w:pStyle w:val="TextBody"/>
        <w:bidi w:val="0"/>
        <w:spacing w:before="240" w:after="0"/>
        <w:jc w:val="left"/>
        <w:rPr/>
      </w:pPr>
      <w:r>
        <w:rPr/>
        <w:t>“</w:t>
      </w:r>
      <w:r>
        <w:rPr>
          <w:rFonts w:ascii="Times New Roman" w:hAnsi="Times New Roman"/>
          <w:b/>
          <w:sz w:val="20"/>
        </w:rPr>
        <w:t>Receivables Assets</w:t>
      </w:r>
      <w:r>
        <w:rPr>
          <w:rFonts w:ascii="Times New Roman" w:hAnsi="Times New Roman"/>
          <w:sz w:val="20"/>
        </w:rPr>
        <w:t xml:space="preserve">” means (a) any accounts receivable (including, but not limited to, trade receivables from customers and non-trade receivables, such as tax receivables from government or quasi-government agencies) owed to the Borrower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 </w:t>
      </w:r>
    </w:p>
    <w:p>
      <w:pPr>
        <w:pStyle w:val="TextBody"/>
        <w:bidi w:val="0"/>
        <w:spacing w:before="240" w:after="0"/>
        <w:jc w:val="left"/>
        <w:rPr/>
      </w:pPr>
      <w:r>
        <w:rPr/>
        <w:t>“</w:t>
      </w:r>
      <w:r>
        <w:rPr>
          <w:rFonts w:ascii="Times New Roman" w:hAnsi="Times New Roman"/>
          <w:b/>
          <w:sz w:val="20"/>
        </w:rPr>
        <w:t>Receivables Facility</w:t>
      </w:r>
      <w:r>
        <w:rPr>
          <w:rFonts w:ascii="Times New Roman" w:hAnsi="Times New Roman"/>
          <w:sz w:val="20"/>
        </w:rPr>
        <w:t xml:space="preserve">” means an arrangement between the Borrower or a Subsidiary and a commercial bank, an asset based lender or other financial institution or an Affiliate thereof pursuant to which (a) the Borrower or such Subsidiary, as applicable, sells (directly or indirectly) to such commercial bank, asset based lender or other financial institution (or such Affiliate) Receivables Assets and (b) the obligations of the Borrower or such Restricted Subsidiary, as applicable, thereunder are non-recourse (except for Securitization Repurchase Obligations) to the Borrower and such Subsidiary and (c) the financing terms, covenants, termination events and other provisions thereof shall be on market terms (as determined in good faith by the Borrower) and may include Standard Securitization Undertakings, and shall include any guaranty in respect of such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Recipient</w:t>
      </w:r>
      <w:r>
        <w:rPr>
          <w:rFonts w:ascii="Times New Roman" w:hAnsi="Times New Roman"/>
          <w:sz w:val="20"/>
        </w:rPr>
        <w:t xml:space="preserve">” means (a) any Agent, (b) any Lender and (c) any Issuing Bank, as applicable. </w:t>
      </w:r>
    </w:p>
    <w:p>
      <w:pPr>
        <w:pStyle w:val="TextBody"/>
        <w:bidi w:val="0"/>
        <w:spacing w:before="240" w:after="0"/>
        <w:jc w:val="left"/>
        <w:rPr/>
      </w:pPr>
      <w:r>
        <w:rPr/>
        <w:t>“</w:t>
      </w:r>
      <w:r>
        <w:rPr>
          <w:rFonts w:ascii="Times New Roman" w:hAnsi="Times New Roman"/>
          <w:b/>
          <w:sz w:val="20"/>
        </w:rPr>
        <w:t>Reference Time</w:t>
      </w:r>
      <w:r>
        <w:rPr>
          <w:rFonts w:ascii="Times New Roman" w:hAnsi="Times New Roman"/>
          <w:sz w:val="20"/>
        </w:rPr>
        <w:t xml:space="preserve">” with respect to any setting of the then-current Benchmark means the time determined by the Administrative Agent in its reasonable discretion. </w:t>
      </w:r>
    </w:p>
    <w:p>
      <w:pPr>
        <w:pStyle w:val="TextBody"/>
        <w:bidi w:val="0"/>
        <w:spacing w:before="240" w:after="0"/>
        <w:jc w:val="left"/>
        <w:rPr/>
      </w:pPr>
      <w:r>
        <w:rPr/>
        <w:t>“</w:t>
      </w:r>
      <w:r>
        <w:rPr>
          <w:rFonts w:ascii="Times New Roman" w:hAnsi="Times New Roman"/>
          <w:b/>
          <w:sz w:val="20"/>
        </w:rPr>
        <w:t>Refinance</w:t>
      </w:r>
      <w:r>
        <w:rPr>
          <w:rFonts w:ascii="Times New Roman" w:hAnsi="Times New Roman"/>
          <w:sz w:val="20"/>
        </w:rPr>
        <w:t>” means, in respect of any Indebtedness, to refinance, extend, renew, defease, amend, increase, modify, supplement, restructure, refund, replace or repay, or to issue other indebtedness or enter into alternative financing arrangements, in exchange or replacement for such indebtedness, including by adding or replacing lenders, creditors, agents, borrowers and/or guarantors, and including in each case, but not limited to, after the original instrument giving rise to such indebtedness has been terminated. “</w:t>
      </w:r>
      <w:r>
        <w:rPr>
          <w:rFonts w:ascii="Times New Roman" w:hAnsi="Times New Roman"/>
          <w:b/>
          <w:sz w:val="20"/>
        </w:rPr>
        <w:t>Refinanced</w:t>
      </w:r>
      <w:r>
        <w:rPr>
          <w:rFonts w:ascii="Times New Roman" w:hAnsi="Times New Roman"/>
          <w:sz w:val="20"/>
        </w:rPr>
        <w:t>” and “</w:t>
      </w:r>
      <w:r>
        <w:rPr>
          <w:rFonts w:ascii="Times New Roman" w:hAnsi="Times New Roman"/>
          <w:b/>
          <w:sz w:val="20"/>
        </w:rPr>
        <w:t>Refinancing</w:t>
      </w:r>
      <w:r>
        <w:rPr>
          <w:rFonts w:ascii="Times New Roman" w:hAnsi="Times New Roman"/>
          <w:sz w:val="20"/>
        </w:rPr>
        <w:t xml:space="preserve">” have correlative meanings. </w:t>
      </w:r>
    </w:p>
    <w:p>
      <w:pPr>
        <w:pStyle w:val="TextBody"/>
        <w:bidi w:val="0"/>
        <w:spacing w:before="240" w:after="0"/>
        <w:jc w:val="left"/>
        <w:rPr/>
      </w:pPr>
      <w:r>
        <w:rPr/>
        <w:t>“</w:t>
      </w:r>
      <w:r>
        <w:rPr>
          <w:rFonts w:ascii="Times New Roman" w:hAnsi="Times New Roman"/>
          <w:b/>
          <w:sz w:val="20"/>
        </w:rPr>
        <w:t>Refinanced Debt</w:t>
      </w:r>
      <w:r>
        <w:rPr>
          <w:rFonts w:ascii="Times New Roman" w:hAnsi="Times New Roman"/>
          <w:sz w:val="20"/>
        </w:rPr>
        <w:t xml:space="preserve">” has the meaning assigned to such term in the definition of “Second Lien Credit Agreement Refinancing Indebtedness.” </w:t>
      </w:r>
    </w:p>
    <w:p>
      <w:pPr>
        <w:pStyle w:val="TextBody"/>
        <w:bidi w:val="0"/>
        <w:spacing w:before="240" w:after="0"/>
        <w:jc w:val="left"/>
        <w:rPr/>
      </w:pPr>
      <w:r>
        <w:rPr/>
        <w:t>“</w:t>
      </w:r>
      <w:r>
        <w:rPr>
          <w:rFonts w:ascii="Times New Roman" w:hAnsi="Times New Roman"/>
          <w:b/>
          <w:sz w:val="20"/>
        </w:rPr>
        <w:t>Refinancing Amendment</w:t>
      </w:r>
      <w:r>
        <w:rPr>
          <w:rFonts w:ascii="Times New Roman" w:hAnsi="Times New Roman"/>
          <w:sz w:val="20"/>
        </w:rPr>
        <w:t xml:space="preserve">” means an amendment to this Agreement executed by each of (a) the Borrower, (b) the Administrative Agent and (c) each Additional Lender and Lender that agrees to provide any portion of the Refinancing Indebtedness being incurred pursuant thereto, in accordance with </w:t>
      </w:r>
      <w:r>
        <w:rPr>
          <w:rFonts w:ascii="Times New Roman" w:hAnsi="Times New Roman"/>
          <w:sz w:val="20"/>
          <w:u w:val="single"/>
        </w:rPr>
        <w:t>Section 2.17.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Refinancing Commitments</w:t>
      </w:r>
      <w:r>
        <w:rPr>
          <w:rFonts w:ascii="Times New Roman" w:hAnsi="Times New Roman"/>
          <w:sz w:val="20"/>
        </w:rPr>
        <w:t xml:space="preserve">” means one or more Classes of Revolving Loan commitments hereunder that result from a Refinancing Amendment. </w:t>
      </w:r>
    </w:p>
    <w:p>
      <w:pPr>
        <w:pStyle w:val="TextBody"/>
        <w:bidi w:val="0"/>
        <w:spacing w:before="240" w:after="0"/>
        <w:jc w:val="left"/>
        <w:rPr/>
      </w:pPr>
      <w:r>
        <w:rPr/>
        <w:t>“</w:t>
      </w:r>
      <w:r>
        <w:rPr>
          <w:rFonts w:ascii="Times New Roman" w:hAnsi="Times New Roman"/>
          <w:b/>
          <w:sz w:val="20"/>
        </w:rPr>
        <w:t>Refinancing Indebtedness</w:t>
      </w:r>
      <w:r>
        <w:rPr>
          <w:rFonts w:ascii="Times New Roman" w:hAnsi="Times New Roman"/>
          <w:sz w:val="20"/>
        </w:rPr>
        <w:t xml:space="preserve">” means Indebtedness that is incurred to refund, refinance, replace, exchange, renew, repay or extend (including pursuant to any defeasance or discharge mechanism) any Indebtedness (or unutilized commitment in respect of Indebtedness) existing on the Closing Date or incurred (or established) in compliance with this Agreement (including Indebtedness of the Borrower that refinances Indebtedness of any Restricted Subsidiary and Indebtedness of any Restricted Subsidiary that refinances Indebtedness of the Borrower or another Restricted Subsidiary) including Indebtedness that refinances Refinancing Indebtedness, and Indebtedness incurred pursuant to a commitment that refinances any Indebtedness or unutilized commitment; </w:t>
      </w:r>
      <w:r>
        <w:rPr>
          <w:rFonts w:ascii="Times New Roman" w:hAnsi="Times New Roman"/>
          <w:i/>
          <w:sz w:val="20"/>
        </w:rPr>
        <w:t>provided, 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(i)(a) such Refinancing Indebtedness has a Weighted Average Life to Maturity at the time such Refinancing Indebtedness is incurred that is not less than the remaining Weighted Average Life to Maturity of the Indebtedness being refunded, refinanced, replaced, exchanged, renewed, repaid or extended (or requires no or nominal payments in cash (other than interest payments) prior to the date that is ninety-one (91) days after the Maturity Date); and (b) to the extent such Refinancing Indebtedness refinances Subordinated Indebtedness, such Refinancing Indebtedness is Subordinated Indebtedness, respectively, and, in the case of Subordinated Indebtedness, is subordinated to the Obligations on terms at least as favorable to the Lenders as those contained in the documentation governing the Indebtedness being refinanced,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Refinancing Indebtedness shall not include Indebtedness of a Subsidiary of the Borrower that is not a Guarantor that refinances Indebtedness of the Borrower or a Guarantor (unless such Subsidiary was an obligor in respect of the Indebtedness so refinanced) or (b) Indebtedness of the Borrower or a Restricted Subsidiary that refinances Indebtedness of an Unrestricted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(iii) 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w:t>
      </w:r>
      <w:r>
        <w:rPr>
          <w:rFonts w:ascii="Times New Roman" w:hAnsi="Times New Roman"/>
          <w:i/>
          <w:sz w:val="20"/>
        </w:rPr>
        <w:t xml:space="preserve">plus </w:t>
      </w:r>
      <w:r>
        <w:rPr>
          <w:rFonts w:ascii="Times New Roman" w:hAnsi="Times New Roman"/>
          <w:sz w:val="20"/>
        </w:rPr>
        <w:t xml:space="preserve">(y) an amount equal to any unutilized commitment relating to the Indebtedness being refinanced or otherwise then outstanding under a financing arrangement being refinanced to the extent the unutilized commitment being refinanced could be drawn in compliance with </w:t>
      </w:r>
      <w:r>
        <w:rPr>
          <w:rFonts w:ascii="Times New Roman" w:hAnsi="Times New Roman"/>
          <w:sz w:val="20"/>
          <w:u w:val="single"/>
        </w:rPr>
        <w:t>Section 7.03</w:t>
      </w:r>
      <w:r>
        <w:rPr>
          <w:rFonts w:ascii="Times New Roman" w:hAnsi="Times New Roman"/>
          <w:sz w:val="20"/>
        </w:rPr>
        <w:t xml:space="preserve"> immediately prior to such refinancing, </w:t>
      </w:r>
      <w:r>
        <w:rPr>
          <w:rFonts w:ascii="Times New Roman" w:hAnsi="Times New Roman"/>
          <w:i/>
          <w:sz w:val="20"/>
        </w:rPr>
        <w:t xml:space="preserve">plus </w:t>
      </w:r>
      <w:r>
        <w:rPr>
          <w:rFonts w:ascii="Times New Roman" w:hAnsi="Times New Roman"/>
          <w:sz w:val="20"/>
        </w:rPr>
        <w:t xml:space="preserve">(z) accrued and unpaid interest, dividends, premiums (including tender premiums), defeasance costs, underwriting discounts, fees, costs and expenses (including original issue discount, upfront fees or similar fees) in connection with such refinancing. Refinancing Indebtedness in respect of any Indebtedness may be incurred from time to time after the termination, discharge or repayment of any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Refinancing Indebtedness will be deemed to include any Registered Equivalent Notes issued in exchange therefor. </w:t>
      </w:r>
    </w:p>
    <w:p>
      <w:pPr>
        <w:pStyle w:val="TextBody"/>
        <w:bidi w:val="0"/>
        <w:spacing w:before="240" w:after="0"/>
        <w:jc w:val="left"/>
        <w:rPr/>
      </w:pPr>
      <w:r>
        <w:rPr/>
        <w:t>“</w:t>
      </w:r>
      <w:r>
        <w:rPr>
          <w:rFonts w:ascii="Times New Roman" w:hAnsi="Times New Roman"/>
          <w:b/>
          <w:sz w:val="20"/>
        </w:rPr>
        <w:t>Refinancing Loans</w:t>
      </w:r>
      <w:r>
        <w:rPr>
          <w:rFonts w:ascii="Times New Roman" w:hAnsi="Times New Roman"/>
          <w:sz w:val="20"/>
        </w:rPr>
        <w:t xml:space="preserve">” means one or more Classes of Revolving Loans that result from a Refinancing Amendment. </w:t>
      </w:r>
    </w:p>
    <w:p>
      <w:pPr>
        <w:pStyle w:val="TextBody"/>
        <w:bidi w:val="0"/>
        <w:spacing w:before="240" w:after="0"/>
        <w:jc w:val="left"/>
        <w:rPr/>
      </w:pPr>
      <w:r>
        <w:rPr/>
        <w:t>“</w:t>
      </w:r>
      <w:r>
        <w:rPr>
          <w:rFonts w:ascii="Times New Roman" w:hAnsi="Times New Roman"/>
          <w:b/>
          <w:sz w:val="20"/>
        </w:rPr>
        <w:t>Refunding Equity Interests</w:t>
      </w:r>
      <w:r>
        <w:rPr>
          <w:rFonts w:ascii="Times New Roman" w:hAnsi="Times New Roman"/>
          <w:sz w:val="20"/>
        </w:rPr>
        <w:t xml:space="preserve">” has the meaning specified in the definition of “Permitted Payments.”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xml:space="preserve">” has the meaning specified in </w:t>
      </w:r>
      <w:r>
        <w:rPr>
          <w:rFonts w:ascii="Times New Roman" w:hAnsi="Times New Roman"/>
          <w:sz w:val="20"/>
          <w:u w:val="single"/>
        </w:rPr>
        <w:t>Section 11.07(c).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Registered Equivalent Notes</w:t>
      </w:r>
      <w:r>
        <w:rPr>
          <w:rFonts w:ascii="Times New Roman" w:hAnsi="Times New Roman"/>
          <w:sz w:val="20"/>
        </w:rPr>
        <w:t xml:space="preserve">”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 </w:t>
      </w:r>
    </w:p>
    <w:p>
      <w:pPr>
        <w:pStyle w:val="TextBody"/>
        <w:bidi w:val="0"/>
        <w:spacing w:before="240" w:after="0"/>
        <w:jc w:val="left"/>
        <w:rPr/>
      </w:pPr>
      <w:r>
        <w:rPr/>
        <w:t>“</w:t>
      </w:r>
      <w:r>
        <w:rPr>
          <w:rFonts w:ascii="Times New Roman" w:hAnsi="Times New Roman"/>
          <w:b/>
          <w:sz w:val="20"/>
        </w:rPr>
        <w:t>Regulated Entity</w:t>
      </w:r>
      <w:r>
        <w:rPr>
          <w:rFonts w:ascii="Times New Roman" w:hAnsi="Times New Roman"/>
          <w:sz w:val="20"/>
        </w:rPr>
        <w:t xml:space="preserve">” means (a) any swap dealer registered with the U.S. Commodity Futures Trading Commission or security-based swap dealer registered with the U.S. Securities and Exchange Commission, as applicable; or (b) any commercial bank with a consolidated combined capital and surplus of at least $5,000,000,000 that is (i) a U.S. depository institution the deposits of which are insured by the Federal Deposit Insurance Corporation; (ii)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w:t>
      </w:r>
    </w:p>
    <w:p>
      <w:pPr>
        <w:pStyle w:val="TextBody"/>
        <w:bidi w:val="0"/>
        <w:spacing w:before="240" w:after="0"/>
        <w:jc w:val="left"/>
        <w:rPr/>
      </w:pPr>
      <w:r>
        <w:rPr/>
        <w:t>“</w:t>
      </w:r>
      <w:r>
        <w:rPr>
          <w:rFonts w:ascii="Times New Roman" w:hAnsi="Times New Roman"/>
          <w:b/>
          <w:sz w:val="20"/>
        </w:rPr>
        <w:t>Regulation U</w:t>
      </w:r>
      <w:r>
        <w:rPr>
          <w:rFonts w:ascii="Times New Roman" w:hAnsi="Times New Roman"/>
          <w:sz w:val="20"/>
        </w:rPr>
        <w:t xml:space="preserve">” means Regulation U of the FRB as from time to time in effect and all official rulings and interpretations thereunder or thereof, or any successor thereto. </w:t>
      </w:r>
    </w:p>
    <w:p>
      <w:pPr>
        <w:pStyle w:val="TextBody"/>
        <w:bidi w:val="0"/>
        <w:spacing w:before="240" w:after="0"/>
        <w:jc w:val="left"/>
        <w:rPr/>
      </w:pPr>
      <w:r>
        <w:rPr/>
        <w:t>“</w:t>
      </w:r>
      <w:r>
        <w:rPr>
          <w:rFonts w:ascii="Times New Roman" w:hAnsi="Times New Roman"/>
          <w:b/>
          <w:sz w:val="20"/>
        </w:rPr>
        <w:t>Reimbursement Obligations</w:t>
      </w:r>
      <w:r>
        <w:rPr>
          <w:rFonts w:ascii="Times New Roman" w:hAnsi="Times New Roman"/>
          <w:sz w:val="20"/>
        </w:rPr>
        <w:t xml:space="preserve">” has the meaning specified in </w:t>
      </w:r>
      <w:r>
        <w:rPr>
          <w:rFonts w:ascii="Times New Roman" w:hAnsi="Times New Roman"/>
          <w:sz w:val="20"/>
          <w:u w:val="single"/>
        </w:rPr>
        <w:t>Section 2.04(c)(i).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Related Indemnified Person</w:t>
      </w:r>
      <w:r>
        <w:rPr>
          <w:rFonts w:ascii="Times New Roman" w:hAnsi="Times New Roman"/>
          <w:sz w:val="20"/>
        </w:rPr>
        <w:t xml:space="preserve">” of an Indemnitee means (a) any controlling person or controlled affiliate of such Indemnitee, (b) the respective directors, partners, officers, or employees of such Indemnitee or any of its controlling persons or controlled affiliates and (c) the respective agents of such Indemnitee or any of its controlling persons or controlled affiliates, in the case of this </w:t>
      </w:r>
      <w:r>
        <w:rPr>
          <w:rFonts w:ascii="Times New Roman" w:hAnsi="Times New Roman"/>
          <w:sz w:val="20"/>
          <w:u w:val="single"/>
        </w:rPr>
        <w:t>clause (c)</w:t>
      </w:r>
      <w:r>
        <w:rPr>
          <w:rFonts w:ascii="Times New Roman" w:hAnsi="Times New Roman"/>
          <w:sz w:val="20"/>
        </w:rPr>
        <w:t xml:space="preserve">, acting at the instructions of such Indemnitee, controlling person or such controlled affiliate; </w:t>
      </w:r>
      <w:r>
        <w:rPr>
          <w:rFonts w:ascii="Times New Roman" w:hAnsi="Times New Roman"/>
          <w:i/>
          <w:sz w:val="20"/>
        </w:rPr>
        <w:t xml:space="preserve">provided </w:t>
      </w:r>
      <w:r>
        <w:rPr>
          <w:rFonts w:ascii="Times New Roman" w:hAnsi="Times New Roman"/>
          <w:sz w:val="20"/>
        </w:rPr>
        <w:t xml:space="preserve">that each reference to a controlled affiliate or controlling person in this definition shall pertain to a controlled affiliate or controlling person involved in the negotiation or syndication of the Facility. </w:t>
      </w:r>
    </w:p>
    <w:p>
      <w:pPr>
        <w:pStyle w:val="TextBody"/>
        <w:bidi w:val="0"/>
        <w:spacing w:before="240" w:after="0"/>
        <w:jc w:val="left"/>
        <w:rPr/>
      </w:pPr>
      <w:r>
        <w:rPr/>
        <w:t>“</w:t>
      </w:r>
      <w:r>
        <w:rPr>
          <w:rFonts w:ascii="Times New Roman" w:hAnsi="Times New Roman"/>
          <w:b/>
          <w:sz w:val="20"/>
        </w:rPr>
        <w:t>Related Taxes</w:t>
      </w:r>
      <w:r>
        <w:rPr>
          <w:rFonts w:ascii="Times New Roman" w:hAnsi="Times New Roman"/>
          <w:sz w:val="20"/>
        </w:rPr>
        <w:t xml:space="preserve">” means (i) any franchise and excise taxes, and other fees and expenses, required to maintain a Parent Entity’s corporate existence and good standing under applicable law (including any such Taxes, fees and expenses (such as any corporate operating and overhead expenses) attributable to the ownership or operation of the Borrower and its Subsidiaries); and (ii) any Permitted Tax Amount. </w:t>
      </w:r>
    </w:p>
    <w:p>
      <w:pPr>
        <w:pStyle w:val="TextBody"/>
        <w:bidi w:val="0"/>
        <w:spacing w:before="240" w:after="0"/>
        <w:jc w:val="left"/>
        <w:rPr/>
      </w:pPr>
      <w:r>
        <w:rPr/>
        <w:t>“</w:t>
      </w:r>
      <w:r>
        <w:rPr>
          <w:rFonts w:ascii="Times New Roman" w:hAnsi="Times New Roman"/>
          <w:b/>
          <w:sz w:val="20"/>
        </w:rPr>
        <w:t>Release Actions</w:t>
      </w:r>
      <w:r>
        <w:rPr>
          <w:rFonts w:ascii="Times New Roman" w:hAnsi="Times New Roman"/>
          <w:sz w:val="20"/>
        </w:rPr>
        <w:t xml:space="preserve">” has the meaning specified in </w:t>
      </w:r>
      <w:r>
        <w:rPr>
          <w:rFonts w:ascii="Times New Roman" w:hAnsi="Times New Roman"/>
          <w:sz w:val="20"/>
          <w:u w:val="single"/>
        </w:rPr>
        <w:t>Section 10.11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Release Certificate</w:t>
      </w:r>
      <w:r>
        <w:rPr>
          <w:rFonts w:ascii="Times New Roman" w:hAnsi="Times New Roman"/>
          <w:sz w:val="20"/>
        </w:rPr>
        <w:t xml:space="preserve">” has the meaning specified in </w:t>
      </w:r>
      <w:r>
        <w:rPr>
          <w:rFonts w:ascii="Times New Roman" w:hAnsi="Times New Roman"/>
          <w:sz w:val="20"/>
          <w:u w:val="single"/>
        </w:rPr>
        <w:t>Section 10.11</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b/>
          <w:strike/>
          <w:color w:val="FF0000"/>
          <w:sz w:val="20"/>
        </w:rPr>
        <w:t xml:space="preserve">Release/Subordination Event” </w:t>
      </w:r>
      <w:r>
        <w:rPr>
          <w:rFonts w:ascii="Times New Roman" w:hAnsi="Times New Roman"/>
          <w:strike/>
          <w:color w:val="FF0000"/>
          <w:sz w:val="20"/>
        </w:rPr>
        <w:t xml:space="preserve">has the meaning specified in </w:t>
      </w:r>
      <w:r>
        <w:rPr>
          <w:rFonts w:ascii="Times New Roman" w:hAnsi="Times New Roman"/>
          <w:strike/>
          <w:color w:val="FF0000"/>
          <w:sz w:val="20"/>
          <w:u w:val="single"/>
        </w:rPr>
        <w:t>Section 10.11</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Relevant Governmental Body</w:t>
      </w:r>
      <w:r>
        <w:rPr>
          <w:rFonts w:ascii="Times New Roman" w:hAnsi="Times New Roman"/>
          <w:sz w:val="20"/>
        </w:rPr>
        <w:t xml:space="preserve">” means the Federal Reserve Board and/or the NYFRB, or a committee officially endorsed or convened by the Federal Reserve Board and/or the NYFRB or, in each case, any successor thereto. </w:t>
      </w:r>
    </w:p>
    <w:p>
      <w:pPr>
        <w:pStyle w:val="TextBody"/>
        <w:bidi w:val="0"/>
        <w:spacing w:before="240" w:after="0"/>
        <w:jc w:val="left"/>
        <w:rPr/>
      </w:pPr>
      <w:r>
        <w:rPr/>
        <w:t>“</w:t>
      </w:r>
      <w:r>
        <w:rPr>
          <w:rFonts w:ascii="Times New Roman" w:hAnsi="Times New Roman"/>
          <w:b/>
          <w:sz w:val="20"/>
        </w:rPr>
        <w:t>Relevant Person</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and each of its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(b) each of their directors, officers and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Reorganization Transactions</w:t>
      </w:r>
      <w:r>
        <w:rPr>
          <w:rFonts w:ascii="Times New Roman" w:hAnsi="Times New Roman"/>
          <w:sz w:val="20"/>
        </w:rPr>
        <w:t xml:space="preserve">” any reorganizations and other activities in connection with or related to a Qualifying IPO of the Borrower or any Parent Entity (including, for the avoidance of doubt, any transfer (including by contribution, merger or otherwise) of interests in the Borrower to a wholly owned domestic subsidiary of a Parent Entity). </w:t>
      </w:r>
    </w:p>
    <w:p>
      <w:pPr>
        <w:pStyle w:val="TextBody"/>
        <w:bidi w:val="0"/>
        <w:spacing w:before="240" w:after="0"/>
        <w:jc w:val="left"/>
        <w:rPr/>
      </w:pPr>
      <w:r>
        <w:rPr/>
        <w:t>“</w:t>
      </w:r>
      <w:r>
        <w:rPr>
          <w:rFonts w:ascii="Times New Roman" w:hAnsi="Times New Roman"/>
          <w:b/>
          <w:sz w:val="20"/>
        </w:rPr>
        <w:t>Reportable Event</w:t>
      </w:r>
      <w:r>
        <w:rPr>
          <w:rFonts w:ascii="Times New Roman" w:hAnsi="Times New Roman"/>
          <w:sz w:val="20"/>
        </w:rPr>
        <w:t xml:space="preserve">” means, with respect to any Pension Plan, any of the events set forth in Section 4043(c) of ERISA or the regulations issued thereunder, other than events for which the 30 day notice period has been waived by applicable regulation. </w:t>
      </w:r>
    </w:p>
    <w:p>
      <w:pPr>
        <w:pStyle w:val="TextBody"/>
        <w:bidi w:val="0"/>
        <w:spacing w:before="240" w:after="0"/>
        <w:jc w:val="left"/>
        <w:rPr/>
      </w:pPr>
      <w:r>
        <w:rPr/>
        <w:t>“</w:t>
      </w:r>
      <w:r>
        <w:rPr>
          <w:rFonts w:ascii="Times New Roman" w:hAnsi="Times New Roman"/>
          <w:b/>
          <w:sz w:val="20"/>
        </w:rPr>
        <w:t>Required Lenders</w:t>
      </w:r>
      <w:r>
        <w:rPr>
          <w:rFonts w:ascii="Times New Roman" w:hAnsi="Times New Roman"/>
          <w:sz w:val="20"/>
        </w:rPr>
        <w:t xml:space="preserve">” means, as of any date of determination, Lenders having or holding more than 50.1% of the sum of the aggregate Revolving Exposure of all Lenders; </w:t>
      </w:r>
      <w:r>
        <w:rPr>
          <w:rFonts w:ascii="Times New Roman" w:hAnsi="Times New Roman"/>
          <w:i/>
          <w:sz w:val="20"/>
        </w:rPr>
        <w:t xml:space="preserve">provided </w:t>
      </w:r>
      <w:r>
        <w:rPr>
          <w:rFonts w:ascii="Times New Roman" w:hAnsi="Times New Roman"/>
          <w:sz w:val="20"/>
        </w:rPr>
        <w:t xml:space="preserve">that the aggregate Revolving Exposure of or held by any Defaulting Lender shall be excluded for purposes of making a determination of Required Lenders;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at any time there are three or more Lenders (who are not Affiliates of one another), “Required Lenders” must include at least two Lenders (who are not Affiliates of one another). The Commitment and Loans of any Defaulting Lender shall be disregarded in determining Required Lenders at any time. </w:t>
      </w:r>
    </w:p>
    <w:p>
      <w:pPr>
        <w:pStyle w:val="TextBody"/>
        <w:bidi w:val="0"/>
        <w:spacing w:before="240" w:after="0"/>
        <w:jc w:val="left"/>
        <w:rPr/>
      </w:pPr>
      <w:r>
        <w:rPr/>
        <w:t>“</w:t>
      </w:r>
      <w:r>
        <w:rPr>
          <w:rFonts w:ascii="Times New Roman" w:hAnsi="Times New Roman"/>
          <w:b/>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the executive chairman, chief executive officer, president, executive vice president, senior vice president (finance), vice president (finance), chief financial officer, chief accounting officer, treasurer or assistant treasurer or other similar officer or Person performing similar functions of a Loan Party and, as to any document delivered on the Closing Date,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“Responsible Officer” shall refer to a Responsible Officer of the Borrower. </w:t>
      </w:r>
    </w:p>
    <w:p>
      <w:pPr>
        <w:pStyle w:val="TextBody"/>
        <w:bidi w:val="0"/>
        <w:spacing w:before="240" w:after="0"/>
        <w:jc w:val="left"/>
        <w:rPr/>
      </w:pPr>
      <w:r>
        <w:rPr/>
        <w:t>“</w:t>
      </w:r>
      <w:r>
        <w:rPr>
          <w:rFonts w:ascii="Times New Roman" w:hAnsi="Times New Roman"/>
          <w:b/>
          <w:sz w:val="20"/>
        </w:rPr>
        <w:t>Restricted</w:t>
      </w:r>
      <w:r>
        <w:rPr>
          <w:rFonts w:ascii="Times New Roman" w:hAnsi="Times New Roman"/>
          <w:sz w:val="20"/>
        </w:rPr>
        <w:t xml:space="preserve">” means, when referring to cash or Cash Equivalents of the Borrower or any of the Restricted Subsidiaries, that such cash or Cash Equivalents appear (or would be required by GAAP to appear) as “restricted” on a consolidated balance sheet of such Borrower or such Restricted Subsidiary (unless such appearance is related to a restriction in favor of the Administrative Agent). </w:t>
      </w:r>
    </w:p>
    <w:p>
      <w:pPr>
        <w:pStyle w:val="TextBody"/>
        <w:bidi w:val="0"/>
        <w:spacing w:before="240" w:after="0"/>
        <w:jc w:val="left"/>
        <w:rPr/>
      </w:pPr>
      <w:r>
        <w:rPr/>
        <w:t>“</w:t>
      </w:r>
      <w:r>
        <w:rPr>
          <w:rFonts w:ascii="Times New Roman" w:hAnsi="Times New Roman"/>
          <w:b/>
          <w:sz w:val="20"/>
        </w:rPr>
        <w:t>Restricted Investment</w:t>
      </w:r>
      <w:r>
        <w:rPr>
          <w:rFonts w:ascii="Times New Roman" w:hAnsi="Times New Roman"/>
          <w:sz w:val="20"/>
        </w:rPr>
        <w:t xml:space="preserve">” means any Investment other than a Permitted Investment. </w:t>
      </w:r>
    </w:p>
    <w:p>
      <w:pPr>
        <w:pStyle w:val="TextBody"/>
        <w:bidi w:val="0"/>
        <w:spacing w:before="240" w:after="0"/>
        <w:jc w:val="left"/>
        <w:rPr/>
      </w:pPr>
      <w:r>
        <w:rPr/>
        <w:t>“</w:t>
      </w:r>
      <w:r>
        <w:rPr>
          <w:rFonts w:ascii="Times New Roman" w:hAnsi="Times New Roman"/>
          <w:b/>
          <w:sz w:val="20"/>
        </w:rPr>
        <w:t>Restricted Party</w:t>
      </w:r>
      <w:r>
        <w:rPr>
          <w:rFonts w:ascii="Times New Roman" w:hAnsi="Times New Roman"/>
          <w:sz w:val="20"/>
        </w:rPr>
        <w:t xml:space="preserve">” means a Person that is (a) listed on any Sanctions List or targeted by Sanctions (whether designated by name or by reason of being included in a class of person), (b) located in or incorporated under the laws of any country or territory that is the target of comprehensive, country- or territory-wide Sanctions (at the time of this Agreement, the so—called Donetsk People’s Republic, the so- called Luhansk People’s Republic, the Crimea Region of Ukraine, Cuba, Iran, North Korea and Syria), or (c) directly or indirectly owned or controlled (as such terms are defined in applicable Sanctions) by, or acting on behalf, at the direction, or for the benefit, of a person referred to in (a) and/or (to the extent relevant under Sanctions) (b)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Restricted Payment</w:t>
      </w:r>
      <w:r>
        <w:rPr>
          <w:rFonts w:ascii="Times New Roman" w:hAnsi="Times New Roman"/>
          <w:sz w:val="20"/>
        </w:rPr>
        <w:t xml:space="preserve">” has the meaning specified in </w:t>
      </w:r>
      <w:r>
        <w:rPr>
          <w:rFonts w:ascii="Times New Roman" w:hAnsi="Times New Roman"/>
          <w:sz w:val="20"/>
          <w:u w:val="single"/>
        </w:rPr>
        <w:t>Section 7.06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Subsidiary</w:t>
      </w:r>
      <w:r>
        <w:rPr>
          <w:rFonts w:ascii="Times New Roman" w:hAnsi="Times New Roman"/>
          <w:sz w:val="20"/>
        </w:rPr>
        <w:t xml:space="preserve">” means any Subsidiary of the Borrower other than an Unrestricted Subsidiary. </w:t>
      </w:r>
    </w:p>
    <w:p>
      <w:pPr>
        <w:pStyle w:val="TextBody"/>
        <w:bidi w:val="0"/>
        <w:spacing w:before="240" w:after="0"/>
        <w:jc w:val="left"/>
        <w:rPr/>
      </w:pPr>
      <w:r>
        <w:rPr/>
        <w:t>“</w:t>
      </w:r>
      <w:r>
        <w:rPr>
          <w:rFonts w:ascii="Times New Roman" w:hAnsi="Times New Roman"/>
          <w:b/>
          <w:sz w:val="20"/>
        </w:rPr>
        <w:t>Revolving Credit Facility Net Leverage Ratio</w:t>
      </w:r>
      <w:r>
        <w:rPr>
          <w:rFonts w:ascii="Times New Roman" w:hAnsi="Times New Roman"/>
          <w:sz w:val="20"/>
        </w:rPr>
        <w:t xml:space="preserve">” means, with respect to any Test Period, the ratio of (a) (i) the principal amount of the Loans outstanding under this Agreement as of the last day of such Test Period </w:t>
      </w:r>
      <w:r>
        <w:rPr>
          <w:rFonts w:ascii="Times New Roman" w:hAnsi="Times New Roman"/>
          <w:i/>
          <w:sz w:val="20"/>
          <w:u w:val="single"/>
        </w:rPr>
        <w:t>minus</w:t>
      </w:r>
      <w:r>
        <w:rPr>
          <w:rFonts w:ascii="Times New Roman" w:hAnsi="Times New Roman"/>
          <w:sz w:val="20"/>
        </w:rPr>
        <w:t xml:space="preserve"> (ii) the aggregate amount of cash and Cash Equivalents of the Borrower and the Restricted Subsidiaries as of such date that is not Restricted in an amount not to exceed $25,000,000 to (b) Consolidated Adjusted EBITDA of the Borrower for such Test Period. </w:t>
      </w:r>
    </w:p>
    <w:p>
      <w:pPr>
        <w:pStyle w:val="TextBody"/>
        <w:bidi w:val="0"/>
        <w:spacing w:before="240" w:after="0"/>
        <w:jc w:val="left"/>
        <w:rPr/>
      </w:pPr>
      <w:r>
        <w:rPr/>
        <w:t>“</w:t>
      </w:r>
      <w:r>
        <w:rPr>
          <w:rFonts w:ascii="Times New Roman" w:hAnsi="Times New Roman"/>
          <w:b/>
          <w:sz w:val="20"/>
        </w:rPr>
        <w:t>Revolving Exposure</w:t>
      </w:r>
      <w:r>
        <w:rPr>
          <w:rFonts w:ascii="Times New Roman" w:hAnsi="Times New Roman"/>
          <w:sz w:val="20"/>
        </w:rPr>
        <w:t xml:space="preserve">” means, with respect to any Lender as of any date of determination, (a) prior to the termination of the Commitments, that Lender’s Commitment; and (b) after the termination of the Commitments, the sum of (i) the aggregate outstanding principal amount of the Revolving Loans of that Lender, (ii) in the case of each Issuing Bank, the aggregate Letter of Credit Usage in respect of all Letters of Credit issued by that Lender (net of any participations by Lenders in such Letters of Credit) and (iii) the aggregate amount of all participations by that Lender in any outstanding Letters of Credit or any unreimbursed drawing under any Letter of Credit. </w:t>
      </w:r>
    </w:p>
    <w:p>
      <w:pPr>
        <w:pStyle w:val="TextBody"/>
        <w:bidi w:val="0"/>
        <w:spacing w:before="240" w:after="0"/>
        <w:jc w:val="left"/>
        <w:rPr/>
      </w:pPr>
      <w:r>
        <w:rPr/>
        <w:t>“</w:t>
      </w:r>
      <w:r>
        <w:rPr>
          <w:rFonts w:ascii="Times New Roman" w:hAnsi="Times New Roman"/>
          <w:b/>
          <w:sz w:val="20"/>
        </w:rPr>
        <w:t>Revolving Lender</w:t>
      </w:r>
      <w:r>
        <w:rPr>
          <w:rFonts w:ascii="Times New Roman" w:hAnsi="Times New Roman"/>
          <w:sz w:val="20"/>
        </w:rPr>
        <w:t xml:space="preserve">” means a Lender having a Commitment or other Revolving Exposure. </w:t>
      </w:r>
    </w:p>
    <w:p>
      <w:pPr>
        <w:pStyle w:val="TextBody"/>
        <w:bidi w:val="0"/>
        <w:spacing w:before="240" w:after="0"/>
        <w:jc w:val="left"/>
        <w:rPr/>
      </w:pPr>
      <w:r>
        <w:rPr/>
        <w:t>“</w:t>
      </w:r>
      <w:r>
        <w:rPr>
          <w:rFonts w:ascii="Times New Roman" w:hAnsi="Times New Roman"/>
          <w:b/>
          <w:sz w:val="20"/>
        </w:rPr>
        <w:t>Revolving Loan Note</w:t>
      </w:r>
      <w:r>
        <w:rPr>
          <w:rFonts w:ascii="Times New Roman" w:hAnsi="Times New Roman"/>
          <w:sz w:val="20"/>
        </w:rPr>
        <w:t xml:space="preserve">” means a promissory note in the form of </w:t>
      </w:r>
      <w:r>
        <w:rPr>
          <w:rFonts w:ascii="Times New Roman" w:hAnsi="Times New Roman"/>
          <w:sz w:val="20"/>
          <w:u w:val="single"/>
        </w:rPr>
        <w:t>Exhibit B</w:t>
      </w:r>
      <w:r>
        <w:rPr>
          <w:rFonts w:ascii="Times New Roman" w:hAnsi="Times New Roman"/>
          <w:sz w:val="20"/>
        </w:rPr>
        <w:t xml:space="preserve">, as it may be amended, restated, amended and restated, supplemented or otherwise modified from time to time. </w:t>
      </w:r>
    </w:p>
    <w:p>
      <w:pPr>
        <w:pStyle w:val="TextBody"/>
        <w:bidi w:val="0"/>
        <w:spacing w:before="240" w:after="0"/>
        <w:jc w:val="left"/>
        <w:rPr/>
      </w:pPr>
      <w:r>
        <w:rPr/>
        <w:t>“</w:t>
      </w:r>
      <w:r>
        <w:rPr>
          <w:rFonts w:ascii="Times New Roman" w:hAnsi="Times New Roman"/>
          <w:b/>
          <w:sz w:val="20"/>
        </w:rPr>
        <w:t>Revolving Loans</w:t>
      </w:r>
      <w:r>
        <w:rPr>
          <w:rFonts w:ascii="Times New Roman" w:hAnsi="Times New Roman"/>
          <w:sz w:val="20"/>
        </w:rPr>
        <w:t xml:space="preserve">” has the meaning specified in </w:t>
      </w:r>
      <w:r>
        <w:rPr>
          <w:rFonts w:ascii="Times New Roman" w:hAnsi="Times New Roman"/>
          <w:sz w:val="20"/>
          <w:u w:val="single"/>
        </w:rPr>
        <w:t>Section 2.02(a)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and any successor thereto. </w:t>
      </w:r>
    </w:p>
    <w:p>
      <w:pPr>
        <w:pStyle w:val="TextBody"/>
        <w:bidi w:val="0"/>
        <w:spacing w:before="240" w:after="0"/>
        <w:jc w:val="left"/>
        <w:rPr/>
      </w:pPr>
      <w:r>
        <w:rPr/>
        <w:t>“</w:t>
      </w:r>
      <w:r>
        <w:rPr>
          <w:rFonts w:ascii="Times New Roman" w:hAnsi="Times New Roman"/>
          <w:b/>
          <w:sz w:val="20"/>
        </w:rPr>
        <w:t>Sale Leaseback Transaction</w:t>
      </w:r>
      <w:r>
        <w:rPr>
          <w:rFonts w:ascii="Times New Roman" w:hAnsi="Times New Roman"/>
          <w:sz w:val="20"/>
        </w:rPr>
        <w:t xml:space="preserve">” means a sale leaseback transaction with respect to all or any portion of any real property owned by a Loan Party or other property customarily included in such transactions. </w:t>
      </w:r>
    </w:p>
    <w:p>
      <w:pPr>
        <w:pStyle w:val="TextBody"/>
        <w:bidi w:val="0"/>
        <w:spacing w:before="240" w:after="0"/>
        <w:jc w:val="left"/>
        <w:rPr/>
      </w:pPr>
      <w:r>
        <w:rPr/>
        <w:t>“</w:t>
      </w:r>
      <w:r>
        <w:rPr>
          <w:rFonts w:ascii="Times New Roman" w:hAnsi="Times New Roman"/>
          <w:b/>
          <w:sz w:val="20"/>
        </w:rPr>
        <w:t>Same Day Funds</w:t>
      </w:r>
      <w:r>
        <w:rPr>
          <w:rFonts w:ascii="Times New Roman" w:hAnsi="Times New Roman"/>
          <w:sz w:val="20"/>
        </w:rPr>
        <w:t xml:space="preserve">” means disbursements and payments in immediately available funds.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any applicable (to any Relevant Person and/or Loan Party as the context provides) laws, regulations or orders concerning any trade, economic or financial sanctions or embargoes imposed, administered or enforced from time to time by a Sanctions Authority. </w:t>
      </w:r>
    </w:p>
    <w:p>
      <w:pPr>
        <w:pStyle w:val="TextBody"/>
        <w:bidi w:val="0"/>
        <w:spacing w:before="240" w:after="0"/>
        <w:jc w:val="left"/>
        <w:rPr/>
      </w:pPr>
      <w:r>
        <w:rPr/>
        <w:t>“</w:t>
      </w:r>
      <w:r>
        <w:rPr>
          <w:rFonts w:ascii="Times New Roman" w:hAnsi="Times New Roman"/>
          <w:b/>
          <w:sz w:val="20"/>
        </w:rPr>
        <w:t>Sanctions Authority</w:t>
      </w:r>
      <w:r>
        <w:rPr>
          <w:rFonts w:ascii="Times New Roman" w:hAnsi="Times New Roman"/>
          <w:sz w:val="20"/>
        </w:rPr>
        <w:t xml:space="preserve">” means the Norwegian State, the United Nations, the European Union, the United Kingdom, the United States of America (including the Office of Foreign Assets Control of the U.S. Department of the Treasury or the U.S. Department of State), and any of their respective legislative, executive, enforcement and/or regulatory authorities or bodies acting in connection with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Sanctions List</w:t>
      </w:r>
      <w:r>
        <w:rPr>
          <w:rFonts w:ascii="Times New Roman" w:hAnsi="Times New Roman"/>
          <w:sz w:val="20"/>
        </w:rPr>
        <w:t xml:space="preserve">” means: (a) the lists of Sanctions designations and/or targets maintained by any Sanctions Authority and/or (b) any other Sanctions designation or target listed and/or adopted by a Sanctions Authority, in each case, as amended, supplemented or replaced from time to time.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b/>
          <w:sz w:val="20"/>
        </w:rPr>
        <w:t>Second Lien Agent</w:t>
      </w:r>
      <w:r>
        <w:rPr>
          <w:rFonts w:ascii="Times New Roman" w:hAnsi="Times New Roman"/>
          <w:sz w:val="20"/>
        </w:rPr>
        <w:t xml:space="preserve">” has the meaning specified in the definition of “Existing Junior Lien Intercreditor Agreement.” </w:t>
      </w:r>
    </w:p>
    <w:p>
      <w:pPr>
        <w:pStyle w:val="TextBody"/>
        <w:bidi w:val="0"/>
        <w:spacing w:before="240" w:after="0"/>
        <w:jc w:val="left"/>
        <w:rPr/>
      </w:pPr>
      <w:r>
        <w:rPr/>
        <w:t>“</w:t>
      </w:r>
      <w:r>
        <w:rPr>
          <w:rFonts w:ascii="Times New Roman" w:hAnsi="Times New Roman"/>
          <w:b/>
          <w:sz w:val="20"/>
        </w:rPr>
        <w:t>Second Lien Credit Agreement</w:t>
      </w:r>
      <w:r>
        <w:rPr>
          <w:rFonts w:ascii="Times New Roman" w:hAnsi="Times New Roman"/>
          <w:sz w:val="20"/>
        </w:rPr>
        <w:t xml:space="preserve">” means that certain Second Lien Term Loan Credit Agreement, dated as of September 4, 2020, among the Borrower, as parent borrower, Hornbeck Offshore Services, LLC, as co-borrower, Wilmington Trust, National Association, as administrative agent and as collateral agent, and the lenders party thereto from time to time as amended, restated, supplemented or modified from time to time. </w:t>
      </w:r>
    </w:p>
    <w:p>
      <w:pPr>
        <w:pStyle w:val="TextBody"/>
        <w:bidi w:val="0"/>
        <w:spacing w:before="240" w:after="0"/>
        <w:jc w:val="left"/>
        <w:rPr/>
      </w:pPr>
      <w:r>
        <w:rPr/>
        <w:t>“</w:t>
      </w:r>
      <w:r>
        <w:rPr>
          <w:rFonts w:ascii="Times New Roman" w:hAnsi="Times New Roman"/>
          <w:b/>
          <w:sz w:val="20"/>
        </w:rPr>
        <w:t>Second Lien Credit Agreement Refinancing Indebtedness</w:t>
      </w:r>
      <w:r>
        <w:rPr>
          <w:rFonts w:ascii="Times New Roman" w:hAnsi="Times New Roman"/>
          <w:sz w:val="20"/>
        </w:rPr>
        <w:t xml:space="preserve">” means Indebtedness of a Borrower or any Restricted Subsidiary in the form of term loans, notes or revolving commitments;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such Indebtedness is incurred or otherwise obtained (including by means of the extension or renewal of existing Indebtedness) in exchange for, or to extend, renew, upsize, replace, or refinance, in whole or part, Indebtedness under the Second Lien Credit Agreement or constituting Second Lien Credit Agreement Refinancing Indebtedness (“</w:t>
            </w:r>
            <w:r>
              <w:rPr>
                <w:rFonts w:ascii="Times New Roman" w:hAnsi="Times New Roman"/>
                <w:b/>
                <w:sz w:val="20"/>
              </w:rPr>
              <w:t>Refinanced Debt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Weighted Average Life to Maturity of such Indebtedness is equal to or longer than the remaining Weighted Average Life to Maturity of the Refinanced Debt, and (ii) the final maturity date of such Second Lien Credit Agreement Refinancing Indebtedness may not be earlier than ninety-one (91) days after the latest Maturity Date then in effect;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Lien Credit Agreement Refinancing Indebtedness shall be either (i) secured by the Collateral on a first lien basis with the Obligations and subject to an Equal Priority Intercreditor Agreement or on a junior lien basis with the Collateral and subject to a Junior Lien Intercreditor Agreement; </w:t>
            </w:r>
            <w:r>
              <w:rPr>
                <w:rFonts w:ascii="Times New Roman" w:hAnsi="Times New Roman"/>
                <w:i/>
                <w:sz w:val="20"/>
              </w:rPr>
              <w:t xml:space="preserve">provided, however, </w:t>
            </w:r>
            <w:r>
              <w:rPr>
                <w:rFonts w:ascii="Times New Roman" w:hAnsi="Times New Roman"/>
                <w:sz w:val="20"/>
              </w:rPr>
              <w:t xml:space="preserve">in the event any assets securing such Second Lien Credit Agreement Refinancing Indebtedness do not constitute Collateral, the Borrower shall be required to offer the Collateral Agent such additional assets as Collateral and notify the Administrative Agent of such offer, and if the Administrative Agent so requests, take all such actions required to so provide such Collateral to the Collateral Agent for the benefit of the Secured Parties or (ii) unsecured.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Secured Hedge Agreement</w:t>
      </w:r>
      <w:r>
        <w:rPr>
          <w:rFonts w:ascii="Times New Roman" w:hAnsi="Times New Roman"/>
          <w:sz w:val="20"/>
        </w:rPr>
        <w:t xml:space="preserve">” means any Hedge Agreement that is entered into by and between any Loan Party and any Hedge Bank and designated in writing by the Hedge Bank and the Borrower to the Administrative Agent as a “Secured Hedge Agreement.” </w:t>
      </w:r>
    </w:p>
    <w:p>
      <w:pPr>
        <w:pStyle w:val="TextBody"/>
        <w:bidi w:val="0"/>
        <w:spacing w:before="240" w:after="0"/>
        <w:jc w:val="left"/>
        <w:rPr/>
      </w:pPr>
      <w:r>
        <w:rPr/>
        <w:t>“</w:t>
      </w:r>
      <w:r>
        <w:rPr>
          <w:rFonts w:ascii="Times New Roman" w:hAnsi="Times New Roman"/>
          <w:b/>
          <w:sz w:val="20"/>
        </w:rPr>
        <w:t>Secured Net Leverage Ratio</w:t>
      </w:r>
      <w:r>
        <w:rPr>
          <w:rFonts w:ascii="Times New Roman" w:hAnsi="Times New Roman"/>
          <w:sz w:val="20"/>
        </w:rPr>
        <w:t xml:space="preserve">” means, with respect to any Test Period, the ratio of (a) Consolidated Secured Net Debt outstanding as of the last day of such Test Period to (b) Consolidated Adjusted EBITDA of the Borrower for such Test Period. </w:t>
      </w:r>
    </w:p>
    <w:p>
      <w:pPr>
        <w:pStyle w:val="TextBody"/>
        <w:bidi w:val="0"/>
        <w:spacing w:before="240" w:after="0"/>
        <w:jc w:val="left"/>
        <w:rPr/>
      </w:pPr>
      <w:r>
        <w:rPr/>
        <w:t>“</w:t>
      </w:r>
      <w:r>
        <w:rPr>
          <w:rFonts w:ascii="Times New Roman" w:hAnsi="Times New Roman"/>
          <w:b/>
          <w:sz w:val="20"/>
        </w:rPr>
        <w:t>Secured Parties</w:t>
      </w:r>
      <w:r>
        <w:rPr>
          <w:rFonts w:ascii="Times New Roman" w:hAnsi="Times New Roman"/>
          <w:sz w:val="20"/>
        </w:rPr>
        <w:t xml:space="preserve">” means, collectively, the Administrative Agent, the Collateral Agent, the Lenders, each Issuing Bank, each Hedge Bank, each Cash Management Bank, the Supplemental Administrative Agent and each co-agent or sub-agent appointed by the Administrative Agent from time to time pursuant to </w:t>
      </w:r>
      <w:r>
        <w:rPr>
          <w:rFonts w:ascii="Times New Roman" w:hAnsi="Times New Roman"/>
          <w:sz w:val="20"/>
          <w:u w:val="single"/>
        </w:rPr>
        <w:t>Section 10.05</w:t>
      </w:r>
      <w:r>
        <w:rPr>
          <w:rFonts w:ascii="Times New Roman" w:hAnsi="Times New Roman"/>
          <w:sz w:val="20"/>
        </w:rPr>
        <w:t xml:space="preserve"> and </w:t>
      </w:r>
      <w:r>
        <w:rPr>
          <w:rFonts w:ascii="Times New Roman" w:hAnsi="Times New Roman"/>
          <w:sz w:val="20"/>
          <w:u w:val="single"/>
        </w:rPr>
        <w:t>Section 10.12.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Securities Account</w:t>
      </w:r>
      <w:r>
        <w:rPr>
          <w:rFonts w:ascii="Times New Roman" w:hAnsi="Times New Roman"/>
          <w:sz w:val="20"/>
        </w:rPr>
        <w:t xml:space="preserve">” has the meaning specified in the Uniform Commercial Code.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w:t>
      </w:r>
    </w:p>
    <w:p>
      <w:pPr>
        <w:pStyle w:val="TextBody"/>
        <w:bidi w:val="0"/>
        <w:spacing w:before="240" w:after="0"/>
        <w:jc w:val="left"/>
        <w:rPr/>
      </w:pPr>
      <w:r>
        <w:rPr/>
        <w:t>“</w:t>
      </w:r>
      <w:r>
        <w:rPr>
          <w:rFonts w:ascii="Times New Roman" w:hAnsi="Times New Roman"/>
          <w:b/>
          <w:sz w:val="20"/>
        </w:rPr>
        <w:t>Securitization Assets</w:t>
      </w:r>
      <w:r>
        <w:rPr>
          <w:rFonts w:ascii="Times New Roman" w:hAnsi="Times New Roman"/>
          <w:sz w:val="20"/>
        </w:rPr>
        <w:t xml:space="preserve">” means (a) any accounts receivable (whether trade or non-trade receivables), mortgage receivables, loan receivables, royalty, franchise fee, license fee, patent or other revenue streams and other rights to payment or related assets and the proceeds thereof and (b) all collateral securing such receivable or asset, all contracts and contract rights (including licenses and leases),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 </w:t>
      </w:r>
    </w:p>
    <w:p>
      <w:pPr>
        <w:pStyle w:val="TextBody"/>
        <w:bidi w:val="0"/>
        <w:spacing w:before="240" w:after="0"/>
        <w:jc w:val="left"/>
        <w:rPr/>
      </w:pPr>
      <w:r>
        <w:rPr/>
        <w:t>“</w:t>
      </w:r>
      <w:r>
        <w:rPr>
          <w:rFonts w:ascii="Times New Roman" w:hAnsi="Times New Roman"/>
          <w:b/>
          <w:sz w:val="20"/>
        </w:rPr>
        <w:t>Securitization Facility</w:t>
      </w:r>
      <w:r>
        <w:rPr>
          <w:rFonts w:ascii="Times New Roman" w:hAnsi="Times New Roman"/>
          <w:sz w:val="20"/>
        </w:rPr>
        <w:t xml:space="preserve">” means any of one or more securitization, financing, factoring or sales transactions, as amended, supplemented, modified, extended, renewed, restated or refunded from time to time, pursuant to which the Borrower or any of the Restricted Subsidiaries sells, transfers, pledges or otherwise conveys any Securitization Assets (whether now existing or arising in the future) to a Securitization Subsidiary or any other Person. </w:t>
      </w:r>
    </w:p>
    <w:p>
      <w:pPr>
        <w:pStyle w:val="TextBody"/>
        <w:bidi w:val="0"/>
        <w:spacing w:before="240" w:after="0"/>
        <w:jc w:val="left"/>
        <w:rPr/>
      </w:pPr>
      <w:r>
        <w:rPr/>
        <w:t>“</w:t>
      </w:r>
      <w:r>
        <w:rPr>
          <w:rFonts w:ascii="Times New Roman" w:hAnsi="Times New Roman"/>
          <w:b/>
          <w:sz w:val="20"/>
        </w:rPr>
        <w:t>Securitization Fees</w:t>
      </w:r>
      <w:r>
        <w:rPr>
          <w:rFonts w:ascii="Times New Roman" w:hAnsi="Times New Roman"/>
          <w:sz w:val="20"/>
        </w:rPr>
        <w:t xml:space="preserve">”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 </w:t>
      </w:r>
    </w:p>
    <w:p>
      <w:pPr>
        <w:pStyle w:val="TextBody"/>
        <w:bidi w:val="0"/>
        <w:spacing w:before="240" w:after="0"/>
        <w:jc w:val="left"/>
        <w:rPr/>
      </w:pPr>
      <w:r>
        <w:rPr/>
        <w:t>“</w:t>
      </w:r>
      <w:r>
        <w:rPr>
          <w:rFonts w:ascii="Times New Roman" w:hAnsi="Times New Roman"/>
          <w:b/>
          <w:sz w:val="20"/>
        </w:rPr>
        <w:t>Securitization Financing</w:t>
      </w:r>
      <w:r>
        <w:rPr>
          <w:rFonts w:ascii="Times New Roman" w:hAnsi="Times New Roman"/>
          <w:sz w:val="20"/>
        </w:rPr>
        <w:t xml:space="preserve">” means any transaction or series of transactions that may be entered into by the Borrower or any of its Subsidiaries pursuant to which such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Securitization Assets of such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w:t>
      </w:r>
    </w:p>
    <w:p>
      <w:pPr>
        <w:pStyle w:val="TextBody"/>
        <w:bidi w:val="0"/>
        <w:spacing w:before="240" w:after="0"/>
        <w:jc w:val="left"/>
        <w:rPr/>
      </w:pPr>
      <w:r>
        <w:rPr/>
        <w:t>“</w:t>
      </w:r>
      <w:r>
        <w:rPr>
          <w:rFonts w:ascii="Times New Roman" w:hAnsi="Times New Roman"/>
          <w:b/>
          <w:sz w:val="20"/>
        </w:rPr>
        <w:t>Securitization Repurchase Obligation</w:t>
      </w:r>
      <w:r>
        <w:rPr>
          <w:rFonts w:ascii="Times New Roman" w:hAnsi="Times New Roman"/>
          <w:sz w:val="20"/>
        </w:rPr>
        <w:t xml:space="preserve">” means any obligation of a seller of Securitization Assets or Receivables Assets in a Qualified Securitization Financing or a Receivables Facility to repurchase or otherwise make payments with respect to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w:t>
      </w:r>
    </w:p>
    <w:p>
      <w:pPr>
        <w:pStyle w:val="TextBody"/>
        <w:bidi w:val="0"/>
        <w:spacing w:before="240" w:after="0"/>
        <w:jc w:val="left"/>
        <w:rPr/>
      </w:pPr>
      <w:r>
        <w:rPr/>
        <w:t>“</w:t>
      </w:r>
      <w:r>
        <w:rPr>
          <w:rFonts w:ascii="Times New Roman" w:hAnsi="Times New Roman"/>
          <w:b/>
          <w:sz w:val="20"/>
        </w:rPr>
        <w:t>Securitization Subsidiary</w:t>
      </w:r>
      <w:r>
        <w:rPr>
          <w:rFonts w:ascii="Times New Roman" w:hAnsi="Times New Roman"/>
          <w:sz w:val="20"/>
        </w:rPr>
        <w:t xml:space="preserve">” means any Subsidiary of the Borrower in each case formed for the purpose of and that solely engages in one or more Qualified Securitization Financings or Receivables Facilities and other activities reasonably related thereto or another Person formed for this purpose. </w:t>
      </w:r>
    </w:p>
    <w:p>
      <w:pPr>
        <w:pStyle w:val="TextBody"/>
        <w:bidi w:val="0"/>
        <w:spacing w:before="240" w:after="0"/>
        <w:jc w:val="left"/>
        <w:rPr/>
      </w:pPr>
      <w:r>
        <w:rPr/>
        <w:t>“</w:t>
      </w:r>
      <w:r>
        <w:rPr>
          <w:rFonts w:ascii="Times New Roman" w:hAnsi="Times New Roman"/>
          <w:b/>
          <w:sz w:val="20"/>
        </w:rPr>
        <w:t>Senior Indebtedness</w:t>
      </w:r>
      <w:r>
        <w:rPr>
          <w:rFonts w:ascii="Times New Roman" w:hAnsi="Times New Roman"/>
          <w:sz w:val="20"/>
        </w:rPr>
        <w:t xml:space="preserve">” has the meaning specified in </w:t>
      </w:r>
      <w:r>
        <w:rPr>
          <w:rFonts w:ascii="Times New Roman" w:hAnsi="Times New Roman"/>
          <w:sz w:val="20"/>
          <w:u w:val="single"/>
        </w:rPr>
        <w:t>Section 11.02(b)(viii).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Settlement</w:t>
      </w:r>
      <w:r>
        <w:rPr>
          <w:rFonts w:ascii="Times New Roman" w:hAnsi="Times New Roman"/>
          <w:sz w:val="20"/>
        </w:rPr>
        <w:t xml:space="preserve">”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 </w:t>
      </w:r>
    </w:p>
    <w:p>
      <w:pPr>
        <w:pStyle w:val="TextBody"/>
        <w:bidi w:val="0"/>
        <w:spacing w:before="240" w:after="0"/>
        <w:jc w:val="left"/>
        <w:rPr/>
      </w:pPr>
      <w:r>
        <w:rPr/>
        <w:t>“</w:t>
      </w:r>
      <w:r>
        <w:rPr>
          <w:rFonts w:ascii="Times New Roman" w:hAnsi="Times New Roman"/>
          <w:b/>
          <w:sz w:val="20"/>
        </w:rPr>
        <w:t>Settlement Asset</w:t>
      </w:r>
      <w:r>
        <w:rPr>
          <w:rFonts w:ascii="Times New Roman" w:hAnsi="Times New Roman"/>
          <w:sz w:val="20"/>
        </w:rPr>
        <w:t xml:space="preserve">” means any cash, receivable or other property, including a Settlement Receivable, due or conveyed to a Person in consideration for a Settlement made or arranged, or to be made or arranged, by such Person or an Affiliate of such Person. </w:t>
      </w:r>
    </w:p>
    <w:p>
      <w:pPr>
        <w:pStyle w:val="TextBody"/>
        <w:bidi w:val="0"/>
        <w:spacing w:before="240" w:after="0"/>
        <w:jc w:val="left"/>
        <w:rPr/>
      </w:pPr>
      <w:r>
        <w:rPr/>
        <w:t>“</w:t>
      </w:r>
      <w:r>
        <w:rPr>
          <w:rFonts w:ascii="Times New Roman" w:hAnsi="Times New Roman"/>
          <w:b/>
          <w:sz w:val="20"/>
        </w:rPr>
        <w:t>Settlement Indebtedness</w:t>
      </w:r>
      <w:r>
        <w:rPr>
          <w:rFonts w:ascii="Times New Roman" w:hAnsi="Times New Roman"/>
          <w:sz w:val="20"/>
        </w:rPr>
        <w:t xml:space="preserve">” means any payment or reimbursement obligation in respect of a Settlement Payment. </w:t>
      </w:r>
    </w:p>
    <w:p>
      <w:pPr>
        <w:pStyle w:val="TextBody"/>
        <w:bidi w:val="0"/>
        <w:spacing w:before="240" w:after="0"/>
        <w:jc w:val="left"/>
        <w:rPr/>
      </w:pPr>
      <w:r>
        <w:rPr/>
        <w:t>“</w:t>
      </w:r>
      <w:r>
        <w:rPr>
          <w:rFonts w:ascii="Times New Roman" w:hAnsi="Times New Roman"/>
          <w:b/>
          <w:sz w:val="20"/>
        </w:rPr>
        <w:t>Settlement Lien</w:t>
      </w:r>
      <w:r>
        <w:rPr>
          <w:rFonts w:ascii="Times New Roman" w:hAnsi="Times New Roman"/>
          <w:sz w:val="20"/>
        </w:rPr>
        <w:t xml:space="preserve">”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w:t>
      </w:r>
    </w:p>
    <w:p>
      <w:pPr>
        <w:pStyle w:val="TextBody"/>
        <w:bidi w:val="0"/>
        <w:spacing w:before="240" w:after="0"/>
        <w:jc w:val="left"/>
        <w:rPr/>
      </w:pPr>
      <w:r>
        <w:rPr/>
        <w:t>“</w:t>
      </w:r>
      <w:r>
        <w:rPr>
          <w:rFonts w:ascii="Times New Roman" w:hAnsi="Times New Roman"/>
          <w:b/>
          <w:sz w:val="20"/>
        </w:rPr>
        <w:t>Settlement Payment</w:t>
      </w:r>
      <w:r>
        <w:rPr>
          <w:rFonts w:ascii="Times New Roman" w:hAnsi="Times New Roman"/>
          <w:sz w:val="20"/>
        </w:rPr>
        <w:t xml:space="preserve">” means the transfer, or contractual undertaking (including by automated clearing house transaction) to effect a transfer, of cash or other property to effect a Settlement. </w:t>
      </w:r>
    </w:p>
    <w:p>
      <w:pPr>
        <w:pStyle w:val="TextBody"/>
        <w:bidi w:val="0"/>
        <w:spacing w:before="240" w:after="0"/>
        <w:jc w:val="left"/>
        <w:rPr/>
      </w:pPr>
      <w:r>
        <w:rPr/>
        <w:t>“</w:t>
      </w:r>
      <w:r>
        <w:rPr>
          <w:rFonts w:ascii="Times New Roman" w:hAnsi="Times New Roman"/>
          <w:b/>
          <w:sz w:val="20"/>
        </w:rPr>
        <w:t>Settlement Receivable</w:t>
      </w:r>
      <w:r>
        <w:rPr>
          <w:rFonts w:ascii="Times New Roman" w:hAnsi="Times New Roman"/>
          <w:sz w:val="20"/>
        </w:rPr>
        <w:t xml:space="preserve">” means any general intangible, payment intangible, or instrument representing or reflecting an obligation to make payments to or for the benefit of a Person in consideration for a Settlement made or arranged, or to be made or arranged, by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Shipowner</w:t>
      </w:r>
      <w:r>
        <w:rPr>
          <w:rFonts w:ascii="Times New Roman" w:hAnsi="Times New Roman"/>
          <w:sz w:val="20"/>
        </w:rPr>
        <w:t xml:space="preserve">” means each Loan Party that owns a Vessel that is Vessel Collateral. </w:t>
      </w:r>
    </w:p>
    <w:p>
      <w:pPr>
        <w:pStyle w:val="TextBody"/>
        <w:bidi w:val="0"/>
        <w:spacing w:before="240" w:after="0"/>
        <w:jc w:val="left"/>
        <w:rPr/>
      </w:pPr>
      <w:r>
        <w:rPr/>
        <w:t>“</w:t>
      </w:r>
      <w:r>
        <w:rPr>
          <w:rFonts w:ascii="Times New Roman" w:hAnsi="Times New Roman"/>
          <w:b/>
          <w:sz w:val="20"/>
        </w:rPr>
        <w:t>Short Term Advances</w:t>
      </w:r>
      <w:r>
        <w:rPr>
          <w:rFonts w:ascii="Times New Roman" w:hAnsi="Times New Roman"/>
          <w:sz w:val="20"/>
        </w:rPr>
        <w:t xml:space="preserve">” has the meaning specified in the definition of “Indebtedness.” </w:t>
      </w:r>
    </w:p>
    <w:p>
      <w:pPr>
        <w:pStyle w:val="TextBody"/>
        <w:bidi w:val="0"/>
        <w:spacing w:before="240" w:after="0"/>
        <w:jc w:val="left"/>
        <w:rPr/>
      </w:pPr>
      <w:r>
        <w:rPr/>
        <w:t>“</w:t>
      </w:r>
      <w:r>
        <w:rPr>
          <w:rFonts w:ascii="Times New Roman" w:hAnsi="Times New Roman"/>
          <w:b/>
          <w:sz w:val="20"/>
        </w:rPr>
        <w:t>Similar Business</w:t>
      </w:r>
      <w:r>
        <w:rPr>
          <w:rFonts w:ascii="Times New Roman" w:hAnsi="Times New Roman"/>
          <w:sz w:val="20"/>
        </w:rPr>
        <w:t xml:space="preserve">” means (a) any businesses, services or activities engaged in by the Borrower or any of its Subsidiaries or any Associates on the Closing Date, (b) any businesses, services and activities engaged in by the Borrower or any of its Subsidiaries or any Associates that are related, complementary, incidental, ancillary or similar to any of the foregoing or are extensions or developments of any thereof, and (c) a Person conducting a business, service or activity specified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and any Subsidiary thereof. For the avoidance of doubt, any Person that invests in or owns Equity Interests or Indebtedness of another Person that is engaged in a Similar Business shall be deemed to be engaged in a Similar Business. </w:t>
      </w:r>
    </w:p>
    <w:p>
      <w:pPr>
        <w:pStyle w:val="TextBody"/>
        <w:bidi w:val="0"/>
        <w:spacing w:before="240" w:after="0"/>
        <w:jc w:val="left"/>
        <w:rPr/>
      </w:pPr>
      <w:r>
        <w:rPr/>
        <w:t>“</w:t>
      </w:r>
      <w:r>
        <w:rPr>
          <w:rFonts w:ascii="Times New Roman" w:hAnsi="Times New Roman"/>
          <w:b/>
          <w:sz w:val="20"/>
        </w:rPr>
        <w:t>SOFR</w:t>
      </w:r>
      <w:r>
        <w:rPr>
          <w:rFonts w:ascii="Times New Roman" w:hAnsi="Times New Roman"/>
          <w:sz w:val="20"/>
        </w:rPr>
        <w:t xml:space="preserve">” means, with respect to any Business Day, a rate </w:t>
      </w:r>
      <w:r>
        <w:rPr>
          <w:rFonts w:ascii="Times New Roman" w:hAnsi="Times New Roman"/>
          <w:i/>
          <w:sz w:val="20"/>
        </w:rPr>
        <w:t xml:space="preserve">per annum </w:t>
      </w:r>
      <w:r>
        <w:rPr>
          <w:rFonts w:ascii="Times New Roman" w:hAnsi="Times New Roman"/>
          <w:sz w:val="20"/>
        </w:rPr>
        <w:t xml:space="preserve">equal to the secured overnight financing rate for such Business Day published by the SOFR Administrator on the SOFR Administrator’s Website at approximately 8:00 a.m. (New York City time) on the immediately succeeding Business Day. </w:t>
      </w:r>
    </w:p>
    <w:p>
      <w:pPr>
        <w:pStyle w:val="TextBody"/>
        <w:bidi w:val="0"/>
        <w:spacing w:before="240" w:after="0"/>
        <w:jc w:val="left"/>
        <w:rPr/>
      </w:pPr>
      <w:r>
        <w:rPr/>
        <w:t>“</w:t>
      </w:r>
      <w:r>
        <w:rPr>
          <w:rFonts w:ascii="Times New Roman" w:hAnsi="Times New Roman"/>
          <w:b/>
          <w:sz w:val="20"/>
        </w:rPr>
        <w:t>SOFR Administrator</w:t>
      </w:r>
      <w:r>
        <w:rPr>
          <w:rFonts w:ascii="Times New Roman" w:hAnsi="Times New Roman"/>
          <w:sz w:val="20"/>
        </w:rPr>
        <w:t xml:space="preserve">” means the NYFRB (or a successor administrator of the secured overnight financing rate). </w:t>
      </w:r>
    </w:p>
    <w:p>
      <w:pPr>
        <w:pStyle w:val="TextBody"/>
        <w:bidi w:val="0"/>
        <w:spacing w:before="240" w:after="0"/>
        <w:jc w:val="left"/>
        <w:rPr/>
      </w:pPr>
      <w:r>
        <w:rPr/>
        <w:t>“</w:t>
      </w:r>
      <w:r>
        <w:rPr>
          <w:rFonts w:ascii="Times New Roman" w:hAnsi="Times New Roman"/>
          <w:b/>
          <w:sz w:val="20"/>
        </w:rPr>
        <w:t>SOFR Administrator’s Website</w:t>
      </w:r>
      <w:r>
        <w:rPr>
          <w:rFonts w:ascii="Times New Roman" w:hAnsi="Times New Roman"/>
          <w:sz w:val="20"/>
        </w:rPr>
        <w:t xml:space="preserve">” means the NYFRB’s website, currently at </w:t>
      </w:r>
      <w:r>
        <w:rPr>
          <w:rFonts w:ascii="Times New Roman" w:hAnsi="Times New Roman"/>
          <w:sz w:val="20"/>
          <w:u w:val="single"/>
        </w:rPr>
        <w:t>http://www.newyorkfed.org</w:t>
      </w:r>
      <w:r>
        <w:rPr>
          <w:rFonts w:ascii="Times New Roman" w:hAnsi="Times New Roman"/>
          <w:sz w:val="20"/>
        </w:rPr>
        <w:t xml:space="preserve">,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b/>
          <w:sz w:val="20"/>
        </w:rPr>
        <w:t>SOFR Rate Loan</w:t>
      </w:r>
      <w:r>
        <w:rPr>
          <w:rFonts w:ascii="Times New Roman" w:hAnsi="Times New Roman"/>
          <w:sz w:val="20"/>
        </w:rPr>
        <w:t xml:space="preserve">” means a Loan, denominated in Dollars, that bears interest at the applicable Adjusted Term SOFR. </w:t>
      </w:r>
    </w:p>
    <w:p>
      <w:pPr>
        <w:pStyle w:val="TextBody"/>
        <w:bidi w:val="0"/>
        <w:spacing w:before="240" w:after="0"/>
        <w:jc w:val="left"/>
        <w:rPr/>
      </w:pPr>
      <w:r>
        <w:rPr/>
        <w:t>“</w:t>
      </w:r>
      <w:r>
        <w:rPr>
          <w:rFonts w:ascii="Times New Roman" w:hAnsi="Times New Roman"/>
          <w:b/>
          <w:sz w:val="20"/>
        </w:rPr>
        <w:t>Solvent</w:t>
      </w:r>
      <w:r>
        <w:rPr>
          <w:rFonts w:ascii="Times New Roman" w:hAnsi="Times New Roman"/>
          <w:sz w:val="20"/>
        </w:rPr>
        <w:t>” and “</w:t>
      </w:r>
      <w:r>
        <w:rPr>
          <w:rFonts w:ascii="Times New Roman" w:hAnsi="Times New Roman"/>
          <w:b/>
          <w:sz w:val="20"/>
        </w:rPr>
        <w:t>Solvency</w:t>
      </w:r>
      <w:r>
        <w:rPr>
          <w:rFonts w:ascii="Times New Roman" w:hAnsi="Times New Roman"/>
          <w:sz w:val="20"/>
        </w:rPr>
        <w:t xml:space="preserve">” mean, with respect to any Person on any date of determination, that on such date (a) the fair value of the assets of such Person, on a consolidated basis with its Subsidiaries, exceeds its debts and liabilities, subordinated, contingent or otherwise, on a consolidated basis, (b) 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 </w:t>
      </w:r>
    </w:p>
    <w:p>
      <w:pPr>
        <w:pStyle w:val="TextBody"/>
        <w:bidi w:val="0"/>
        <w:spacing w:before="240" w:after="0"/>
        <w:jc w:val="left"/>
        <w:rPr/>
      </w:pPr>
      <w:r>
        <w:rPr/>
        <w:t>“</w:t>
      </w:r>
      <w:r>
        <w:rPr>
          <w:rFonts w:ascii="Times New Roman" w:hAnsi="Times New Roman"/>
          <w:b/>
          <w:sz w:val="20"/>
        </w:rPr>
        <w:t>SPC</w:t>
      </w:r>
      <w:r>
        <w:rPr>
          <w:rFonts w:ascii="Times New Roman" w:hAnsi="Times New Roman"/>
          <w:sz w:val="20"/>
        </w:rPr>
        <w:t xml:space="preserve">” has the meaning specified in </w:t>
      </w:r>
      <w:r>
        <w:rPr>
          <w:rFonts w:ascii="Times New Roman" w:hAnsi="Times New Roman"/>
          <w:sz w:val="20"/>
          <w:u w:val="single"/>
        </w:rPr>
        <w:t>Section 11.07(g).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Specified Event of Default”</w:t>
      </w:r>
      <w:r>
        <w:rPr>
          <w:rFonts w:ascii="Times New Roman" w:hAnsi="Times New Roman"/>
          <w:sz w:val="20"/>
        </w:rPr>
        <w:t xml:space="preserve">means an Event of Default pursuant to </w:t>
      </w:r>
      <w:r>
        <w:rPr>
          <w:rFonts w:ascii="Times New Roman" w:hAnsi="Times New Roman"/>
          <w:sz w:val="20"/>
          <w:u w:val="single"/>
        </w:rPr>
        <w:t>Section 9.01(a)</w:t>
      </w:r>
      <w:r>
        <w:rPr>
          <w:rFonts w:ascii="Times New Roman" w:hAnsi="Times New Roman"/>
          <w:sz w:val="20"/>
        </w:rPr>
        <w:t xml:space="preserve"> or an Event of Default pursuant to </w:t>
      </w:r>
      <w:r>
        <w:rPr>
          <w:rFonts w:ascii="Times New Roman" w:hAnsi="Times New Roman"/>
          <w:sz w:val="20"/>
          <w:u w:val="single"/>
        </w:rPr>
        <w:t>Section 9.01(f)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Specified Qualified Appraisers</w:t>
      </w:r>
      <w:r>
        <w:rPr>
          <w:rFonts w:ascii="Times New Roman" w:hAnsi="Times New Roman"/>
          <w:sz w:val="20"/>
        </w:rPr>
        <w:t xml:space="preserve">” means DLS Marine Survey and Appraisal, Clarksons, Fearnleys, Pareto, Seabrokers Group, S&amp;P Global, Arctic Offshore or Dufour Laskay &amp; Strouse Inc (or any successor thereof) and other appraisers with the prior consent of the Administrative Agent (such consent not to be unreasonably withheld, conditioned or delayed). </w:t>
      </w:r>
    </w:p>
    <w:p>
      <w:pPr>
        <w:pStyle w:val="TextBody"/>
        <w:bidi w:val="0"/>
        <w:spacing w:before="240" w:after="0"/>
        <w:jc w:val="left"/>
        <w:rPr/>
      </w:pPr>
      <w:r>
        <w:rPr/>
        <w:t>“</w:t>
      </w:r>
      <w:r>
        <w:rPr>
          <w:rFonts w:ascii="Times New Roman" w:hAnsi="Times New Roman"/>
          <w:b/>
          <w:sz w:val="20"/>
        </w:rPr>
        <w:t>Specified Vessel</w:t>
      </w:r>
      <w:r>
        <w:rPr>
          <w:rFonts w:ascii="Times New Roman" w:hAnsi="Times New Roman"/>
          <w:sz w:val="20"/>
        </w:rPr>
        <w:t xml:space="preserve">” has the meaning specified in the definition of “Consolidated Adjusted EBITDA”. </w:t>
      </w:r>
    </w:p>
    <w:p>
      <w:pPr>
        <w:pStyle w:val="TextBody"/>
        <w:bidi w:val="0"/>
        <w:spacing w:before="240" w:after="0"/>
        <w:jc w:val="left"/>
        <w:rPr/>
      </w:pPr>
      <w:r>
        <w:rPr/>
        <w:t>“</w:t>
      </w:r>
      <w:r>
        <w:rPr>
          <w:rFonts w:ascii="Times New Roman" w:hAnsi="Times New Roman"/>
          <w:b/>
          <w:sz w:val="20"/>
        </w:rPr>
        <w:t>Sponsors</w:t>
      </w:r>
      <w:r>
        <w:rPr>
          <w:rFonts w:ascii="Times New Roman" w:hAnsi="Times New Roman"/>
          <w:sz w:val="20"/>
        </w:rPr>
        <w:t xml:space="preserve">” means, individually or collectively, any fund, partnership, co-investment vehicles and/or similar vehicles or accounts, in each case managed or advised by Ares Management Corp., Whitebox Advisors LLC or Highbridge Capital Management, LLC or any of their respective Affiliates, or any of their respective successors. </w:t>
      </w:r>
    </w:p>
    <w:p>
      <w:pPr>
        <w:pStyle w:val="TextBody"/>
        <w:bidi w:val="0"/>
        <w:spacing w:before="240" w:after="0"/>
        <w:jc w:val="left"/>
        <w:rPr/>
      </w:pPr>
      <w:r>
        <w:rPr/>
        <w:t>“</w:t>
      </w:r>
      <w:r>
        <w:rPr>
          <w:rFonts w:ascii="Times New Roman" w:hAnsi="Times New Roman"/>
          <w:b/>
          <w:sz w:val="20"/>
        </w:rPr>
        <w:t>Stacked Vessel</w:t>
      </w:r>
      <w:r>
        <w:rPr>
          <w:rFonts w:ascii="Times New Roman" w:hAnsi="Times New Roman"/>
          <w:sz w:val="20"/>
        </w:rPr>
        <w:t xml:space="preserve">” means a Vessel that has been temporarily or permanently removed from service in the exercise of the Borrower’s reasonable judgment consistent with reasonable business practices in light of the facts known at the time the decision was made (including, without limitation, operating costs and available marketing opportunities) or in the case of any after-acquired Vessel (whether by acquiring the Vessel or the entity that owns such Vessel ) that was stacked at the time of its acquisition or thereafter. </w:t>
      </w:r>
    </w:p>
    <w:p>
      <w:pPr>
        <w:pStyle w:val="TextBody"/>
        <w:bidi w:val="0"/>
        <w:spacing w:before="240" w:after="0"/>
        <w:jc w:val="left"/>
        <w:rPr/>
      </w:pPr>
      <w:r>
        <w:rPr/>
        <w:t>“</w:t>
      </w:r>
      <w:r>
        <w:rPr>
          <w:rFonts w:ascii="Times New Roman" w:hAnsi="Times New Roman"/>
          <w:b/>
          <w:sz w:val="20"/>
        </w:rPr>
        <w:t>Standard Securitization Undertakings</w:t>
      </w:r>
      <w:r>
        <w:rPr>
          <w:rFonts w:ascii="Times New Roman" w:hAnsi="Times New Roman"/>
          <w:sz w:val="20"/>
        </w:rPr>
        <w:t xml:space="preserve">” means representations, warranties, covenants, guarantees and indemnities entered into by the Borrower or any Subsidiary of the Borrower which the Borrower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 </w:t>
      </w:r>
    </w:p>
    <w:p>
      <w:pPr>
        <w:pStyle w:val="TextBody"/>
        <w:bidi w:val="0"/>
        <w:spacing w:before="240" w:after="0"/>
        <w:jc w:val="left"/>
        <w:rPr/>
      </w:pPr>
      <w:r>
        <w:rPr/>
        <w:t>“</w:t>
      </w:r>
      <w:r>
        <w:rPr>
          <w:rFonts w:ascii="Times New Roman" w:hAnsi="Times New Roman"/>
          <w:b/>
          <w:sz w:val="20"/>
        </w:rPr>
        <w:t>Stated Amount</w:t>
      </w:r>
      <w:r>
        <w:rPr>
          <w:rFonts w:ascii="Times New Roman" w:hAnsi="Times New Roman"/>
          <w:sz w:val="20"/>
        </w:rPr>
        <w:t xml:space="preserve">” means, with respect to any Letter of Credit at any time, the aggregate amount available to be drawn thereunder at such time (regardless of whether any conditions for drawing could then be met). </w:t>
      </w:r>
    </w:p>
    <w:p>
      <w:pPr>
        <w:pStyle w:val="TextBody"/>
        <w:bidi w:val="0"/>
        <w:spacing w:before="240" w:after="0"/>
        <w:jc w:val="left"/>
        <w:rPr/>
      </w:pPr>
      <w:r>
        <w:rPr/>
        <w:t>“</w:t>
      </w:r>
      <w:r>
        <w:rPr>
          <w:rFonts w:ascii="Times New Roman" w:hAnsi="Times New Roman"/>
          <w:b/>
          <w:sz w:val="20"/>
        </w:rPr>
        <w:t>Subordinated Indebtedness</w:t>
      </w:r>
      <w:r>
        <w:rPr>
          <w:rFonts w:ascii="Times New Roman" w:hAnsi="Times New Roman"/>
          <w:sz w:val="20"/>
        </w:rPr>
        <w:t xml:space="preserve">” means, with respect to any person, any Indebtedness (whether outstanding on the Closing Date or thereafter incurred) which is expressly subordinated in right of payment to the Loans pursuant to a written agreement (but excluding any First Lien Debt).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any corporation, association, or other business entity (other than a partnership, joint venture, limited liability company or similar entity) of which more than 50% of the total voting power of shares of Equity Interests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any partnership, joint venture, limited liability company or similar entity of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or any Subsidiary of such Person is a controlling general partner or otherwise controls such entity; 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(3) at the election of the Borrower, any partnership, joint venture, limited liability company or similar entity of which such Person or any Subsidiary of such Person is a controlling general partner or otherwise controls such entity.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the foregoing, “Subsidiary” shall not include Hornbeck Offshore Services de Mexico, S. de R.L. de C.V. or Hornbeck Offshore (Trinidad &amp; Tobago), Ltd. </w:t>
      </w:r>
    </w:p>
    <w:p>
      <w:pPr>
        <w:pStyle w:val="TextBody"/>
        <w:bidi w:val="0"/>
        <w:spacing w:before="240" w:after="0"/>
        <w:jc w:val="left"/>
        <w:rPr/>
      </w:pPr>
      <w:r>
        <w:rPr/>
        <w:t>“</w:t>
      </w:r>
      <w:r>
        <w:rPr>
          <w:rFonts w:ascii="Times New Roman" w:hAnsi="Times New Roman"/>
          <w:b/>
          <w:sz w:val="20"/>
        </w:rPr>
        <w:t>Subsidized Indebtedness Specified Cash</w:t>
      </w:r>
      <w:r>
        <w:rPr>
          <w:rFonts w:ascii="Times New Roman" w:hAnsi="Times New Roman"/>
          <w:sz w:val="20"/>
        </w:rPr>
        <w:t xml:space="preserve">” has the meaning specified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Successor Person</w:t>
      </w:r>
      <w:r>
        <w:rPr>
          <w:rFonts w:ascii="Times New Roman" w:hAnsi="Times New Roman"/>
          <w:sz w:val="20"/>
        </w:rPr>
        <w:t xml:space="preserve">” has the meaning specified in </w:t>
      </w:r>
      <w:r>
        <w:rPr>
          <w:rFonts w:ascii="Times New Roman" w:hAnsi="Times New Roman"/>
          <w:sz w:val="20"/>
          <w:u w:val="single"/>
        </w:rPr>
        <w:t>Section 7.04(b)(i)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Super-Priority Debt</w:t>
      </w:r>
      <w:r>
        <w:rPr>
          <w:rFonts w:ascii="Times New Roman" w:hAnsi="Times New Roman"/>
          <w:sz w:val="20"/>
        </w:rPr>
        <w:t xml:space="preserve">” means First Lien Debt that has the same payment priority as the Obligations pursuant to </w:t>
      </w:r>
      <w:r>
        <w:rPr>
          <w:rFonts w:ascii="Times New Roman" w:hAnsi="Times New Roman"/>
          <w:sz w:val="20"/>
          <w:u w:val="single"/>
        </w:rPr>
        <w:t>Section 2.01</w:t>
      </w:r>
      <w:r>
        <w:rPr>
          <w:rFonts w:ascii="Times New Roman" w:hAnsi="Times New Roman"/>
          <w:sz w:val="20"/>
        </w:rPr>
        <w:t xml:space="preserve"> (or equivalent section) of the Equal Priority Intercreditor Agreement. </w:t>
      </w:r>
    </w:p>
    <w:p>
      <w:pPr>
        <w:pStyle w:val="TextBody"/>
        <w:bidi w:val="0"/>
        <w:spacing w:before="240" w:after="0"/>
        <w:jc w:val="left"/>
        <w:rPr/>
      </w:pPr>
      <w:r>
        <w:rPr/>
        <w:t>“</w:t>
      </w:r>
      <w:r>
        <w:rPr>
          <w:rFonts w:ascii="Times New Roman" w:hAnsi="Times New Roman"/>
          <w:b/>
          <w:sz w:val="20"/>
        </w:rPr>
        <w:t>Supplemental Administrative Agent</w:t>
      </w:r>
      <w:r>
        <w:rPr>
          <w:rFonts w:ascii="Times New Roman" w:hAnsi="Times New Roman"/>
          <w:sz w:val="20"/>
        </w:rPr>
        <w:t>” and “</w:t>
      </w:r>
      <w:r>
        <w:rPr>
          <w:rFonts w:ascii="Times New Roman" w:hAnsi="Times New Roman"/>
          <w:b/>
          <w:sz w:val="20"/>
        </w:rPr>
        <w:t>Supplemental Administrative Agents</w:t>
      </w:r>
      <w:r>
        <w:rPr>
          <w:rFonts w:ascii="Times New Roman" w:hAnsi="Times New Roman"/>
          <w:sz w:val="20"/>
        </w:rPr>
        <w:t xml:space="preserve">” have the meanings specified in </w:t>
      </w:r>
      <w:r>
        <w:rPr>
          <w:rFonts w:ascii="Times New Roman" w:hAnsi="Times New Roman"/>
          <w:sz w:val="20"/>
          <w:u w:val="single"/>
        </w:rPr>
        <w:t>Section 10.12(a).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Supported QFC</w:t>
      </w:r>
      <w:r>
        <w:rPr>
          <w:rFonts w:ascii="Times New Roman" w:hAnsi="Times New Roman"/>
          <w:sz w:val="20"/>
        </w:rPr>
        <w:t xml:space="preserve">” has the meaning specified in </w:t>
      </w:r>
      <w:r>
        <w:rPr>
          <w:rFonts w:ascii="Times New Roman" w:hAnsi="Times New Roman"/>
          <w:sz w:val="20"/>
          <w:u w:val="single"/>
        </w:rPr>
        <w:t>Section 11.26(a).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Swap Obligations</w:t>
      </w:r>
      <w:r>
        <w:rPr>
          <w:rFonts w:ascii="Times New Roman" w:hAnsi="Times New Roman"/>
          <w:sz w:val="20"/>
        </w:rPr>
        <w:t xml:space="preserve">”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has the meaning specified in </w:t>
      </w:r>
      <w:r>
        <w:rPr>
          <w:rFonts w:ascii="Times New Roman" w:hAnsi="Times New Roman"/>
          <w:sz w:val="20"/>
          <w:u w:val="single"/>
        </w:rPr>
        <w:t>Section 3.01(a).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Term SOFR</w:t>
      </w:r>
      <w:r>
        <w:rPr>
          <w:rFonts w:ascii="Times New Roman" w:hAnsi="Times New Roman"/>
          <w:sz w:val="20"/>
        </w:rPr>
        <w:t xml:space="preserve">” means, for the applicable Corresponding Tenor as of the applicable Reference Time, the forward-looking term rate based on SOFR that has been selected or recommended by the Relevant Governmental Body; </w:t>
      </w:r>
      <w:r>
        <w:rPr>
          <w:rFonts w:ascii="Times New Roman" w:hAnsi="Times New Roman"/>
          <w:i/>
          <w:sz w:val="20"/>
        </w:rPr>
        <w:t>provided</w:t>
      </w:r>
      <w:r>
        <w:rPr>
          <w:rFonts w:ascii="Times New Roman" w:hAnsi="Times New Roman"/>
          <w:sz w:val="20"/>
        </w:rPr>
        <w:t xml:space="preserve">, that “Term SOFR” with respect to any Revolving Loans shall in no event be less than 0.00% </w:t>
      </w:r>
      <w:r>
        <w:rPr>
          <w:rFonts w:ascii="Times New Roman" w:hAnsi="Times New Roman"/>
          <w:i/>
          <w:sz w:val="20"/>
        </w:rPr>
        <w:t>per annum</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Term SOFR Adjustment</w:t>
      </w:r>
      <w:r>
        <w:rPr>
          <w:rFonts w:ascii="Times New Roman" w:hAnsi="Times New Roman"/>
          <w:sz w:val="20"/>
        </w:rPr>
        <w:t xml:space="preserve">” means a rate </w:t>
      </w:r>
      <w:r>
        <w:rPr>
          <w:rFonts w:ascii="Times New Roman" w:hAnsi="Times New Roman"/>
          <w:i/>
          <w:sz w:val="20"/>
        </w:rPr>
        <w:t xml:space="preserve">per annum </w:t>
      </w:r>
      <w:r>
        <w:rPr>
          <w:rFonts w:ascii="Times New Roman" w:hAnsi="Times New Roman"/>
          <w:sz w:val="20"/>
        </w:rPr>
        <w:t xml:space="preserve">equal to 0.10%. </w:t>
      </w:r>
    </w:p>
    <w:p>
      <w:pPr>
        <w:pStyle w:val="TextBody"/>
        <w:bidi w:val="0"/>
        <w:spacing w:before="240" w:after="0"/>
        <w:jc w:val="left"/>
        <w:rPr/>
      </w:pPr>
      <w:r>
        <w:rPr/>
        <w:t>“</w:t>
      </w:r>
      <w:r>
        <w:rPr>
          <w:rFonts w:ascii="Times New Roman" w:hAnsi="Times New Roman"/>
          <w:b/>
          <w:sz w:val="20"/>
        </w:rPr>
        <w:t>Term SOFR Notice</w:t>
      </w:r>
      <w:r>
        <w:rPr>
          <w:rFonts w:ascii="Times New Roman" w:hAnsi="Times New Roman"/>
          <w:sz w:val="20"/>
        </w:rPr>
        <w:t xml:space="preserve">” means a notification by the Administrative Agent to the Lenders and the Borrower of the occurrence of a Term SOFR Transition Event. </w:t>
      </w:r>
    </w:p>
    <w:p>
      <w:pPr>
        <w:pStyle w:val="TextBody"/>
        <w:bidi w:val="0"/>
        <w:spacing w:before="240" w:after="0"/>
        <w:jc w:val="left"/>
        <w:rPr/>
      </w:pPr>
      <w:r>
        <w:rPr/>
        <w:t>“</w:t>
      </w:r>
      <w:r>
        <w:rPr>
          <w:rFonts w:ascii="Times New Roman" w:hAnsi="Times New Roman"/>
          <w:b/>
          <w:sz w:val="20"/>
        </w:rPr>
        <w:t>Term SOFR Transition Event</w:t>
      </w:r>
      <w:r>
        <w:rPr>
          <w:rFonts w:ascii="Times New Roman" w:hAnsi="Times New Roman"/>
          <w:sz w:val="20"/>
        </w:rPr>
        <w:t xml:space="preserve">” means the determination by the Administrative Agent that (a) Term SOFR has been recommended for use by the Relevant Governmental Body, (b) the administration of Term SOFR is administratively feasible for the Administrative Agent and (c) a Benchmark Transition Event has previously occurred resulting in a Benchmark Replacement in accordance with this </w:t>
      </w:r>
      <w:r>
        <w:rPr>
          <w:rFonts w:ascii="Times New Roman" w:hAnsi="Times New Roman"/>
          <w:sz w:val="20"/>
          <w:u w:val="single"/>
        </w:rPr>
        <w:t>Section 3.09</w:t>
      </w:r>
      <w:r>
        <w:rPr>
          <w:rFonts w:ascii="Times New Roman" w:hAnsi="Times New Roman"/>
          <w:sz w:val="20"/>
        </w:rPr>
        <w:t xml:space="preserve"> that is not Adjusted Term SOFR. </w:t>
      </w:r>
    </w:p>
    <w:p>
      <w:pPr>
        <w:pStyle w:val="TextBody"/>
        <w:bidi w:val="0"/>
        <w:spacing w:before="240" w:after="0"/>
        <w:jc w:val="left"/>
        <w:rPr/>
      </w:pPr>
      <w:r>
        <w:rPr/>
        <w:t>“</w:t>
      </w:r>
      <w:r>
        <w:rPr>
          <w:rFonts w:ascii="Times New Roman" w:hAnsi="Times New Roman"/>
          <w:b/>
          <w:sz w:val="20"/>
        </w:rPr>
        <w:t>Termination Conditions</w:t>
      </w:r>
      <w:r>
        <w:rPr>
          <w:rFonts w:ascii="Times New Roman" w:hAnsi="Times New Roman"/>
          <w:sz w:val="20"/>
        </w:rPr>
        <w:t xml:space="preserve">” means, collectively, (a) the payment in full in cash of the Obligations (other than (i) contingent indemnification obligations as to which no claim has been asserted, (ii) Obligations under Secured Hedge Agreements as to which alternative arrangements acceptable to the Hedge Bank thereunder have been made and (iii) Cash Management Obligations) and (b) the termination of the Commitments and the termination or expiration of all Letters of Credit under this Agreement (unless backstopped or Cash Collateralized in an amount equal to 105% of the maximum drawable amount of any such Letter of Credit or otherwise in an amount and/or in a manner reasonably acceptable to the Issuing Banks). </w:t>
      </w:r>
    </w:p>
    <w:p>
      <w:pPr>
        <w:pStyle w:val="TextBody"/>
        <w:bidi w:val="0"/>
        <w:spacing w:before="240" w:after="0"/>
        <w:jc w:val="left"/>
        <w:rPr/>
      </w:pPr>
      <w:r>
        <w:rPr/>
        <w:t>“</w:t>
      </w:r>
      <w:r>
        <w:rPr>
          <w:rFonts w:ascii="Times New Roman" w:hAnsi="Times New Roman"/>
          <w:b/>
          <w:sz w:val="20"/>
        </w:rPr>
        <w:t>Test Period</w:t>
      </w:r>
      <w:r>
        <w:rPr>
          <w:rFonts w:ascii="Times New Roman" w:hAnsi="Times New Roman"/>
          <w:sz w:val="20"/>
        </w:rPr>
        <w:t xml:space="preserve">” in effect at any time means the most recent period of four consecutive fiscal quarters of the Borrower ended on or prior to such time (taken as one accounting period) in respect of which financial statements for each quarter or fiscal year in such period are available or, in the case of </w:t>
      </w:r>
      <w:r>
        <w:rPr>
          <w:rFonts w:ascii="Times New Roman" w:hAnsi="Times New Roman"/>
          <w:sz w:val="20"/>
          <w:u w:val="single"/>
        </w:rPr>
        <w:t>Article VIII</w:t>
      </w:r>
      <w:r>
        <w:rPr>
          <w:rFonts w:ascii="Times New Roman" w:hAnsi="Times New Roman"/>
          <w:sz w:val="20"/>
        </w:rPr>
        <w:t xml:space="preserve">, are required to be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6.01(b)</w:t>
      </w:r>
      <w:r>
        <w:rPr>
          <w:rFonts w:ascii="Times New Roman" w:hAnsi="Times New Roman"/>
          <w:sz w:val="20"/>
        </w:rPr>
        <w:t xml:space="preserve"> (which may be internal financial statements except (i) to the extent this Agreement otherwise expressly states that the Test Period is specified in a Compliance Certificate, in which case such financial statements shall have been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for the Test Period set forth in such Compliance Certificate or (ii) for purposes of </w:t>
      </w:r>
      <w:r>
        <w:rPr>
          <w:rFonts w:ascii="Times New Roman" w:hAnsi="Times New Roman"/>
          <w:sz w:val="20"/>
          <w:u w:val="single"/>
        </w:rPr>
        <w:t>Article VIII</w:t>
      </w:r>
      <w:r>
        <w:rPr>
          <w:rFonts w:ascii="Times New Roman" w:hAnsi="Times New Roman"/>
          <w:sz w:val="20"/>
        </w:rPr>
        <w:t>). A Test Period may be designated by reference to the last day thereof (i.e</w:t>
      </w:r>
      <w:r>
        <w:rPr>
          <w:rFonts w:ascii="Times New Roman" w:hAnsi="Times New Roman"/>
          <w:i/>
          <w:sz w:val="20"/>
        </w:rPr>
        <w:t>.</w:t>
      </w:r>
      <w:r>
        <w:rPr>
          <w:rFonts w:ascii="Times New Roman" w:hAnsi="Times New Roman"/>
          <w:sz w:val="20"/>
        </w:rPr>
        <w:t xml:space="preserve">, the “December 31st Test Period” of a particular year refers to the period of four consecutive fiscal quarters of the Borrower ended on December 31st of such year), and a Test Period shall be deemed to end on the last day thereof. </w:t>
      </w:r>
    </w:p>
    <w:p>
      <w:pPr>
        <w:pStyle w:val="TextBody"/>
        <w:bidi w:val="0"/>
        <w:spacing w:before="240" w:after="0"/>
        <w:jc w:val="left"/>
        <w:rPr/>
      </w:pPr>
      <w:r>
        <w:rPr/>
        <w:t>“</w:t>
      </w:r>
      <w:r>
        <w:rPr>
          <w:rFonts w:ascii="Times New Roman" w:hAnsi="Times New Roman"/>
          <w:b/>
          <w:sz w:val="20"/>
        </w:rPr>
        <w:t>Testing Date</w:t>
      </w:r>
      <w:r>
        <w:rPr>
          <w:rFonts w:ascii="Times New Roman" w:hAnsi="Times New Roman"/>
          <w:sz w:val="20"/>
        </w:rPr>
        <w:t>” has the meaning assigned to such term in</w:t>
      </w:r>
      <w:r>
        <w:rPr>
          <w:rFonts w:ascii="Times New Roman" w:hAnsi="Times New Roman"/>
          <w:sz w:val="20"/>
          <w:u w:val="single"/>
        </w:rPr>
        <w:t xml:space="preserve"> 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Threshold Amount</w:t>
      </w:r>
      <w:r>
        <w:rPr>
          <w:rFonts w:ascii="Times New Roman" w:hAnsi="Times New Roman"/>
          <w:sz w:val="20"/>
        </w:rPr>
        <w:t xml:space="preserve">” means $25.0 million. </w:t>
      </w:r>
    </w:p>
    <w:p>
      <w:pPr>
        <w:pStyle w:val="TextBody"/>
        <w:bidi w:val="0"/>
        <w:spacing w:before="240" w:after="0"/>
        <w:jc w:val="left"/>
        <w:rPr/>
      </w:pPr>
      <w:r>
        <w:rPr/>
        <w:t>“</w:t>
      </w:r>
      <w:r>
        <w:rPr>
          <w:rFonts w:ascii="Times New Roman" w:hAnsi="Times New Roman"/>
          <w:b/>
          <w:sz w:val="20"/>
        </w:rPr>
        <w:t>Total Assets</w:t>
      </w:r>
      <w:r>
        <w:rPr>
          <w:rFonts w:ascii="Times New Roman" w:hAnsi="Times New Roman"/>
          <w:sz w:val="20"/>
        </w:rPr>
        <w:t xml:space="preserve">” means, as of any date, the total consolidated assets of the Borrower and its Restricted Subsidiaries on a consolidated basis, as shown on the most recent consolidated balance sheet of the Borrower and its Restricted Subsidiaries, determined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Total Net Leverage Ratio</w:t>
      </w:r>
      <w:r>
        <w:rPr>
          <w:rFonts w:ascii="Times New Roman" w:hAnsi="Times New Roman"/>
          <w:sz w:val="20"/>
        </w:rPr>
        <w:t xml:space="preserve">” means, with respect to any Test Period, the ratio of (a) Consolidated Net Debt as of the last day of such Test Period to (b) Consolidated Adjusted EBITDA of the Borrower for such Test Period. </w:t>
      </w:r>
    </w:p>
    <w:p>
      <w:pPr>
        <w:pStyle w:val="TextBody"/>
        <w:bidi w:val="0"/>
        <w:spacing w:before="240" w:after="0"/>
        <w:jc w:val="left"/>
        <w:rPr/>
      </w:pPr>
      <w:r>
        <w:rPr/>
        <w:t>“</w:t>
      </w:r>
      <w:r>
        <w:rPr>
          <w:rFonts w:ascii="Times New Roman" w:hAnsi="Times New Roman"/>
          <w:b/>
          <w:sz w:val="20"/>
        </w:rPr>
        <w:t>Total Utilization of Commitments</w:t>
      </w:r>
      <w:r>
        <w:rPr>
          <w:rFonts w:ascii="Times New Roman" w:hAnsi="Times New Roman"/>
          <w:sz w:val="20"/>
        </w:rPr>
        <w:t xml:space="preserve">” means, as of any date of determination, the sum of (i) the aggregate principal amount of all outstanding Revolving Loans other than Revolving Loans made for the purpose of reimbursing the Issuing Banks for any amount drawn under any Letter of Credit, but not yet so applied, and (ii) the Letter of Credit Usage. </w:t>
      </w:r>
    </w:p>
    <w:p>
      <w:pPr>
        <w:pStyle w:val="TextBody"/>
        <w:bidi w:val="0"/>
        <w:spacing w:before="240" w:after="0"/>
        <w:jc w:val="left"/>
        <w:rPr/>
      </w:pPr>
      <w:r>
        <w:rPr/>
        <w:t>“</w:t>
      </w:r>
      <w:r>
        <w:rPr>
          <w:rFonts w:ascii="Times New Roman" w:hAnsi="Times New Roman"/>
          <w:b/>
          <w:sz w:val="20"/>
        </w:rPr>
        <w:t>Traded Securities</w:t>
      </w:r>
      <w:r>
        <w:rPr>
          <w:rFonts w:ascii="Times New Roman" w:hAnsi="Times New Roman"/>
          <w:sz w:val="20"/>
        </w:rPr>
        <w:t xml:space="preserve">” means any debt or equity securities issued pursuant to a public offering or Rule 144A offering. </w:t>
      </w:r>
    </w:p>
    <w:p>
      <w:pPr>
        <w:pStyle w:val="TextBody"/>
        <w:bidi w:val="0"/>
        <w:spacing w:before="240" w:after="0"/>
        <w:jc w:val="left"/>
        <w:rPr/>
      </w:pPr>
      <w:r>
        <w:rPr/>
        <w:t>“</w:t>
      </w:r>
      <w:r>
        <w:rPr>
          <w:rFonts w:ascii="Times New Roman" w:hAnsi="Times New Roman"/>
          <w:b/>
          <w:sz w:val="20"/>
        </w:rPr>
        <w:t>Transaction Expenses</w:t>
      </w:r>
      <w:r>
        <w:rPr>
          <w:rFonts w:ascii="Times New Roman" w:hAnsi="Times New Roman"/>
          <w:sz w:val="20"/>
        </w:rPr>
        <w:t xml:space="preserve">” means any fees or expenses incurred or paid by the Borrower or any of its Subsidiaries in connection with the Transactions, this Agreement and the other Loan Documents and the transactions contemplated hereby and thereby, including any amortization thereof in any period. </w:t>
      </w:r>
    </w:p>
    <w:p>
      <w:pPr>
        <w:pStyle w:val="TextBody"/>
        <w:bidi w:val="0"/>
        <w:spacing w:before="240" w:after="0"/>
        <w:jc w:val="left"/>
        <w:rPr/>
      </w:pPr>
      <w:r>
        <w:rPr/>
        <w:t>“</w:t>
      </w:r>
      <w:r>
        <w:rPr>
          <w:rFonts w:ascii="Times New Roman" w:hAnsi="Times New Roman"/>
          <w:b/>
          <w:sz w:val="20"/>
        </w:rPr>
        <w:t>Transactions</w:t>
      </w:r>
      <w:r>
        <w:rPr>
          <w:rFonts w:ascii="Times New Roman" w:hAnsi="Times New Roman"/>
          <w:sz w:val="20"/>
        </w:rPr>
        <w:t xml:space="preserve">” means, collectively, (a) the occurrence of the Closing Date under this Agreement and (b) the payment of the Transaction Expenses. </w:t>
      </w:r>
    </w:p>
    <w:p>
      <w:pPr>
        <w:pStyle w:val="TextBody"/>
        <w:bidi w:val="0"/>
        <w:spacing w:before="240" w:after="0"/>
        <w:jc w:val="left"/>
        <w:rPr/>
      </w:pPr>
      <w:r>
        <w:rPr/>
        <w:t>“</w:t>
      </w:r>
      <w:r>
        <w:rPr>
          <w:rFonts w:ascii="Times New Roman" w:hAnsi="Times New Roman"/>
          <w:b/>
          <w:sz w:val="20"/>
        </w:rPr>
        <w:t>Treasury Equity Interests</w:t>
      </w:r>
      <w:r>
        <w:rPr>
          <w:rFonts w:ascii="Times New Roman" w:hAnsi="Times New Roman"/>
          <w:sz w:val="20"/>
        </w:rPr>
        <w:t xml:space="preserve">” has the meaning specified in the definition of “Permitted Payment.” </w:t>
      </w:r>
    </w:p>
    <w:p>
      <w:pPr>
        <w:pStyle w:val="TextBody"/>
        <w:bidi w:val="0"/>
        <w:spacing w:before="240" w:after="0"/>
        <w:jc w:val="left"/>
        <w:rPr/>
      </w:pPr>
      <w:r>
        <w:rPr/>
        <w:t>“</w:t>
      </w:r>
      <w:r>
        <w:rPr>
          <w:rFonts w:ascii="Times New Roman" w:hAnsi="Times New Roman"/>
          <w:b/>
          <w:sz w:val="20"/>
        </w:rPr>
        <w:t>TTM Consolidated Adjusted EBITDA</w:t>
      </w:r>
      <w:r>
        <w:rPr>
          <w:rFonts w:ascii="Times New Roman" w:hAnsi="Times New Roman"/>
          <w:sz w:val="20"/>
        </w:rPr>
        <w:t xml:space="preserve">” means, as of any date of determination, the Consolidated Adjusted EBITDA of the Borrower and the Restricted Subsidiaries, determined on a Pro Forma Basis, for the four consecutive fiscal quarters most recently ended prior to such date for which financial statements are internally available. </w:t>
      </w:r>
    </w:p>
    <w:p>
      <w:pPr>
        <w:pStyle w:val="TextBody"/>
        <w:bidi w:val="0"/>
        <w:spacing w:before="240" w:after="0"/>
        <w:jc w:val="left"/>
        <w:rPr/>
      </w:pPr>
      <w:r>
        <w:rPr/>
        <w:t>“</w:t>
      </w:r>
      <w:r>
        <w:rPr>
          <w:rFonts w:ascii="Times New Roman" w:hAnsi="Times New Roman"/>
          <w:b/>
          <w:sz w:val="20"/>
        </w:rPr>
        <w:t>Type</w:t>
      </w:r>
      <w:r>
        <w:rPr>
          <w:rFonts w:ascii="Times New Roman" w:hAnsi="Times New Roman"/>
          <w:sz w:val="20"/>
        </w:rPr>
        <w:t xml:space="preserve">” means, with respect to a Loan, its character as a Base Rate Loan or a SOFR Rate Loan. </w:t>
      </w:r>
    </w:p>
    <w:p>
      <w:pPr>
        <w:pStyle w:val="TextBody"/>
        <w:bidi w:val="0"/>
        <w:spacing w:before="240" w:after="0"/>
        <w:jc w:val="left"/>
        <w:rPr/>
      </w:pPr>
      <w:r>
        <w:rPr/>
        <w:t>“</w:t>
      </w:r>
      <w:r>
        <w:rPr>
          <w:rFonts w:ascii="Times New Roman" w:hAnsi="Times New Roman"/>
          <w:b/>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U.S. government securities. </w:t>
      </w:r>
    </w:p>
    <w:p>
      <w:pPr>
        <w:pStyle w:val="TextBody"/>
        <w:bidi w:val="0"/>
        <w:spacing w:before="240" w:after="0"/>
        <w:jc w:val="left"/>
        <w:rPr/>
      </w:pPr>
      <w:r>
        <w:rPr/>
        <w:t>“</w:t>
      </w:r>
      <w:r>
        <w:rPr>
          <w:rFonts w:ascii="Times New Roman" w:hAnsi="Times New Roman"/>
          <w:b/>
          <w:sz w:val="20"/>
        </w:rPr>
        <w:t>U.S. Lender</w:t>
      </w:r>
      <w:r>
        <w:rPr>
          <w:rFonts w:ascii="Times New Roman" w:hAnsi="Times New Roman"/>
          <w:sz w:val="20"/>
        </w:rPr>
        <w:t xml:space="preserve">” has the meaning specified in </w:t>
      </w:r>
      <w:r>
        <w:rPr>
          <w:rFonts w:ascii="Times New Roman" w:hAnsi="Times New Roman"/>
          <w:sz w:val="20"/>
          <w:u w:val="single"/>
        </w:rPr>
        <w:t>Section 3.01(e).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U.S. Tax Compliance Certificate</w:t>
      </w:r>
      <w:r>
        <w:rPr>
          <w:rFonts w:ascii="Times New Roman" w:hAnsi="Times New Roman"/>
          <w:sz w:val="20"/>
        </w:rPr>
        <w:t xml:space="preserve">” has the meaning specified in </w:t>
      </w:r>
      <w:r>
        <w:rPr>
          <w:rFonts w:ascii="Times New Roman" w:hAnsi="Times New Roman"/>
          <w:sz w:val="20"/>
          <w:u w:val="single"/>
        </w:rPr>
        <w:t>Section 3.01(b).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sz w:val="20"/>
        </w:rPr>
        <w:t>Ultra High Specification</w:t>
      </w:r>
      <w:r>
        <w:rPr>
          <w:rFonts w:ascii="Times New Roman" w:hAnsi="Times New Roman"/>
          <w:sz w:val="20"/>
        </w:rPr>
        <w:t>” or “</w:t>
      </w:r>
      <w:r>
        <w:rPr>
          <w:rFonts w:ascii="Times New Roman" w:hAnsi="Times New Roman"/>
          <w:b/>
          <w:sz w:val="20"/>
        </w:rPr>
        <w:t>Ultra High-Spec</w:t>
      </w:r>
      <w:r>
        <w:rPr>
          <w:rFonts w:ascii="Times New Roman" w:hAnsi="Times New Roman"/>
          <w:sz w:val="20"/>
        </w:rPr>
        <w:t xml:space="preserve">” means, when referring to Vessels, Vessels with cargo-carrying capacity of greater than 5,000 DWT (i.e., 300 class OSV notations or higher), and dynamic-positioning systems with a DP-2 classification or higher. For the avoidance of doubt, any MPSV of greater than 5,000 DWT is an Ultra High-Spec Vessel. </w:t>
      </w:r>
    </w:p>
    <w:p>
      <w:pPr>
        <w:pStyle w:val="TextBody"/>
        <w:bidi w:val="0"/>
        <w:spacing w:before="240" w:after="0"/>
        <w:jc w:val="left"/>
        <w:rPr/>
      </w:pPr>
      <w:r>
        <w:rPr/>
        <w:t>“</w:t>
      </w:r>
      <w:r>
        <w:rPr>
          <w:rFonts w:ascii="Times New Roman" w:hAnsi="Times New Roman"/>
          <w:b/>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b/>
          <w:sz w:val="20"/>
        </w:rPr>
        <w:t>Undisclosed Administration</w:t>
      </w:r>
      <w:r>
        <w:rPr>
          <w:rFonts w:ascii="Times New Roman" w:hAnsi="Times New Roman"/>
          <w:sz w:val="20"/>
        </w:rPr>
        <w:t xml:space="preserve">” means, in relation to a Lender or its direct or indirect parent entity, the appointment of an administrator, provisional liquidator, conservator, receiver, trustee, custodian, or other similar official by a supervisory authority or regulator under or based on the law in the country where such Lender or such parent entity is subject to home jurisdiction supervision, if applicable law requires that such appointment not be disclosed. </w:t>
      </w:r>
    </w:p>
    <w:p>
      <w:pPr>
        <w:pStyle w:val="TextBody"/>
        <w:bidi w:val="0"/>
        <w:spacing w:before="240" w:after="0"/>
        <w:jc w:val="left"/>
        <w:rPr/>
      </w:pPr>
      <w:r>
        <w:rPr/>
        <w:t>“</w:t>
      </w:r>
      <w:r>
        <w:rPr>
          <w:rFonts w:ascii="Times New Roman" w:hAnsi="Times New Roman"/>
          <w:b/>
          <w:sz w:val="20"/>
        </w:rPr>
        <w:t>Unfunded Advances/Participations</w:t>
      </w:r>
      <w:r>
        <w:rPr>
          <w:rFonts w:ascii="Times New Roman" w:hAnsi="Times New Roman"/>
          <w:sz w:val="20"/>
        </w:rPr>
        <w:t xml:space="preserve">” means (a) with respect to the Administrative Agent, the aggregate amount, if any (i) made available to the Borrower on the assumption that each Lender has made available to the Administrative Agent such Lender’s share of the applicable Borrowing available to the Administrative Agent as contemplated by </w:t>
      </w:r>
      <w:r>
        <w:rPr>
          <w:rFonts w:ascii="Times New Roman" w:hAnsi="Times New Roman"/>
          <w:sz w:val="20"/>
          <w:u w:val="single"/>
        </w:rPr>
        <w:t>Section 2.02(b)(ii)</w:t>
      </w:r>
      <w:r>
        <w:rPr>
          <w:rFonts w:ascii="Times New Roman" w:hAnsi="Times New Roman"/>
          <w:sz w:val="20"/>
        </w:rPr>
        <w:t xml:space="preserve"> and (ii) with respect to which a corresponding amount shall not in fact have been returned to the Administrative Agent by such Borrower or made available to the Administrative Agent by any such Lender and (b) with respect to the Issuing Banks, the aggregate amount, if any, of amounts drawn under Letters of Credit in respect of which a Revolving Lender shall have failed to make amounts available to the applicable Issuing Banks pursuant to</w:t>
      </w:r>
      <w:r>
        <w:rPr>
          <w:rFonts w:ascii="Times New Roman" w:hAnsi="Times New Roman"/>
          <w:sz w:val="20"/>
          <w:u w:val="single"/>
        </w:rPr>
        <w:t xml:space="preserve"> Section 2.04(c).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Uniform Commercial Code</w:t>
      </w:r>
      <w:r>
        <w:rPr>
          <w:rFonts w:ascii="Times New Roman" w:hAnsi="Times New Roman"/>
          <w:sz w:val="20"/>
        </w:rPr>
        <w:t xml:space="preserve">”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 </w:t>
      </w:r>
    </w:p>
    <w:p>
      <w:pPr>
        <w:pStyle w:val="TextBody"/>
        <w:bidi w:val="0"/>
        <w:spacing w:before="240" w:after="0"/>
        <w:jc w:val="left"/>
        <w:rPr/>
      </w:pPr>
      <w:r>
        <w:rPr/>
        <w:t>“</w:t>
      </w:r>
      <w:r>
        <w:rPr>
          <w:rFonts w:ascii="Times New Roman" w:hAnsi="Times New Roman"/>
          <w:b/>
          <w:sz w:val="20"/>
        </w:rPr>
        <w:t>United States</w:t>
      </w:r>
      <w:r>
        <w:rPr>
          <w:rFonts w:ascii="Times New Roman" w:hAnsi="Times New Roman"/>
          <w:sz w:val="20"/>
        </w:rPr>
        <w:t>” and “</w:t>
      </w:r>
      <w:r>
        <w:rPr>
          <w:rFonts w:ascii="Times New Roman" w:hAnsi="Times New Roman"/>
          <w:b/>
          <w:sz w:val="20"/>
        </w:rPr>
        <w:t>U.S.</w:t>
      </w:r>
      <w:r>
        <w:rPr>
          <w:rFonts w:ascii="Times New Roman" w:hAnsi="Times New Roman"/>
          <w:sz w:val="20"/>
        </w:rPr>
        <w:t xml:space="preserve">” mean the United States of America. </w:t>
      </w:r>
    </w:p>
    <w:p>
      <w:pPr>
        <w:pStyle w:val="TextBody"/>
        <w:bidi w:val="0"/>
        <w:spacing w:before="240" w:after="0"/>
        <w:jc w:val="left"/>
        <w:rPr/>
      </w:pPr>
      <w:r>
        <w:rPr/>
        <w:t>“</w:t>
      </w:r>
      <w:r>
        <w:rPr>
          <w:rFonts w:ascii="Times New Roman" w:hAnsi="Times New Roman"/>
          <w:b/>
          <w:sz w:val="20"/>
        </w:rPr>
        <w:t>Unrestricted Lender</w:t>
      </w:r>
      <w:r>
        <w:rPr>
          <w:rFonts w:ascii="Times New Roman" w:hAnsi="Times New Roman"/>
          <w:sz w:val="20"/>
        </w:rPr>
        <w:t xml:space="preserve">” means any Regulated Entity, any Revolving Lender as of the Closing Date, any Lead Arranger or any of their respective Affiliates (other than, for the avoidance of doubt, any participants of any such Persons unless such participants constitute an Unrestricted Lender). </w:t>
      </w:r>
    </w:p>
    <w:p>
      <w:pPr>
        <w:pStyle w:val="TextBody"/>
        <w:bidi w:val="0"/>
        <w:spacing w:before="240" w:after="0"/>
        <w:jc w:val="left"/>
        <w:rPr/>
      </w:pPr>
      <w:r>
        <w:rPr/>
        <w:t>“</w:t>
      </w:r>
      <w:r>
        <w:rPr>
          <w:rFonts w:ascii="Times New Roman" w:hAnsi="Times New Roman"/>
          <w:b/>
          <w:sz w:val="20"/>
        </w:rPr>
        <w:t>Unrestricted Subsidiary</w:t>
      </w:r>
      <w:r>
        <w:rPr>
          <w:rFonts w:ascii="Times New Roman" w:hAnsi="Times New Roman"/>
          <w:sz w:val="20"/>
        </w:rPr>
        <w:t xml:space="preserve">” means (a) each Securitization Subsidiary and (b) any Subsidiary of the Borrower designated by the Board of Directors of the Borrower as an Unrestricted Subsidiary pursuant to </w:t>
      </w:r>
      <w:r>
        <w:rPr>
          <w:rFonts w:ascii="Times New Roman" w:hAnsi="Times New Roman"/>
          <w:sz w:val="20"/>
          <w:u w:val="single"/>
        </w:rPr>
        <w:t>Section 6.13</w:t>
      </w:r>
      <w:r>
        <w:rPr>
          <w:rFonts w:ascii="Times New Roman" w:hAnsi="Times New Roman"/>
          <w:sz w:val="20"/>
        </w:rPr>
        <w:t xml:space="preserve"> subsequent to the date hereof, in each case, until such Person ceases to be an Unrestricted Subsidiary of the Borrower in accordance with </w:t>
      </w:r>
      <w:r>
        <w:rPr>
          <w:rFonts w:ascii="Times New Roman" w:hAnsi="Times New Roman"/>
          <w:sz w:val="20"/>
          <w:u w:val="single"/>
        </w:rPr>
        <w:t>Section 6.13</w:t>
      </w:r>
      <w:r>
        <w:rPr>
          <w:rFonts w:ascii="Times New Roman" w:hAnsi="Times New Roman"/>
          <w:sz w:val="20"/>
        </w:rPr>
        <w:t xml:space="preserve"> or ceases to be a Subsidiary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USA PATRIOT Act</w:t>
      </w:r>
      <w:r>
        <w:rPr>
          <w:rFonts w:ascii="Times New Roman" w:hAnsi="Times New Roman"/>
          <w:sz w:val="20"/>
        </w:rPr>
        <w:t xml:space="preserve">” means The Uniting and Strengthening America by Providing Appropriate Tools Required to Intercept and Obstruct Terrorism Act of 2001 (Title III of Public Law No. 107-56 (signed into law October 26, 2001)), as amended or modified from time to time. </w:t>
      </w:r>
    </w:p>
    <w:p>
      <w:pPr>
        <w:pStyle w:val="TextBody"/>
        <w:bidi w:val="0"/>
        <w:spacing w:before="240" w:after="0"/>
        <w:jc w:val="left"/>
        <w:rPr/>
      </w:pPr>
      <w:r>
        <w:rPr/>
        <w:t>“</w:t>
      </w:r>
      <w:r>
        <w:rPr>
          <w:rFonts w:ascii="Times New Roman" w:hAnsi="Times New Roman"/>
          <w:b/>
          <w:sz w:val="20"/>
        </w:rPr>
        <w:t>Vessel Collateral</w:t>
      </w:r>
      <w:r>
        <w:rPr>
          <w:rFonts w:ascii="Times New Roman" w:hAnsi="Times New Roman"/>
          <w:sz w:val="20"/>
        </w:rPr>
        <w:t xml:space="preserve">” means, collectively, each of the Vessels set forth on </w:t>
      </w:r>
      <w:r>
        <w:rPr>
          <w:rFonts w:ascii="Times New Roman" w:hAnsi="Times New Roman"/>
          <w:sz w:val="20"/>
          <w:u w:val="single"/>
        </w:rPr>
        <w:t>Schedule 5.15</w:t>
      </w:r>
      <w:r>
        <w:rPr>
          <w:rFonts w:ascii="Times New Roman" w:hAnsi="Times New Roman"/>
          <w:sz w:val="20"/>
        </w:rPr>
        <w:t xml:space="preserve">, any Vessel subject to a Vessel Mortgage pursuant to </w:t>
      </w:r>
      <w:r>
        <w:rPr>
          <w:rFonts w:ascii="Times New Roman" w:hAnsi="Times New Roman"/>
          <w:sz w:val="20"/>
          <w:u w:val="single"/>
        </w:rPr>
        <w:t>Section 6.11(d)(i)</w:t>
      </w:r>
      <w:r>
        <w:rPr>
          <w:rFonts w:ascii="Times New Roman" w:hAnsi="Times New Roman"/>
          <w:sz w:val="20"/>
        </w:rPr>
        <w:t xml:space="preserve">, and any other Vessel over which a Loan Party has, by its sole election, granted a Vessel Mortgage, in each case, until such Vessel is released from Vessel Collateral in accordance with the terms hereof; </w:t>
      </w:r>
      <w:r>
        <w:rPr>
          <w:rFonts w:ascii="Times New Roman" w:hAnsi="Times New Roman"/>
          <w:i/>
          <w:sz w:val="20"/>
        </w:rPr>
        <w:t>provided</w:t>
      </w:r>
      <w:r>
        <w:rPr>
          <w:rFonts w:ascii="Times New Roman" w:hAnsi="Times New Roman"/>
          <w:sz w:val="20"/>
        </w:rPr>
        <w:t xml:space="preserve">, that, for the avoidance of doubt, the Borrower shall not be restricted in its ability, at its sole election, to designate any Vessel Collateral as Stacked Vessels following the Closing Date. </w:t>
      </w:r>
    </w:p>
    <w:p>
      <w:pPr>
        <w:pStyle w:val="TextBody"/>
        <w:bidi w:val="0"/>
        <w:spacing w:before="240" w:after="0"/>
        <w:jc w:val="left"/>
        <w:rPr/>
      </w:pPr>
      <w:r>
        <w:rPr/>
        <w:t>“</w:t>
      </w:r>
      <w:r>
        <w:rPr>
          <w:rFonts w:ascii="Times New Roman" w:hAnsi="Times New Roman"/>
          <w:b/>
          <w:sz w:val="20"/>
        </w:rPr>
        <w:t>Vessel Collateral Value Amount</w:t>
      </w:r>
      <w:r>
        <w:rPr>
          <w:rFonts w:ascii="Times New Roman" w:hAnsi="Times New Roman"/>
          <w:sz w:val="20"/>
        </w:rPr>
        <w:t xml:space="preserve">” means the fair market value of each Vessel constituting Collateral (calculated in the aggregate), as determined by (a) VesselsValueTM (or any successor thereof) or (b) at the Borrower’s sole election, a Specified Qualified Appraiser; </w:t>
      </w:r>
      <w:r>
        <w:rPr>
          <w:rFonts w:ascii="Times New Roman" w:hAnsi="Times New Roman"/>
          <w:i/>
          <w:sz w:val="20"/>
        </w:rPr>
        <w:t xml:space="preserve">provided </w:t>
      </w:r>
      <w:r>
        <w:rPr>
          <w:rFonts w:ascii="Times New Roman" w:hAnsi="Times New Roman"/>
          <w:sz w:val="20"/>
        </w:rPr>
        <w:t xml:space="preserve">that, (i) if VesselsValueTM ceases to exist, (ii) if access to such information originating from VesselsValueTM becomes (x) commercially unavailable or impractical to obtain or (y) otherwise materially more costly to obtain, then the Borrower shall (or, with respect to </w:t>
      </w:r>
      <w:r>
        <w:rPr>
          <w:rFonts w:ascii="Times New Roman" w:hAnsi="Times New Roman"/>
          <w:sz w:val="20"/>
          <w:u w:val="single"/>
        </w:rPr>
        <w:t>clause (ii)(y)</w:t>
      </w:r>
      <w:r>
        <w:rPr>
          <w:rFonts w:ascii="Times New Roman" w:hAnsi="Times New Roman"/>
          <w:sz w:val="20"/>
        </w:rPr>
        <w:t xml:space="preserve">, may at its sole election) select a Specified Qualified Appraiser or another appraiser that is reasonably acceptable to the Administrative Agent to determine the Vessel Collateral Value Amount in place of VesselsValueTM. </w:t>
      </w:r>
    </w:p>
    <w:p>
      <w:pPr>
        <w:pStyle w:val="TextBody"/>
        <w:bidi w:val="0"/>
        <w:spacing w:before="240" w:after="0"/>
        <w:jc w:val="left"/>
        <w:rPr/>
      </w:pPr>
      <w:r>
        <w:rPr/>
        <w:t>“</w:t>
      </w:r>
      <w:r>
        <w:rPr>
          <w:rFonts w:ascii="Times New Roman" w:hAnsi="Times New Roman"/>
          <w:b/>
          <w:sz w:val="20"/>
        </w:rPr>
        <w:t>Vessel Mortgage</w:t>
      </w:r>
      <w:r>
        <w:rPr>
          <w:rFonts w:ascii="Times New Roman" w:hAnsi="Times New Roman"/>
          <w:sz w:val="20"/>
        </w:rPr>
        <w:t xml:space="preserve">” means </w:t>
      </w:r>
      <w:r>
        <w:rPr>
          <w:rFonts w:ascii="Times New Roman" w:hAnsi="Times New Roman"/>
          <w:color w:val="0000FF"/>
          <w:sz w:val="20"/>
          <w:u w:val="single"/>
          <w:bdr w:val="double" w:sz="2" w:space="1" w:color="000000"/>
        </w:rPr>
        <w:t xml:space="preserve">(a) each First Amendment A&amp;R Vessel Mortgage or (b) </w:t>
      </w:r>
      <w:r>
        <w:rPr>
          <w:rFonts w:ascii="Times New Roman" w:hAnsi="Times New Roman"/>
          <w:sz w:val="20"/>
        </w:rPr>
        <w:t xml:space="preserve">a first preferred single vessel mortgage or fleet mortgage, as applicable, in substantially the form of </w:t>
      </w:r>
      <w:r>
        <w:rPr>
          <w:rFonts w:ascii="Times New Roman" w:hAnsi="Times New Roman"/>
          <w:sz w:val="20"/>
          <w:u w:val="single"/>
        </w:rPr>
        <w:t>Exhibit M</w:t>
      </w:r>
      <w:r>
        <w:rPr>
          <w:rFonts w:ascii="Times New Roman" w:hAnsi="Times New Roman"/>
          <w:sz w:val="20"/>
        </w:rPr>
        <w:t xml:space="preserve">, </w:t>
      </w:r>
      <w:r>
        <w:rPr>
          <w:rFonts w:ascii="Times New Roman" w:hAnsi="Times New Roman"/>
          <w:color w:val="0000FF"/>
          <w:sz w:val="20"/>
          <w:u w:val="single"/>
          <w:bdr w:val="double" w:sz="2" w:space="1" w:color="000000"/>
        </w:rPr>
        <w:t xml:space="preserve">in each case </w:t>
      </w:r>
      <w:r>
        <w:rPr>
          <w:rFonts w:ascii="Times New Roman" w:hAnsi="Times New Roman"/>
          <w:sz w:val="20"/>
        </w:rPr>
        <w:t xml:space="preserve">as the same may be amended, modified or supplemented from time to time. </w:t>
      </w:r>
    </w:p>
    <w:p>
      <w:pPr>
        <w:pStyle w:val="TextBody"/>
        <w:bidi w:val="0"/>
        <w:spacing w:before="240" w:after="0"/>
        <w:jc w:val="left"/>
        <w:rPr/>
      </w:pPr>
      <w:r>
        <w:rPr/>
        <w:t>“</w:t>
      </w:r>
      <w:r>
        <w:rPr>
          <w:rFonts w:ascii="Times New Roman" w:hAnsi="Times New Roman"/>
          <w:b/>
          <w:sz w:val="20"/>
        </w:rPr>
        <w:t>Vessels</w:t>
      </w:r>
      <w:r>
        <w:rPr>
          <w:rFonts w:ascii="Times New Roman" w:hAnsi="Times New Roman"/>
          <w:sz w:val="20"/>
        </w:rPr>
        <w:t>” means marine vessels (other than recreational vessels), and “</w:t>
      </w:r>
      <w:r>
        <w:rPr>
          <w:rFonts w:ascii="Times New Roman" w:hAnsi="Times New Roman"/>
          <w:b/>
          <w:sz w:val="20"/>
        </w:rPr>
        <w:t>Vessel</w:t>
      </w:r>
      <w:r>
        <w:rPr>
          <w:rFonts w:ascii="Times New Roman" w:hAnsi="Times New Roman"/>
          <w:sz w:val="20"/>
        </w:rPr>
        <w:t xml:space="preserve">” shall mean any of such Vessels.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of a Person means all classes of Equity Interests of such Person then outstanding and normally entitled to vote in the election of directors. </w:t>
      </w:r>
    </w:p>
    <w:p>
      <w:pPr>
        <w:pStyle w:val="TextBody"/>
        <w:bidi w:val="0"/>
        <w:spacing w:before="240" w:after="0"/>
        <w:jc w:val="left"/>
        <w:rPr/>
      </w:pPr>
      <w:r>
        <w:rPr/>
        <w:t>“</w:t>
      </w:r>
      <w:r>
        <w:rPr>
          <w:rFonts w:ascii="Times New Roman" w:hAnsi="Times New Roman"/>
          <w:b/>
          <w:sz w:val="20"/>
        </w:rPr>
        <w:t>Weighted Average Life to Maturity</w:t>
      </w:r>
      <w:r>
        <w:rPr>
          <w:rFonts w:ascii="Times New Roman" w:hAnsi="Times New Roman"/>
          <w:sz w:val="20"/>
        </w:rPr>
        <w:t xml:space="preserve">” means, when applied to any Indebtedness at any date, the quotient (in number of years) obtained by dividing: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the products obtained by multiplying (i) the number of years (calculated to the nearest one-twelfth) from the date of determination to the date of each successive scheduled principal payment of such Indebtedness or redemption or similar payment with respect to such Disqualified Equity Interests or Preferred Stock, by (ii) the amount of such payment,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all such payments; provided that, for purposes of determining the Weighted Average Life to Maturity of any Indebtedness, the effects of any prepayments or amortization made on such Indebtedness prior to the date of such determination will be disregarded;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that for purposes of determining the Weighted Average Life to Maturity of (i) any Refinanced Debt or (ii) any Indebtedness that is being modified, refinanced, refunded, renewed, replaced or extended (in any such case, the “</w:t>
      </w:r>
      <w:r>
        <w:rPr>
          <w:rFonts w:ascii="Times New Roman" w:hAnsi="Times New Roman"/>
          <w:b/>
          <w:sz w:val="20"/>
        </w:rPr>
        <w:t>Applicable Indebtedness</w:t>
      </w:r>
      <w:r>
        <w:rPr>
          <w:rFonts w:ascii="Times New Roman" w:hAnsi="Times New Roman"/>
          <w:sz w:val="20"/>
        </w:rPr>
        <w:t xml:space="preserve">”),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 </w:t>
      </w:r>
    </w:p>
    <w:p>
      <w:pPr>
        <w:pStyle w:val="TextBody"/>
        <w:bidi w:val="0"/>
        <w:spacing w:before="240" w:after="0"/>
        <w:jc w:val="left"/>
        <w:rPr/>
      </w:pPr>
      <w:r>
        <w:rPr/>
        <w:t>“</w:t>
      </w:r>
      <w:r>
        <w:rPr>
          <w:rFonts w:ascii="Times New Roman" w:hAnsi="Times New Roman"/>
          <w:b/>
          <w:sz w:val="20"/>
        </w:rPr>
        <w:t>wholly-owned</w:t>
      </w:r>
      <w:r>
        <w:rPr>
          <w:rFonts w:ascii="Times New Roman" w:hAnsi="Times New Roman"/>
          <w:sz w:val="20"/>
        </w:rPr>
        <w:t xml:space="preserve">” means, with respect to a Subsidiary of a Person, a Subsidiary of such Person all of the outstanding Equity Interests of which (other than (a) director’s qualifying shares and (b) nominal shares issued to foreign nationals to the extent required by applicable Law) are owned by such Person and/or by one or more wholly-owned Subsidiaries of such Person. </w:t>
      </w:r>
    </w:p>
    <w:p>
      <w:pPr>
        <w:pStyle w:val="TextBody"/>
        <w:bidi w:val="0"/>
        <w:spacing w:before="240" w:after="0"/>
        <w:jc w:val="left"/>
        <w:rPr/>
      </w:pPr>
      <w:r>
        <w:rPr/>
        <w:t>“</w:t>
      </w:r>
      <w:r>
        <w:rPr>
          <w:rFonts w:ascii="Times New Roman" w:hAnsi="Times New Roman"/>
          <w:b/>
          <w:sz w:val="20"/>
        </w:rPr>
        <w:t>Withdrawal Liability</w:t>
      </w:r>
      <w:r>
        <w:rPr>
          <w:rFonts w:ascii="Times New Roman" w:hAnsi="Times New Roman"/>
          <w:sz w:val="20"/>
        </w:rPr>
        <w:t xml:space="preserve">” means the liability to a Multiemployer Plan as a result of a complete or partial withdrawal from such Multiemployer Plan, as such term is defined in Part I of Subtitle E of Title IV of ERISA. </w:t>
      </w:r>
    </w:p>
    <w:p>
      <w:pPr>
        <w:pStyle w:val="TextBody"/>
        <w:bidi w:val="0"/>
        <w:spacing w:before="240" w:after="0"/>
        <w:jc w:val="left"/>
        <w:rPr/>
      </w:pPr>
      <w:r>
        <w:rPr/>
        <w:t>“</w:t>
      </w:r>
      <w:r>
        <w:rPr>
          <w:rFonts w:ascii="Times New Roman" w:hAnsi="Times New Roman"/>
          <w:b/>
          <w:sz w:val="20"/>
        </w:rPr>
        <w:t>Withholding Agent</w:t>
      </w:r>
      <w:r>
        <w:rPr>
          <w:rFonts w:ascii="Times New Roman" w:hAnsi="Times New Roman"/>
          <w:sz w:val="20"/>
        </w:rPr>
        <w:t xml:space="preserve">” means the Borrower, any Guarantor or the Administrative Agent. </w:t>
      </w:r>
    </w:p>
    <w:p>
      <w:pPr>
        <w:pStyle w:val="TextBody"/>
        <w:bidi w:val="0"/>
        <w:spacing w:before="240" w:after="0"/>
        <w:jc w:val="left"/>
        <w:rPr/>
      </w:pPr>
      <w:r>
        <w:rPr/>
        <w:t>“</w:t>
      </w:r>
      <w:r>
        <w:rPr>
          <w:rFonts w:ascii="Times New Roman" w:hAnsi="Times New Roman"/>
          <w:b/>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Interpretive Provisions</w:t>
      </w:r>
      <w:r>
        <w:rPr>
          <w:rFonts w:ascii="Times New Roman" w:hAnsi="Times New Roman"/>
          <w:sz w:val="20"/>
        </w:rPr>
        <w:t xml:space="preserve">. With reference to this Agreement and each other Loan Document, unless otherwise specified herein or in such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(a) The meanings of defined terms are equally applicable to the singular and plural forms of the defined terms. </w:t>
      </w:r>
    </w:p>
    <w:p>
      <w:pPr>
        <w:pStyle w:val="TextBody"/>
        <w:bidi w:val="0"/>
        <w:spacing w:before="240" w:after="0"/>
        <w:jc w:val="left"/>
        <w:rPr>
          <w:rFonts w:ascii="Times New Roman" w:hAnsi="Times New Roman"/>
          <w:sz w:val="20"/>
        </w:rPr>
      </w:pPr>
      <w:r>
        <w:rPr>
          <w:rFonts w:ascii="Times New Roman" w:hAnsi="Times New Roman"/>
          <w:sz w:val="20"/>
        </w:rPr>
        <w:t xml:space="preserve">(b) (i) The words “herein,” “hereto,” “hereof” and “hereunder” and words of similar import when used in any Loan Document shall refer to such Loan Document as a whole and not to any particular provision thereof; (ii) 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 (iii) the term “including” is by way of example and not limitation; (iv) the term “documents” includes any and all instruments, documents, agreements, certificates, notices, reports, financial statements and other writings, however evidenced, whether in physical or electronic form; (v)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 “continuing” means, with respect to a Default or Event of Default, that it has not been cured or waived; and (vi) in the computation of periods of time from a specified date to a later specified date, the word “from” means “from and including;” the words “to” and “until” each mean “to but excluding;” and the word “through” means “to and including.” </w:t>
      </w:r>
    </w:p>
    <w:p>
      <w:pPr>
        <w:pStyle w:val="TextBody"/>
        <w:bidi w:val="0"/>
        <w:spacing w:before="240" w:after="0"/>
        <w:jc w:val="left"/>
        <w:rPr>
          <w:rFonts w:ascii="Times New Roman" w:hAnsi="Times New Roman"/>
          <w:sz w:val="20"/>
        </w:rPr>
      </w:pPr>
      <w:r>
        <w:rPr>
          <w:rFonts w:ascii="Times New Roman" w:hAnsi="Times New Roman"/>
          <w:sz w:val="20"/>
        </w:rPr>
        <w:t xml:space="preserve">(c) Section headings herein and in the other Loan Documents are included for convenience of reference only and shall not affect the interpretation of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(d) For all purposes under the Loan Documents, in connection with any division or plan of division under Delaware law (or any comparable event under a different jurisdiction’s laws) (a “</w:t>
      </w:r>
      <w:r>
        <w:rPr>
          <w:rFonts w:ascii="Times New Roman" w:hAnsi="Times New Roman"/>
          <w:b/>
          <w:sz w:val="20"/>
        </w:rPr>
        <w:t>Division</w:t>
      </w:r>
      <w:r>
        <w:rPr>
          <w:rFonts w:ascii="Times New Roman" w:hAnsi="Times New Roman"/>
          <w:sz w:val="20"/>
        </w:rPr>
        <w:t xml:space="preserve">”),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Accounting and Finance Terms; Accounting Periods; Unrestricted Subsidiaries</w:t>
      </w:r>
      <w:r>
        <w:rPr>
          <w:rFonts w:ascii="Times New Roman" w:hAnsi="Times New Roman"/>
          <w:sz w:val="20"/>
        </w:rPr>
        <w:t xml:space="preserve">. All accounting terms, financial terms or components of such terms not specifically or completely defined herein shall be construed in conformity with GAAP to the extent GAAP defines such term or a component of such term. To the extent GAAP does not define such term or a component of such term, such term shall be calculated by the Borrower in good faith. For purposes of calculating any consolidated amounts necessary to determine compliance by any Person and, if applicable, its Restricted Subsidiaries with any ratio or other financial covenant in this Agreement, Unrestricted Subsidiaries shall be excluded. Unless the context indicates otherwise, any reference to a “fiscal year” shall refer to a fiscal year of the Borrower ending December 31, and any reference to a “fiscal quarter” shall refer to a fiscal quarter of the Borrower ending March 31, June 30, September 30 or December 31.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Rounding</w:t>
      </w:r>
      <w:r>
        <w:rPr>
          <w:rFonts w:ascii="Times New Roman" w:hAnsi="Times New Roman"/>
          <w:sz w:val="20"/>
        </w:rPr>
        <w:t>. Any financial ratios required to be satisfied in order for a specific action to be permitted under this Agreement or any other Loan Document shall be calculated by dividing the appropriate component by the other component, carrying the result to one decimal place more than the number of decimal places by which such ratio is expressed herein (the “</w:t>
      </w:r>
      <w:r>
        <w:rPr>
          <w:rFonts w:ascii="Times New Roman" w:hAnsi="Times New Roman"/>
          <w:b/>
          <w:sz w:val="20"/>
        </w:rPr>
        <w:t>applicable decimal place”</w:t>
      </w:r>
      <w:r>
        <w:rPr>
          <w:rFonts w:ascii="Times New Roman" w:hAnsi="Times New Roman"/>
          <w:sz w:val="20"/>
        </w:rPr>
        <w:t xml:space="preserve">) and rounding the result up or down to the applicable decimal place.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References to Agreements, Laws, Etc</w:t>
      </w:r>
      <w:r>
        <w:rPr>
          <w:rFonts w:ascii="Times New Roman" w:hAnsi="Times New Roman"/>
          <w:sz w:val="20"/>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Times of Day</w:t>
      </w:r>
      <w:r>
        <w:rPr>
          <w:rFonts w:ascii="Times New Roman" w:hAnsi="Times New Roman"/>
          <w:sz w:val="20"/>
        </w:rPr>
        <w:t xml:space="preserve">. Unless otherwise specified, all references herein to times of day shall be references to New York City time (daylight or standard,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Pro Forma Calculations; Limited Condition Transactions; Basket and Ratio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herein, the Revolving Credit Facility Net Leverage Ratio, the Collateral Coverage Ratio, the RCF Collateral Coverage Ratio, the Total Net Leverage Ratio, the Fixed Charge Coverage Ratio and the Secured Net Leverage Ratio shall be calculated in the manner prescribed by this </w:t>
      </w:r>
      <w:r>
        <w:rPr>
          <w:rFonts w:ascii="Times New Roman" w:hAnsi="Times New Roman"/>
          <w:sz w:val="20"/>
          <w:u w:val="single"/>
        </w:rPr>
        <w:t>Section 1.08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notwithstanding anything to the contrary in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of this </w:t>
      </w:r>
      <w:r>
        <w:rPr>
          <w:rFonts w:ascii="Times New Roman" w:hAnsi="Times New Roman"/>
          <w:sz w:val="20"/>
          <w:u w:val="single"/>
        </w:rPr>
        <w:t>Section 1.08</w:t>
      </w:r>
      <w:r>
        <w:rPr>
          <w:rFonts w:ascii="Times New Roman" w:hAnsi="Times New Roman"/>
          <w:sz w:val="20"/>
        </w:rPr>
        <w:t xml:space="preserve">, when calculating the Revolving Credit Facility Net Leverage Ratio, the Collateral Coverage Ratio and the RCF Collateral Coverage Ratio, in each case, for purposes of </w:t>
      </w:r>
      <w:r>
        <w:rPr>
          <w:rFonts w:ascii="Times New Roman" w:hAnsi="Times New Roman"/>
          <w:sz w:val="20"/>
          <w:u w:val="single"/>
        </w:rPr>
        <w:t>Section 8.01</w:t>
      </w:r>
      <w:r>
        <w:rPr>
          <w:rFonts w:ascii="Times New Roman" w:hAnsi="Times New Roman"/>
          <w:sz w:val="20"/>
        </w:rPr>
        <w:t xml:space="preserve">, the events described in this </w:t>
      </w:r>
      <w:r>
        <w:rPr>
          <w:rFonts w:ascii="Times New Roman" w:hAnsi="Times New Roman"/>
          <w:sz w:val="20"/>
          <w:u w:val="single"/>
        </w:rPr>
        <w:t>Section 1.08</w:t>
      </w:r>
      <w:r>
        <w:rPr>
          <w:rFonts w:ascii="Times New Roman" w:hAnsi="Times New Roman"/>
          <w:sz w:val="20"/>
        </w:rPr>
        <w:t xml:space="preserve"> that occurred subsequent to the end of the applicable Test Period shall not be given </w:t>
      </w:r>
      <w:r>
        <w:rPr>
          <w:rFonts w:ascii="Times New Roman" w:hAnsi="Times New Roman"/>
          <w:i/>
          <w:sz w:val="20"/>
        </w:rPr>
        <w:t>pro forma</w:t>
      </w:r>
      <w:r>
        <w:rPr>
          <w:rFonts w:ascii="Times New Roman" w:hAnsi="Times New Roman"/>
          <w:sz w:val="20"/>
        </w:rPr>
        <w:t xml:space="preserve"> effect. </w:t>
      </w:r>
    </w:p>
    <w:p>
      <w:pPr>
        <w:pStyle w:val="TextBody"/>
        <w:bidi w:val="0"/>
        <w:spacing w:before="240" w:after="0"/>
        <w:jc w:val="left"/>
        <w:rPr>
          <w:rFonts w:ascii="Times New Roman" w:hAnsi="Times New Roman"/>
          <w:sz w:val="20"/>
        </w:rPr>
      </w:pPr>
      <w:r>
        <w:rPr>
          <w:rFonts w:ascii="Times New Roman" w:hAnsi="Times New Roman"/>
          <w:sz w:val="20"/>
        </w:rPr>
        <w:t>(b) For purposes of calculating the Revolving Credit Facility Net Leverage Ratio, the Collateral Coverage Ratio, the RCF Collateral Coverage Ratio, the Total Net Leverage Ratio, the Fixed Charge Coverage Ratio and the Secured Net Leverage Ratio, in addition to the adjustments provided for in the definition of “Consolidated Adjusted EBITDA” and “Fixed Charge Coverage Ratio” (including any QSC Adjustment), (i) any transaction or series of related transactions that results in a Person becoming a Restricted Subsidiary, (ii) any designation of a Subsidiary as a Restricted Subsidiary or an Unrestricted Subsidiary, (iii) any transaction or series of related transactions that results in a Restricted Subsidiary ceasing to be a Subsidiary of the Borrower, (iv) any acquisition or disposition of any assets constituting a business unit, line of business or division of another Person or a facility or an acquisition or disposition of any Vessel, (v) any incurrence or repayment of Indebtedness and (vi) any payment or Investment permitted by</w:t>
      </w:r>
      <w:r>
        <w:rPr>
          <w:rFonts w:ascii="Times New Roman" w:hAnsi="Times New Roman"/>
          <w:sz w:val="20"/>
          <w:u w:val="single"/>
        </w:rPr>
        <w:t xml:space="preserve"> Section 7.06</w:t>
      </w:r>
      <w:r>
        <w:rPr>
          <w:rFonts w:ascii="Times New Roman" w:hAnsi="Times New Roman"/>
          <w:sz w:val="20"/>
        </w:rPr>
        <w:t xml:space="preserve"> that have been made or occurred (i) during the applicable Test Period or (ii) (other than for purposes of calculating the Financial Covenants pursuant to</w:t>
      </w:r>
      <w:r>
        <w:rPr>
          <w:rFonts w:ascii="Times New Roman" w:hAnsi="Times New Roman"/>
          <w:sz w:val="20"/>
          <w:u w:val="single"/>
        </w:rPr>
        <w:t xml:space="preserve"> Section 8.01</w:t>
      </w:r>
      <w:r>
        <w:rPr>
          <w:rFonts w:ascii="Times New Roman" w:hAnsi="Times New Roman"/>
          <w:sz w:val="20"/>
        </w:rPr>
        <w:t xml:space="preserve">), subsequent to such Test Period and prior to or simultaneously with the event for which the calculation of any such ratio is made shall be calculated on a </w:t>
      </w:r>
      <w:r>
        <w:rPr>
          <w:rFonts w:ascii="Times New Roman" w:hAnsi="Times New Roman"/>
          <w:i/>
          <w:sz w:val="20"/>
        </w:rPr>
        <w:t xml:space="preserve">pro forma </w:t>
      </w:r>
      <w:r>
        <w:rPr>
          <w:rFonts w:ascii="Times New Roman" w:hAnsi="Times New Roman"/>
          <w:sz w:val="20"/>
        </w:rPr>
        <w:t xml:space="preserve">basis assuming that all such transactions (and any increase or decrease in Consolidated Adjusted EBITDA and the component financial definitions used therein attributable to any such transaction) had occurred on the first day of the applicable Test Period.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Borrower or any Restricted Subsidiary incurs (including by assumption or guarantees) or repays (including by redemption, repayment, retirement or extinguishment) any Indebtedness included in the calculations of the Revolving Credit Facility Net Leverage Ratio, the Collateral Coverage Ratio, the RCF Collateral Coverage Ratio, the Fixed Charge Coverage Ratio, the Total Net Leverage Ratio and the Secured Net Leverage Ratio, as the case may be (in each case, other than, except for purposes of </w:t>
      </w:r>
      <w:r>
        <w:rPr>
          <w:rFonts w:ascii="Times New Roman" w:hAnsi="Times New Roman"/>
          <w:sz w:val="20"/>
          <w:u w:val="single"/>
        </w:rPr>
        <w:t>Article VIII</w:t>
      </w:r>
      <w:r>
        <w:rPr>
          <w:rFonts w:ascii="Times New Roman" w:hAnsi="Times New Roman"/>
          <w:sz w:val="20"/>
        </w:rPr>
        <w:t xml:space="preserve">), (i) during the applicable Test Period or (ii) subsequent to the end of the applicable Test Period and prior to or simultaneously with the event for which the calculation of any such ratio is made, then the Revolving Credit Facility Net Leverage Ratio, the Collateral Coverage Ratio, the RCF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Coverage Ratio, the Fixed Charge Coverage Ratio, the Total Net Leverage Ratio and the Secured Net Leverage Ratio shall be calculated giving pro forma effect to such incurrence or repayment of Indebtedness, to the extent required, as if the same had occurred on the last day of the applicable Test Period with respect to leverage ratios or the first day of such Test Period with respect to the Fixed Charge Coverage Ratio.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or any classification under GAAP of any Person, business, assets or operations in respect of which a definitive agreement for the disposition thereof has been entered into as discontinued operations, no </w:t>
      </w:r>
      <w:r>
        <w:rPr>
          <w:rFonts w:ascii="Times New Roman" w:hAnsi="Times New Roman"/>
          <w:i/>
          <w:sz w:val="20"/>
        </w:rPr>
        <w:t xml:space="preserve">pro forma </w:t>
      </w:r>
      <w:r>
        <w:rPr>
          <w:rFonts w:ascii="Times New Roman" w:hAnsi="Times New Roman"/>
          <w:sz w:val="20"/>
        </w:rPr>
        <w:t xml:space="preserve">effect shall be given to any discontinued operations (and the Consolidated Adjusted EBITDA attributable to any such Person, business, assets or operations shall not be excluded for any purposes hereunder) until such disposition shall have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or any Loan Document to the contrary, </w:t>
      </w:r>
    </w:p>
    <w:p>
      <w:pPr>
        <w:pStyle w:val="TextBody"/>
        <w:bidi w:val="0"/>
        <w:spacing w:before="120" w:after="0"/>
        <w:jc w:val="left"/>
        <w:rPr>
          <w:rFonts w:ascii="Times New Roman" w:hAnsi="Times New Roman"/>
          <w:sz w:val="20"/>
        </w:rPr>
      </w:pPr>
      <w:r>
        <w:rPr>
          <w:rFonts w:ascii="Times New Roman" w:hAnsi="Times New Roman"/>
          <w:sz w:val="20"/>
        </w:rPr>
        <w:t>(i) 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 and the Borrower may, in their sole discretion, at any later time divide, classify or reclassify such transaction (or any portion thereof) in any manner that complies with the available baskets and exceptions hereunder at such later time (</w:t>
      </w:r>
      <w:r>
        <w:rPr>
          <w:rFonts w:ascii="Times New Roman" w:hAnsi="Times New Roman"/>
          <w:i/>
          <w:sz w:val="20"/>
        </w:rPr>
        <w:t xml:space="preserve">provided </w:t>
      </w:r>
      <w:r>
        <w:rPr>
          <w:rFonts w:ascii="Times New Roman" w:hAnsi="Times New Roman"/>
          <w:sz w:val="20"/>
        </w:rPr>
        <w:t xml:space="preserve">that with respect to reclassification of Indebtedness and Liens, any such reclassification shall be subject to the parameters of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7.03</w:t>
      </w:r>
      <w:r>
        <w:rPr>
          <w:rFonts w:ascii="Times New Roman" w:hAnsi="Times New Roman"/>
          <w:sz w:val="20"/>
        </w:rPr>
        <w:t xml:space="preserv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unless the Borrower elects otherwise, if the Borrower or its Restricted Subsidiaries in connection with any transaction or series of related transactions (A) incurs Indebtedness, creates Liens, makes Dispositions, makes Investments, designates any Subsidiary as restricted or unrestricted or repays any Indebtedness or takes any other action under or as permitted by a ratio-based basket and (B) incurs Indebtedness, creates Liens, makes Dispositions, makes Investments, designates any Subsidiary as restricted or unrestricted or repays any Indebtedness or takes any other action under a non-ratio-based basket (which shall occur within five Business Days of the events in </w:t>
      </w:r>
      <w:r>
        <w:rPr>
          <w:rFonts w:ascii="Times New Roman" w:hAnsi="Times New Roman"/>
          <w:sz w:val="20"/>
          <w:u w:val="single"/>
        </w:rPr>
        <w:t>clause (A)</w:t>
      </w:r>
      <w:r>
        <w:rPr>
          <w:rFonts w:ascii="Times New Roman" w:hAnsi="Times New Roman"/>
          <w:sz w:val="20"/>
        </w:rPr>
        <w:t xml:space="preserve"> above), then the applicable ratio will be calculated with respect to any such action under the applicable ratio-based basket without regard to any such action under such non-ratio-based basket made in connection with such transaction or series of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if the Borrower or its Restricted Subsidiaries enters into any revolving, delayed draw or other committed debt facility, the Borrower may elect by written notice to the Administrative Agent (or shall be deemed to have elected with respect to any Incremental Loans) to determine compliance of such debt facility (including the incurrence of Indebtedness and Liens from time to time in connection therewith) with this Agreement and each other Loan Document on the date commitments with respect thereto are first received, assuming the full amount of such facility is incurred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Liens are granted) on such date, in which case such committed amount may thereafter be borrowed or reborrowed, in whole or in part, from time to time, without further compliance with such applicable ratio-based basket hereunder, in lieu of determining such compliance on any subsequent date (including any date on which Indebtedness is incurred pursuant to such facility); provided that, in each case, any future calculation of such ratio-based basket shall only include amounts borrowed and outstanding as of such date of determination, and </w:t>
      </w:r>
    </w:p>
    <w:p>
      <w:pPr>
        <w:pStyle w:val="TextBody"/>
        <w:bidi w:val="0"/>
        <w:spacing w:before="120" w:after="0"/>
        <w:jc w:val="left"/>
        <w:rPr>
          <w:rFonts w:ascii="Times New Roman" w:hAnsi="Times New Roman"/>
          <w:sz w:val="20"/>
        </w:rPr>
      </w:pPr>
      <w:r>
        <w:rPr>
          <w:rFonts w:ascii="Times New Roman" w:hAnsi="Times New Roman"/>
          <w:sz w:val="20"/>
        </w:rPr>
        <w:t xml:space="preserve">(iv) if the Borrower or any Restricted Subsidiary incurs Indebtedness under a ratio-based basket, such ratio-based basket (together with any other ratio-based basket utilized in connection therewith, including in respect of other Indebtedness, Liens, Dispositions, Investments, Permitted Payments or other transactions permitted by </w:t>
      </w:r>
      <w:r>
        <w:rPr>
          <w:rFonts w:ascii="Times New Roman" w:hAnsi="Times New Roman"/>
          <w:sz w:val="20"/>
          <w:u w:val="single"/>
        </w:rPr>
        <w:t>Section 7.06</w:t>
      </w:r>
      <w:r>
        <w:rPr>
          <w:rFonts w:ascii="Times New Roman" w:hAnsi="Times New Roman"/>
          <w:sz w:val="20"/>
        </w:rPr>
        <w:t xml:space="preserve"> or payments in respect of Junior Financing) will be calculated excluding the cash proceeds of such Indebtedness for netting purposes (i.e., such cash proceeds shall not reduce the Borrower’s Consolidated Net Debt or Consolidated Secured Net Debt pursuant to </w:t>
      </w:r>
      <w:r>
        <w:rPr>
          <w:rFonts w:ascii="Times New Roman" w:hAnsi="Times New Roman"/>
          <w:sz w:val="20"/>
          <w:u w:val="single"/>
        </w:rPr>
        <w:t>clause (b)</w:t>
      </w:r>
      <w:r>
        <w:rPr>
          <w:rFonts w:ascii="Times New Roman" w:hAnsi="Times New Roman"/>
          <w:sz w:val="20"/>
        </w:rPr>
        <w:t xml:space="preserve"> of the definition of such </w:t>
      </w:r>
      <w:r>
        <w:rPr>
          <w:rFonts w:ascii="Times New Roman" w:hAnsi="Times New Roman"/>
          <w:strike/>
          <w:color w:val="FF0000"/>
          <w:sz w:val="20"/>
        </w:rPr>
        <w:t>terms</w:t>
      </w:r>
      <w:r>
        <w:rPr>
          <w:rFonts w:ascii="Times New Roman" w:hAnsi="Times New Roman"/>
          <w:color w:val="0000FF"/>
          <w:sz w:val="20"/>
          <w:u w:val="single"/>
          <w:bdr w:val="double" w:sz="2" w:space="1" w:color="000000"/>
        </w:rPr>
        <w:t>term</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actual application of such proceeds may reduce Indebtedness for purposes of determining compliance with any such applicable ratio-based basket. </w:t>
      </w:r>
    </w:p>
    <w:p>
      <w:pPr>
        <w:pStyle w:val="TextBody"/>
        <w:bidi w:val="0"/>
        <w:spacing w:before="240" w:after="0"/>
        <w:jc w:val="left"/>
        <w:rPr>
          <w:rFonts w:ascii="Times New Roman" w:hAnsi="Times New Roman"/>
          <w:sz w:val="20"/>
        </w:rPr>
      </w:pPr>
      <w:r>
        <w:rPr>
          <w:rFonts w:ascii="Times New Roman" w:hAnsi="Times New Roman"/>
          <w:sz w:val="20"/>
        </w:rPr>
        <w:t>(f) Notwithstanding anything in this Agreement or any Loan Document to the contrary, when calculating the availability under any basket or ratio under this Agreement or compliance with any provision of this Agreement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Dispositions), in each case, at the option of the Borrower (the Borrower’s election to exercise such option, an “</w:t>
      </w:r>
      <w:r>
        <w:rPr>
          <w:rFonts w:ascii="Times New Roman" w:hAnsi="Times New Roman"/>
          <w:b/>
          <w:sz w:val="20"/>
        </w:rPr>
        <w:t>LCT Election</w:t>
      </w:r>
      <w:r>
        <w:rPr>
          <w:rFonts w:ascii="Times New Roman" w:hAnsi="Times New Roman"/>
          <w:sz w:val="20"/>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Agreement shall be deemed to be the date (the “</w:t>
      </w:r>
      <w:r>
        <w:rPr>
          <w:rFonts w:ascii="Times New Roman" w:hAnsi="Times New Roman"/>
          <w:b/>
          <w:sz w:val="20"/>
        </w:rPr>
        <w:t>LCT Test Date</w:t>
      </w:r>
      <w:r>
        <w:rPr>
          <w:rFonts w:ascii="Times New Roman" w:hAnsi="Times New Roman"/>
          <w:sz w:val="20"/>
        </w:rPr>
        <w:t xml:space="preserve">”) the definitive agreement for such Limited Condition Transaction is entered into (or, if applicable, the date of delivery of an irrevocable declaration of a Restricted Payment or similar event)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Dispositions) and any related pro forma adjustments, the Borrower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Times New Roman" w:hAnsi="Times New Roman"/>
          <w:i/>
          <w:sz w:val="20"/>
        </w:rPr>
        <w:t>provided</w:t>
      </w:r>
      <w:r>
        <w:rPr>
          <w:rFonts w:ascii="Times New Roman" w:hAnsi="Times New Roman"/>
          <w:sz w:val="20"/>
        </w:rPr>
        <w:t xml:space="preserve">, that (a) if financial statements for one or more fiscal quarters shall have subsequently become available, the Borrower may elect, in its sole discretion, to redetermine all such ratios, tests or baskets on the basis of such financial statements, in which case, such date of redetermination shall thereafter be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LCT Test Date for purposes of such ratios, tests or baskets, (b) except as contemplated in the foregoing </w:t>
      </w:r>
      <w:r>
        <w:rPr>
          <w:rFonts w:ascii="Times New Roman" w:hAnsi="Times New Roman"/>
          <w:sz w:val="20"/>
          <w:u w:val="single"/>
        </w:rPr>
        <w:t>clause (a)</w:t>
      </w:r>
      <w:r>
        <w:rPr>
          <w:rFonts w:ascii="Times New Roman" w:hAnsi="Times New Roman"/>
          <w:sz w:val="20"/>
        </w:rPr>
        <w:t xml:space="preserve">,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Dispositions) and (c) Consolidated Interest Expense for purposes of the Fixed Charge Coverage Ratio will be calculated using an assumed interest rate as reasonably determined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determining the maturity date of any Indebtedness, customary bridge loans that are subject to customary conditions (including no payment or bankruptcy event of default) that would either automatically be extended as, converted into or required to be exchanged for permanent refinancing shall be deemed to have the maturity date as so extended, converted or exchanged.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Currency Equivalents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determining compliance with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7.03</w:t>
      </w:r>
      <w:r>
        <w:rPr>
          <w:rFonts w:ascii="Times New Roman" w:hAnsi="Times New Roman"/>
          <w:sz w:val="20"/>
        </w:rPr>
        <w:t xml:space="preserve"> with respect to any amount of Lien, Indebtedness or Investment in a currency other than Dollars, no Default or Event of Default shall be deemed to have occurred solely as a result of changes in rates of currency exchange occurring after the time such Lien, Indebtedness or Investment is incurred (so long as such Indebtedness or Investment, at the time incurred, made or acquired, was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shall be based on the rate of exchange between the applicable currency and Dollars as reasonably determined by the Borrower, in each case in effect on the Business Day immediately preceding the date of such transaction or determination (subject to </w:t>
      </w:r>
      <w:r>
        <w:rPr>
          <w:rFonts w:ascii="Times New Roman" w:hAnsi="Times New Roman"/>
          <w:sz w:val="20"/>
          <w:u w:val="single"/>
        </w:rPr>
        <w:t>clauses (c)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below) and shall not be affected by subsequent fluctuations in exchange rates. For the avoidance of doubt, the Financial Covenants, the Revolving Credit Facility Net Leverage Ratio, Collateral Coverage Ratio, the RCF Collateral Coverage Ratio, the Total Net Leverage Ratio, the Secured Net Leverage Ratio and the Fixed Charge Coverage Ratio, including Consolidated Adjusted EBITDA, shall not be recalculated following any such fluctuation in exchange rate to provide for additional Dollar-equivalent principal amount of Indebtedness to be incurred or otherwise affected by subsequent fluctuations in exchange rates to provide for additional basket capacity.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LCT Election, on the date of the applicable LCT Test Date); </w:t>
      </w:r>
      <w:r>
        <w:rPr>
          <w:rFonts w:ascii="Times New Roman" w:hAnsi="Times New Roman"/>
          <w:i/>
          <w:sz w:val="20"/>
        </w:rPr>
        <w:t>provided</w:t>
      </w:r>
      <w:r>
        <w:rPr>
          <w:rFonts w:ascii="Times New Roman" w:hAnsi="Times New Roman"/>
          <w:sz w:val="20"/>
        </w:rPr>
        <w:t xml:space="preserve"> that, if such Indebtedness is incurred to refinance other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(d) For purposes of determining the Revolving Credit Facility Net Leverage Ratio, Collateral Coverage Ratio, the RCF Collateral Coverage Ratio, the Total Net Leverage Ratio, the Secured Net Leverage Ratio, the Total Net Leverage Ratio and the Fixed Charge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Borrower for the applicable Test Period for which such measurement is being made, and will reflect the currency translation effects, determined in accordance with GAAP, of Hedge Agreements permitted hereunder for currency exchange risks with respect to the applicable currency in effect on the date of determination of the Dollar equivalent of such Indebtedness.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u w:val="single"/>
        </w:rPr>
        <w:t>The Commitments and Borrowings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Revolving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Revolving Loan Commitment</w:t>
      </w:r>
      <w:r>
        <w:rPr>
          <w:rFonts w:ascii="Times New Roman" w:hAnsi="Times New Roman"/>
          <w:sz w:val="20"/>
        </w:rPr>
        <w:t>. During the Commitment Period, subject to the terms and conditions hereof, each Lender severally agrees to make revolving loans to the Borrower from time to time on any Business Day in Dollars (“</w:t>
      </w:r>
      <w:r>
        <w:rPr>
          <w:rFonts w:ascii="Times New Roman" w:hAnsi="Times New Roman"/>
          <w:b/>
          <w:sz w:val="20"/>
        </w:rPr>
        <w:t>Revolving Loans</w:t>
      </w:r>
      <w:r>
        <w:rPr>
          <w:rFonts w:ascii="Times New Roman" w:hAnsi="Times New Roman"/>
          <w:sz w:val="20"/>
        </w:rPr>
        <w:t xml:space="preserve">”) in an aggregate amount up to but not exceeding such Lender’s Commitment; </w:t>
      </w:r>
      <w:r>
        <w:rPr>
          <w:rFonts w:ascii="Times New Roman" w:hAnsi="Times New Roman"/>
          <w:i/>
          <w:sz w:val="20"/>
        </w:rPr>
        <w:t>provided</w:t>
      </w:r>
      <w:r>
        <w:rPr>
          <w:rFonts w:ascii="Times New Roman" w:hAnsi="Times New Roman"/>
          <w:sz w:val="20"/>
        </w:rPr>
        <w:t xml:space="preserve">, that after giving effect to the making of any Revolving Loans in no event shall the Total Utilization of Commitments exceed the Commitments then in effect. Amounts borrowed pursuant to this </w:t>
      </w:r>
      <w:r>
        <w:rPr>
          <w:rFonts w:ascii="Times New Roman" w:hAnsi="Times New Roman"/>
          <w:sz w:val="20"/>
          <w:u w:val="single"/>
        </w:rPr>
        <w:t>Section 2.02(a)</w:t>
      </w:r>
      <w:r>
        <w:rPr>
          <w:rFonts w:ascii="Times New Roman" w:hAnsi="Times New Roman"/>
          <w:sz w:val="20"/>
        </w:rPr>
        <w:t xml:space="preserve"> may be repaid and reborrowed during the Commitment Period. Each Lender’s Commitment shall expire on the Commitment Termination Date, and all Revolving Loans and all other amounts owed hereunder with respect to the Revolving Loans and the Commitments shall be paid in full no later than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Borrowing Mechanics for Revolving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w:t>
      </w:r>
      <w:r>
        <w:rPr>
          <w:rFonts w:ascii="Times New Roman" w:hAnsi="Times New Roman"/>
          <w:sz w:val="20"/>
          <w:u w:val="single"/>
        </w:rPr>
        <w:t>Article IV</w:t>
      </w:r>
      <w:r>
        <w:rPr>
          <w:rFonts w:ascii="Times New Roman" w:hAnsi="Times New Roman"/>
          <w:sz w:val="20"/>
        </w:rPr>
        <w:t xml:space="preserve">, each Borrowing of Revolving Loans shall be made upon the Borrower’s irrevocable notice to the Administrative Agent, which may only be given in writing. Each such notice must be received by the Administrative Agent not later than (A) 1:00 p.m. three Business Days prior to the requested date of any Borrowing of SOFR Rate Loans, and (B) 1:00 p.m. one Business Day prior to the requested date of any Borrowing of Base Rate Loans. Each notice by the Borrower pursuant to this </w:t>
      </w:r>
      <w:r>
        <w:rPr>
          <w:rFonts w:ascii="Times New Roman" w:hAnsi="Times New Roman"/>
          <w:sz w:val="20"/>
          <w:u w:val="single"/>
        </w:rPr>
        <w:t>Section 2.02(b)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must be delivered to the Administrative Agent in the form of a Committed Loan Notice, appropriately completed and signed by a Responsible Officer of the Borrower. Each Borrowing of SOFR Rate Loans shall be in a minimum principal amount of $500,000 or a whole multiple of $100,000 in excess thereof. Each Borrowing of Base Rate Loans shall be in a minimum principal amount of $500,000 or a whole multiple of $100,000 in excess thereof. Each Committed Loan Notice shall specify (1) the requested date of the Borrowing (which shall be a Business Day), (2) the principal amount of Revolving Loans to be borrowed, (3) the Type of Revolving Loans to be borrowed and (4) if applicable, the duration of the Interest Period with respect thereto. If the Borrower fails to specify a Type of Revolving Loan in a Committed Loan Notice, then in the case of Revolving Loans, the applicable Revolving Loans shall be made as Base Rate Loans. If the Borrower requests a Borrowing of SOFR Rate Loans in any such Committed Loan Notice, but fails to specify an Interest Period for such SOFR Rate Loans, the Borrower will be deemed to have specified an Interest Period of one month. </w:t>
      </w:r>
    </w:p>
    <w:p>
      <w:pPr>
        <w:pStyle w:val="TextBody"/>
        <w:bidi w:val="0"/>
        <w:spacing w:before="120" w:after="0"/>
        <w:jc w:val="left"/>
        <w:rPr>
          <w:rFonts w:ascii="Times New Roman" w:hAnsi="Times New Roman"/>
          <w:sz w:val="20"/>
        </w:rPr>
      </w:pPr>
      <w:r>
        <w:rPr>
          <w:rFonts w:ascii="Times New Roman" w:hAnsi="Times New Roman"/>
          <w:sz w:val="20"/>
        </w:rPr>
        <w:t xml:space="preserve">(ii) Following receipt of a Committed Loan Notice, the Administrative Agent shall promptly notify each Lender of the amount of its Pro Rata Share of the applicable Revolving Loans. In the case of each Borrowing, each Appropriate Lender shall make the amount of its Revolving Loan available to the Administrative Agent in Same Day Funds at the Administrative Agent’s Office not later than 1:00 p.m., on the Business Day specified in the applicable Committed Loan Notice. Upon satisfaction of the applicable conditions set forth in </w:t>
      </w:r>
      <w:r>
        <w:rPr>
          <w:rFonts w:ascii="Times New Roman" w:hAnsi="Times New Roman"/>
          <w:sz w:val="20"/>
          <w:u w:val="single"/>
        </w:rPr>
        <w:t>Article IV</w:t>
      </w:r>
      <w:r>
        <w:rPr>
          <w:rFonts w:ascii="Times New Roman" w:hAnsi="Times New Roman"/>
          <w:sz w:val="20"/>
        </w:rPr>
        <w:t xml:space="preserve">, the Administrative Agent shall make all funds so received available to the Borrower in like funds as received by the Administrative Agent by wire transfer of such funds, in each case in accordance with instructions provided to (and reasonably acceptable to) the Administrative Agent by the Borrower;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on the date the Committed Loan Notice with respect to such Borrowing is given by the Borrower, there are Reimbursement Obligations outstanding, then the proceeds of such Borrowing shall be applied, </w:t>
      </w:r>
      <w:r>
        <w:rPr>
          <w:rFonts w:ascii="Times New Roman" w:hAnsi="Times New Roman"/>
          <w:sz w:val="20"/>
          <w:u w:val="single"/>
        </w:rPr>
        <w:t>first</w:t>
      </w:r>
      <w:r>
        <w:rPr>
          <w:rFonts w:ascii="Times New Roman" w:hAnsi="Times New Roman"/>
          <w:sz w:val="20"/>
        </w:rPr>
        <w:t xml:space="preserve">, to the payment in full of any such Reimbursement Obligations, and </w:t>
      </w:r>
      <w:r>
        <w:rPr>
          <w:rFonts w:ascii="Times New Roman" w:hAnsi="Times New Roman"/>
          <w:sz w:val="20"/>
          <w:u w:val="single"/>
        </w:rPr>
        <w:t>second</w:t>
      </w:r>
      <w:r>
        <w:rPr>
          <w:rFonts w:ascii="Times New Roman" w:hAnsi="Times New Roman"/>
          <w:sz w:val="20"/>
        </w:rPr>
        <w:t xml:space="preserve">, to the Borrower as provided above. </w:t>
      </w:r>
    </w:p>
    <w:p>
      <w:pPr>
        <w:pStyle w:val="TextBody"/>
        <w:bidi w:val="0"/>
        <w:spacing w:before="120" w:after="0"/>
        <w:jc w:val="left"/>
        <w:rPr>
          <w:rFonts w:ascii="Times New Roman" w:hAnsi="Times New Roman"/>
          <w:sz w:val="20"/>
        </w:rPr>
      </w:pPr>
      <w:r>
        <w:rPr>
          <w:rFonts w:ascii="Times New Roman" w:hAnsi="Times New Roman"/>
          <w:sz w:val="20"/>
        </w:rPr>
        <w:t xml:space="preserve">(iii) The failure of any Lender to make the Revolving Loan to be made by it as part of any Borrowing shall not relieve any other Lender of its obligation, if any, hereunder to make its Revolving Loan on the date of such Borrowing, but no Lender shall be responsible for the failure of any other Lender to make the Revolving Loan to be made by such other Lender on the date of any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Issuance of Letters of Credit and Purchase of Participations Therein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Letter of Credit Commitment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the terms and conditions set forth herein, (A) each Issuing Bank agrees, in reliance upon the agreements of the Revolving Lenders set forth in this </w:t>
      </w:r>
      <w:r>
        <w:rPr>
          <w:rFonts w:ascii="Times New Roman" w:hAnsi="Times New Roman"/>
          <w:sz w:val="20"/>
          <w:u w:val="single"/>
        </w:rPr>
        <w:t>Section 2.04</w:t>
      </w:r>
      <w:r>
        <w:rPr>
          <w:rFonts w:ascii="Times New Roman" w:hAnsi="Times New Roman"/>
          <w:sz w:val="20"/>
        </w:rPr>
        <w:t xml:space="preserve">, (1) from time to time on any Business Day during the Commitment Period on or prior to the fifth Business Day prior to the Commitment Termination Date, to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Letters of Credit for the account of the Borrower, subject to satisfactory receipt of such information and documentation reasonably requested by the Administrative Agent or any Lender in order to comply with applicable “know your customer” and anti-money laundering rules and regulations, including the USA PATRIOT Act or a Restricted Subsidiary (</w:t>
      </w:r>
      <w:r>
        <w:rPr>
          <w:rFonts w:ascii="Times New Roman" w:hAnsi="Times New Roman"/>
          <w:i/>
          <w:sz w:val="20"/>
        </w:rPr>
        <w:t xml:space="preserve">provided </w:t>
      </w:r>
      <w:r>
        <w:rPr>
          <w:rFonts w:ascii="Times New Roman" w:hAnsi="Times New Roman"/>
          <w:sz w:val="20"/>
        </w:rPr>
        <w:t xml:space="preserve">that any Letter of Credit issued for the benefit of any Restricted Subsidiary shall be issued for the account of the Borrower but such Letter of Credit shall indicate that it is being issued for the benefit of such Restricted Subsidiary, as applicable) and to amend, renew or extend Letters of Credit previously issued by it, in accordance with </w:t>
      </w:r>
      <w:r>
        <w:rPr>
          <w:rFonts w:ascii="Times New Roman" w:hAnsi="Times New Roman"/>
          <w:sz w:val="20"/>
          <w:u w:val="single"/>
        </w:rPr>
        <w:t>Section 2.04(b)</w:t>
      </w:r>
      <w:r>
        <w:rPr>
          <w:rFonts w:ascii="Times New Roman" w:hAnsi="Times New Roman"/>
          <w:sz w:val="20"/>
        </w:rPr>
        <w:t xml:space="preserve"> and (2) to honor drawings under the Letters of Credit; and (B) the Revolving Lenders severally agree to participate in such Letters of Credit and any drawings thereunder; </w:t>
      </w:r>
      <w:r>
        <w:rPr>
          <w:rFonts w:ascii="Times New Roman" w:hAnsi="Times New Roman"/>
          <w:i/>
          <w:sz w:val="20"/>
        </w:rPr>
        <w:t xml:space="preserve">provided </w:t>
      </w:r>
      <w:r>
        <w:rPr>
          <w:rFonts w:ascii="Times New Roman" w:hAnsi="Times New Roman"/>
          <w:sz w:val="20"/>
        </w:rPr>
        <w:t xml:space="preserve">that the Issuing Banks shall not be obligated to make any Letter of Credit Extension if, as of the date of such Letter of Credit Extension, (1) the Total Utilization of Commitments would exceed the Commitments, (2) the Total Utilization of Commitments of any Revolving Lender would exceed such Lender’s Commitment, (3) the Letter of Credit Usage would exceed the Letter of Credit Sublimit or (4) the Letter of Credit Usage with respect to Letters of Credit issued by such Issuing Bank would exceed the amount of such Issuing Bank’s Letter of Credit Percentage of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On and after the Closing Date, each Existing Letter of Credit shall be deemed to be a Letter of Credit issued hereunder on the Closing Date for all purposes under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An Issuing Bank shall not be under any obligation to issue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(A) 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(for which such Issuing Bank is not otherwise compensated hereunder); </w:t>
      </w:r>
    </w:p>
    <w:p>
      <w:pPr>
        <w:pStyle w:val="TextBody"/>
        <w:bidi w:val="0"/>
        <w:spacing w:before="120" w:after="0"/>
        <w:jc w:val="left"/>
        <w:rPr>
          <w:rFonts w:ascii="Times New Roman" w:hAnsi="Times New Roman"/>
          <w:sz w:val="20"/>
        </w:rPr>
      </w:pPr>
      <w:r>
        <w:rPr>
          <w:rFonts w:ascii="Times New Roman" w:hAnsi="Times New Roman"/>
          <w:sz w:val="20"/>
        </w:rPr>
        <w:t xml:space="preserve">(B) the issuance of such Letter of Credit would violate one or more policies of such Issuing Bank applicable to letters of credit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agreed by the Administrative Agent and such Issuing Bank, such Letter of Credit is in an initial stated amount less than $10,000;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 xml:space="preserve">(E) such Letter of Credit contains any provisions for automatic reinstatement of the stated amount after any drawing thereunder; and </w:t>
      </w:r>
    </w:p>
    <w:p>
      <w:pPr>
        <w:pStyle w:val="TextBody"/>
        <w:bidi w:val="0"/>
        <w:spacing w:before="120" w:after="0"/>
        <w:jc w:val="left"/>
        <w:rPr>
          <w:rFonts w:ascii="Times New Roman" w:hAnsi="Times New Roman"/>
          <w:sz w:val="20"/>
        </w:rPr>
      </w:pPr>
      <w:r>
        <w:rPr>
          <w:rFonts w:ascii="Times New Roman" w:hAnsi="Times New Roman"/>
          <w:sz w:val="20"/>
        </w:rPr>
        <w:t xml:space="preserve">(F) any Revolving Lender is at such time a Defaulting Lender, unless such Issuing Bank has entered into arrangements, including reallocation of such Lender’s Pro Rata Share of the outstanding Letter of Credit Obligations pursuant to </w:t>
      </w:r>
      <w:r>
        <w:rPr>
          <w:rFonts w:ascii="Times New Roman" w:hAnsi="Times New Roman"/>
          <w:sz w:val="20"/>
          <w:u w:val="single"/>
        </w:rPr>
        <w:t>Section 2.20(a)(iii)</w:t>
      </w:r>
      <w:r>
        <w:rPr>
          <w:rFonts w:ascii="Times New Roman" w:hAnsi="Times New Roman"/>
          <w:sz w:val="20"/>
        </w:rPr>
        <w:t xml:space="preserve"> or the delivery of Cash Collateral, satisfactory to such Issuing Bank (in its sole discretion) with the Borrower or such Lender to eliminate such Issuing Bank’s actual or potential Fronting Exposure (after giving effect to</w:t>
      </w:r>
      <w:r>
        <w:rPr>
          <w:rFonts w:ascii="Times New Roman" w:hAnsi="Times New Roman"/>
          <w:sz w:val="20"/>
          <w:u w:val="single"/>
        </w:rPr>
        <w:t xml:space="preserve"> Section 2.20(a)(iii)</w:t>
      </w:r>
      <w:r>
        <w:rPr>
          <w:rFonts w:ascii="Times New Roman" w:hAnsi="Times New Roman"/>
          <w:sz w:val="20"/>
        </w:rPr>
        <w:t xml:space="preserve">) with respect to such Lender arising from either the Letter of Credit then proposed to be issued or such Letter of Credit and all other Letter of Credit Obligations as to which such Issuing Bank has actual or potential Fronting Exposure, as it may elect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(iii) No Issuing Bank shall be under any obligation to amend or extend any Letter of Credit if (A) such Issuing Bank would have no obligation at such time to issue the Letter of Credit in its amended form under the terms hereof or (B) the beneficiary of such Letter of Credit does not accept the proposed amendment thereto. </w:t>
      </w:r>
    </w:p>
    <w:p>
      <w:pPr>
        <w:pStyle w:val="TextBody"/>
        <w:bidi w:val="0"/>
        <w:spacing w:before="120" w:after="0"/>
        <w:jc w:val="left"/>
        <w:rPr>
          <w:rFonts w:ascii="Times New Roman" w:hAnsi="Times New Roman"/>
          <w:sz w:val="20"/>
        </w:rPr>
      </w:pPr>
      <w:r>
        <w:rPr>
          <w:rFonts w:ascii="Times New Roman" w:hAnsi="Times New Roman"/>
          <w:sz w:val="20"/>
        </w:rPr>
        <w:t xml:space="preserve">(iv) Unless Cash Collateralized or backstopped pursuant to arrangements reasonably acceptable to the applicable Issuing Bank, each standby Letter of Credit shall expire at or prior to the close of business on the earlier of (A) the date twelve months after the date of issuance of such Letter of Credit (or, in the case of any Auto-Renewal Letter of Credit, twelve months after the then current expiration date of such Letter of Credit) and (B) the Letter of Credit Expiration Date (unless arrangements reasonably satisfactory to the Issuing Banks have been entered into).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Issuance and Amendment of Letters of Credit; Auto Renewal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1:00 p.m. at least five Business Days (or such shorter period as the applicable Issuing Bank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Bank (A) the proposed issuance date of the requested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requested Letter of Credit will be denominated (which must be Dollars or any other currency agreed to by the Borrower and the applicable Issuing Bank in its sole discretion) and (H) such other matters as the applicable Issuing Bank may reasonably request. In the case of a request for an amendment of any outstanding Letter of Credit, the Letter of Credit Application shall specify in form and detail reasonably satisfactory to the applicable Issuing Bank (1) the Letter of Credit to be amended; (2) the proposed date of amendment thereof (which shall be a Business Day); and (3) the nature of the proposed amendment. Additionally, the Borrower shall furnish to the applicable Issuing Bank and the Administrative Agent such other documents and information pertaining to such requested Letter of Credit issuance or amendment, including any Letter of Credit Documents, as the applicable Issuing Bank or the Administrative Agent may reasonably require. </w:t>
      </w:r>
    </w:p>
    <w:p>
      <w:pPr>
        <w:pStyle w:val="TextBody"/>
        <w:bidi w:val="0"/>
        <w:spacing w:before="120" w:after="0"/>
        <w:jc w:val="left"/>
        <w:rPr>
          <w:rFonts w:ascii="Times New Roman" w:hAnsi="Times New Roman"/>
          <w:sz w:val="20"/>
        </w:rPr>
      </w:pPr>
      <w:r>
        <w:rPr>
          <w:rFonts w:ascii="Times New Roman" w:hAnsi="Times New Roman"/>
          <w:sz w:val="20"/>
        </w:rPr>
        <w:t xml:space="preserve">(ii) Promptly after receipt of any Letter of Credit Application, the applicable Issuing Bank will confirm with the Administrative Agent that the Administrative Agent has received a copy of such Letter of Credit Application from the Borrower and, if not, the applicable Issuing Bank will provide the Administrative Agent with a copy thereof. Upon receipt by the applicable Issuing Bank of confirmation from the Administrative Agent that the requested issuance or amendment is permitted in accordance with the terms hereof, then, subject to the terms and conditions set forth herein, such Issuing Bank shall, on the requested date, issue a Letter of Credit for the account of the Borrower or enter into the applicable amendment, as the case may be. Immediately upon the issuance of each Letter of Credit, each Revolving Lender shall be deemed to, and hereby irrevocably and unconditionally agrees to, purchase from the applicable Issuing Bank a participation in such Letter of Credit in an amount equal to such Lender’s Pro Rata Share of the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(iii) If the Borrower so requests in any applicable Letter of Credit Application for a standby Letter of Credit, the applicable Issuing Bank may, in its reasonable discretion, agree to issue a standby Letter of Credit that has automatic renewal provisions (each, an “</w:t>
      </w:r>
      <w:r>
        <w:rPr>
          <w:rFonts w:ascii="Times New Roman" w:hAnsi="Times New Roman"/>
          <w:b/>
          <w:sz w:val="20"/>
        </w:rPr>
        <w:t>Auto-Renewal Letter of Credit</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that any such Auto-Renewal Letter of Credit shall permit such Issuing Bank to prevent any such renewal at least once in each twelve-month period (commencing with the date of issuance of such Letter of Credit) by giving prior notice to the beneficiary thereof not later than a day (the “</w:t>
      </w:r>
      <w:r>
        <w:rPr>
          <w:rFonts w:ascii="Times New Roman" w:hAnsi="Times New Roman"/>
          <w:b/>
          <w:sz w:val="20"/>
        </w:rPr>
        <w:t>Nonrenewal Notice Date</w:t>
      </w:r>
      <w:r>
        <w:rPr>
          <w:rFonts w:ascii="Times New Roman" w:hAnsi="Times New Roman"/>
          <w:sz w:val="20"/>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Letter of Credit Expiration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Issuing Bank shall (A) permit any such renewal if (1) such Issuing Bank has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it would not be permitted at such time to issue such Letter of Credit in its renewed form under the terms hereof (by reason of the provisions of </w:t>
      </w:r>
      <w:r>
        <w:rPr>
          <w:rFonts w:ascii="Times New Roman" w:hAnsi="Times New Roman"/>
          <w:sz w:val="20"/>
          <w:u w:val="single"/>
        </w:rPr>
        <w:t>clause (ii)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of </w:t>
      </w:r>
      <w:r>
        <w:rPr>
          <w:rFonts w:ascii="Times New Roman" w:hAnsi="Times New Roman"/>
          <w:sz w:val="20"/>
          <w:u w:val="single"/>
        </w:rPr>
        <w:t>Section 2.04(a)</w:t>
      </w:r>
      <w:r>
        <w:rPr>
          <w:rFonts w:ascii="Times New Roman" w:hAnsi="Times New Roman"/>
          <w:sz w:val="20"/>
        </w:rPr>
        <w:t xml:space="preserve"> or otherwise) or (2) it has received written notice on or before the day that is seven Business Days before the Nonrenewal Notice Date from the Administrative Agent that the Required Lenders have elected not to permit such renewal or (B) be obligated to permit such renewal if it has received written notice on or before the day that is seven Business Days before the Nonrenewal Notice Date from the Administrative Agent, any Revolving Lender or the Borrower that one or more of the applicable conditions set forth in</w:t>
      </w:r>
      <w:r>
        <w:rPr>
          <w:rFonts w:ascii="Times New Roman" w:hAnsi="Times New Roman"/>
          <w:sz w:val="20"/>
          <w:u w:val="single"/>
        </w:rPr>
        <w:t xml:space="preserve"> Section 4.03</w:t>
      </w:r>
      <w:r>
        <w:rPr>
          <w:rFonts w:ascii="Times New Roman" w:hAnsi="Times New Roman"/>
          <w:sz w:val="20"/>
        </w:rPr>
        <w:t xml:space="preserve"> is not then satisfied, and in each such case directing the applicable Issuing Bank not to permit such renewal. </w:t>
      </w:r>
    </w:p>
    <w:p>
      <w:pPr>
        <w:pStyle w:val="TextBody"/>
        <w:bidi w:val="0"/>
        <w:spacing w:before="120" w:after="0"/>
        <w:jc w:val="left"/>
        <w:rPr>
          <w:rFonts w:ascii="Times New Roman" w:hAnsi="Times New Roman"/>
          <w:sz w:val="20"/>
        </w:rPr>
      </w:pPr>
      <w:r>
        <w:rPr>
          <w:rFonts w:ascii="Times New Roman" w:hAnsi="Times New Roman"/>
          <w:sz w:val="20"/>
        </w:rPr>
        <w:t xml:space="preserve">(iv) 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Drawings and Reimbursement; Funding of 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Upon receipt from the beneficiary of any Letter of Credit of any notice of a drawing under such Letter of Credit, the applicable Issuing Bank shall notify the Borrower and the Administrative Agent thereof, and such Issuing Bank shall, within a reasonable time following its receipt thereof, examine all documents purporting to represent a demand for payment under such Letter of Credit. If an Issuing Bank notifies the Borrower of any payment by such Issuing Bank under a Letter of Credit, then the Borrower shall reimburse such Issuing Bank in an amount equal to the amount of such drawing not later than 3:00 p.m. on the next succeeding Business Day. If the Borrower fails to so reimburse such Issuing Bank by such time, such Issuing Bank shall promptly notify the Administrative Agent of such failure and the Administrative Agent shall promptly thereafter notify each Revolving Lender of such payment date, the amount of the unreimbursed drawing (the “</w:t>
      </w:r>
      <w:r>
        <w:rPr>
          <w:rFonts w:ascii="Times New Roman" w:hAnsi="Times New Roman"/>
          <w:b/>
          <w:sz w:val="20"/>
        </w:rPr>
        <w:t>Reimbursement Obligations</w:t>
      </w:r>
      <w:r>
        <w:rPr>
          <w:rFonts w:ascii="Times New Roman" w:hAnsi="Times New Roman"/>
          <w:sz w:val="20"/>
        </w:rPr>
        <w:t xml:space="preserve">”) and the amount of such Lender’s Pro Rata Share thereof. In such event, the Borrower shall be deemed to have requested a Revolving Loan Borrowing of Base Rate Loans to be disbursed on such date in an amount equal to such Reimbursement Obligation, without regard to the minimum and multiples specified in </w:t>
      </w:r>
      <w:r>
        <w:rPr>
          <w:rFonts w:ascii="Times New Roman" w:hAnsi="Times New Roman"/>
          <w:sz w:val="20"/>
          <w:u w:val="single"/>
        </w:rPr>
        <w:t>Section 2.02(b)</w:t>
      </w:r>
      <w:r>
        <w:rPr>
          <w:rFonts w:ascii="Times New Roman" w:hAnsi="Times New Roman"/>
          <w:sz w:val="20"/>
        </w:rPr>
        <w:t xml:space="preserve"> for the principal amount of Base Rate Loans to be disbursed on such date in an amount equal to the Dollar Amount of such Reimbursement Obligation. Any notice given by an Issuing Bank or the Administrative Agent pursuant to this </w:t>
      </w:r>
      <w:r>
        <w:rPr>
          <w:rFonts w:ascii="Times New Roman" w:hAnsi="Times New Roman"/>
          <w:sz w:val="20"/>
          <w:u w:val="single"/>
        </w:rPr>
        <w:t>clause (i)</w:t>
      </w:r>
      <w:r>
        <w:rPr>
          <w:rFonts w:ascii="Times New Roman" w:hAnsi="Times New Roman"/>
          <w:sz w:val="20"/>
        </w:rPr>
        <w:t xml:space="preserve"> shall be given in writing. </w:t>
      </w:r>
    </w:p>
    <w:p>
      <w:pPr>
        <w:pStyle w:val="TextBody"/>
        <w:bidi w:val="0"/>
        <w:spacing w:before="120" w:after="0"/>
        <w:jc w:val="left"/>
        <w:rPr>
          <w:rFonts w:ascii="Times New Roman" w:hAnsi="Times New Roman"/>
          <w:sz w:val="20"/>
        </w:rPr>
      </w:pPr>
      <w:r>
        <w:rPr>
          <w:rFonts w:ascii="Times New Roman" w:hAnsi="Times New Roman"/>
          <w:sz w:val="20"/>
        </w:rPr>
        <w:t xml:space="preserve">(ii) Each Revolving Lender (including each Revolving Lender acting as an Issuing Bank) shall upon any notice pursuant to </w:t>
      </w:r>
      <w:r>
        <w:rPr>
          <w:rFonts w:ascii="Times New Roman" w:hAnsi="Times New Roman"/>
          <w:sz w:val="20"/>
          <w:u w:val="single"/>
        </w:rPr>
        <w:t>Section 2.04(c)(i)</w:t>
      </w:r>
      <w:r>
        <w:rPr>
          <w:rFonts w:ascii="Times New Roman" w:hAnsi="Times New Roman"/>
          <w:sz w:val="20"/>
        </w:rPr>
        <w:t xml:space="preserve"> make funds available (and the Administrative Agent may apply Cash Collateral provided for this purpose) for the account of the applicable Issuing Bank, in Dollars at the Administrative Agent’s Office in an amount equal to its Pro Rata Share of the relevant Reimbursement Obligation not later than 3:00 p.m. on the Business Day specified in such notice by the Administrative Agent, whereupon, subject to the provisions of </w:t>
      </w:r>
      <w:r>
        <w:rPr>
          <w:rFonts w:ascii="Times New Roman" w:hAnsi="Times New Roman"/>
          <w:sz w:val="20"/>
          <w:u w:val="single"/>
        </w:rPr>
        <w:t>Section 2.04(c)(iii)</w:t>
      </w:r>
      <w:r>
        <w:rPr>
          <w:rFonts w:ascii="Times New Roman" w:hAnsi="Times New Roman"/>
          <w:sz w:val="20"/>
        </w:rPr>
        <w:t xml:space="preserve">, each Revolving Lender that so makes funds available shall be deemed to have made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Revolving Loan that is in the case of a Letters of Credit denominated in Dollars or a Base Rate Loan. The Administrative Agent shall remit the funds so received to the applicable Issuing Bank in accordance with the instructions provided to the Administrative Agent by such Issuing Bank (which instructions may include standing payment instructions, which may be updated from time to time by such Issuing Bank, </w:t>
      </w:r>
      <w:r>
        <w:rPr>
          <w:rFonts w:ascii="Times New Roman" w:hAnsi="Times New Roman"/>
          <w:i/>
          <w:sz w:val="20"/>
        </w:rPr>
        <w:t xml:space="preserve">provided </w:t>
      </w:r>
      <w:r>
        <w:rPr>
          <w:rFonts w:ascii="Times New Roman" w:hAnsi="Times New Roman"/>
          <w:sz w:val="20"/>
        </w:rPr>
        <w:t xml:space="preserve">that, unless the Administrative Agent shall otherwise agree, any such update shall not take effect until the Business Day immediately following the date on which such update is provided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any Reimbursement Obligation that is not fully refinanced by a Revolving Loan Borrowing of Base Rate Loans for Letters of Credit denominated in Dollars because the conditions set forth in </w:t>
      </w:r>
      <w:r>
        <w:rPr>
          <w:rFonts w:ascii="Times New Roman" w:hAnsi="Times New Roman"/>
          <w:sz w:val="20"/>
          <w:u w:val="single"/>
        </w:rPr>
        <w:t>Section 4.03</w:t>
      </w:r>
      <w:r>
        <w:rPr>
          <w:rFonts w:ascii="Times New Roman" w:hAnsi="Times New Roman"/>
          <w:sz w:val="20"/>
        </w:rPr>
        <w:t xml:space="preserve"> cannot be satisfied or for any other reason, the Borrower shall be deemed to have incurred from the applicable Issuing Bank a Letter of Credit Borrowing in the amount of the Reimbursement Obligation that is not so refinanced. In such event, each Revolving Lender’s payment to the Administrative Agent for the account of such Issuing Bank pursuant to </w:t>
      </w:r>
      <w:r>
        <w:rPr>
          <w:rFonts w:ascii="Times New Roman" w:hAnsi="Times New Roman"/>
          <w:sz w:val="20"/>
          <w:u w:val="single"/>
        </w:rPr>
        <w:t>Section 2.04(c)(i)</w:t>
      </w:r>
      <w:r>
        <w:rPr>
          <w:rFonts w:ascii="Times New Roman" w:hAnsi="Times New Roman"/>
          <w:sz w:val="20"/>
        </w:rPr>
        <w:t xml:space="preserve"> shall be deemed payment in respect of its participation in such Letter of Credit Borrowing and shall constitute a Letter of Credit Advance from such Lender in satisfaction of its participation obligation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(iv) Until each Revolving Lender funds its Revolving Loan or Letter of Credit Advance to reimburse the applicable Issuing Bank for any amount drawn under any Letter of Credit, interest in respect of such Lender’s Pro Rata Share of such amount shall be solely for the account of such Issuing Bank. </w:t>
      </w:r>
    </w:p>
    <w:p>
      <w:pPr>
        <w:pStyle w:val="TextBody"/>
        <w:bidi w:val="0"/>
        <w:spacing w:before="120" w:after="0"/>
        <w:jc w:val="left"/>
        <w:rPr>
          <w:rFonts w:ascii="Times New Roman" w:hAnsi="Times New Roman"/>
          <w:sz w:val="20"/>
        </w:rPr>
      </w:pPr>
      <w:r>
        <w:rPr>
          <w:rFonts w:ascii="Times New Roman" w:hAnsi="Times New Roman"/>
          <w:sz w:val="20"/>
        </w:rPr>
        <w:t xml:space="preserve">(v) Each Revolving Lender’s obligations to make Revolving Loans or Letter of Credit Advances to reimburse an Issuing Bank for amounts drawn under Letters of Credit, as contemplated by this </w:t>
      </w:r>
      <w:r>
        <w:rPr>
          <w:rFonts w:ascii="Times New Roman" w:hAnsi="Times New Roman"/>
          <w:sz w:val="20"/>
          <w:u w:val="single"/>
        </w:rPr>
        <w:t>Section 2.04(c)</w:t>
      </w:r>
      <w:r>
        <w:rPr>
          <w:rFonts w:ascii="Times New Roman" w:hAnsi="Times New Roman"/>
          <w:sz w:val="20"/>
        </w:rPr>
        <w:t xml:space="preserve">, shall be absolute and unconditional and shall not be affected by any circumstance, including (A) any setoff, counterclaim, recoupment, defense or other right which such Lender may have against such Issuing Bank, the Borrower or any other Person for any reason whatsoever; (B) the occurrence or continuance of a Default; or (C) any other occurrence, event or condition, whether or not similar to any of the foregoing; </w:t>
      </w:r>
      <w:r>
        <w:rPr>
          <w:rFonts w:ascii="Times New Roman" w:hAnsi="Times New Roman"/>
          <w:i/>
          <w:sz w:val="20"/>
        </w:rPr>
        <w:t xml:space="preserve">provided </w:t>
      </w:r>
      <w:r>
        <w:rPr>
          <w:rFonts w:ascii="Times New Roman" w:hAnsi="Times New Roman"/>
          <w:sz w:val="20"/>
        </w:rPr>
        <w:t xml:space="preserve">that each Revolving Lender’s obligation to make Revolving Loans pursuant to this paragraph (c) is subject to the conditions set forth in </w:t>
      </w:r>
      <w:r>
        <w:rPr>
          <w:rFonts w:ascii="Times New Roman" w:hAnsi="Times New Roman"/>
          <w:sz w:val="20"/>
          <w:u w:val="single"/>
        </w:rPr>
        <w:t>Section 4.03</w:t>
      </w:r>
      <w:r>
        <w:rPr>
          <w:rFonts w:ascii="Times New Roman" w:hAnsi="Times New Roman"/>
          <w:sz w:val="20"/>
        </w:rPr>
        <w:t xml:space="preserve">. No such funding of a participation in any Letter of Credit shall relieve or otherwise impair the obligation of the Borrower to reimburse an Issuing Bank for the amount of any payment made by such Issuing Bank under such Letter of Credit, together with interest as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(vi) If any Revolving Lender fails to make available to the Administrative Agent for the account of the applicable Issuing Bank any amount required to be paid by such Lender pursuant to the foregoing provisions of this paragraph (c) by the time specified in </w:t>
      </w:r>
      <w:r>
        <w:rPr>
          <w:rFonts w:ascii="Times New Roman" w:hAnsi="Times New Roman"/>
          <w:sz w:val="20"/>
          <w:u w:val="single"/>
        </w:rPr>
        <w:t>Section 2.04(c)(ii)</w:t>
      </w:r>
      <w:r>
        <w:rPr>
          <w:rFonts w:ascii="Times New Roman" w:hAnsi="Times New Roman"/>
          <w:sz w:val="20"/>
        </w:rPr>
        <w:t xml:space="preserve">,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available to such Issuing Bank at a rate </w:t>
      </w:r>
      <w:r>
        <w:rPr>
          <w:rFonts w:ascii="Times New Roman" w:hAnsi="Times New Roman"/>
          <w:i/>
          <w:sz w:val="20"/>
        </w:rPr>
        <w:t xml:space="preserve">per annum </w:t>
      </w:r>
      <w:r>
        <w:rPr>
          <w:rFonts w:ascii="Times New Roman" w:hAnsi="Times New Roman"/>
          <w:sz w:val="20"/>
        </w:rPr>
        <w:t xml:space="preserve">equal to the greater of the Federal Funds Rate from time to time in effect and a rate determined by such Issuing Bank in accordance with banking industry rules on interbank compensation, </w:t>
      </w:r>
      <w:r>
        <w:rPr>
          <w:rFonts w:ascii="Times New Roman" w:hAnsi="Times New Roman"/>
          <w:i/>
          <w:sz w:val="20"/>
        </w:rPr>
        <w:t>plus</w:t>
      </w:r>
      <w:r>
        <w:rPr>
          <w:rFonts w:ascii="Times New Roman" w:hAnsi="Times New Roman"/>
          <w:sz w:val="20"/>
        </w:rPr>
        <w:t xml:space="preserve"> any reasonable administrative, processing or similar fees customarily charged by such Issuing Bank in connection with the foregoing. If such Lender pays such amount (with interest and fees as aforesaid), the amount so paid shall constitute such Lender’s Revolving Loan included in the relevant Borrowing or Letter of Credit Advance in respect of the relevant Letter of Credit Borrowing, as the case may be. A certificate of the applicable Issuing Bank submitted to any Revolving Lender (through the Administrative Agent) with respect to any amounts owing under this clause (vi)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Repayment of 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at any time after the applicable Issuing Bank has made payment in respect of any drawing under any Letter of Credit issued by it and has received from any Revolving Lender its Letter of Credit Advance in respect of such payment in accordance with </w:t>
      </w:r>
      <w:r>
        <w:rPr>
          <w:rFonts w:ascii="Times New Roman" w:hAnsi="Times New Roman"/>
          <w:sz w:val="20"/>
          <w:u w:val="single"/>
        </w:rPr>
        <w:t>Section 2.04(c)</w:t>
      </w:r>
      <w:r>
        <w:rPr>
          <w:rFonts w:ascii="Times New Roman" w:hAnsi="Times New Roman"/>
          <w:sz w:val="20"/>
        </w:rPr>
        <w:t xml:space="preserve">, the Administrative Agent receives for the account of such Issuing Bank any payment in respect of the related Reimbursement Obligation, the Administrative Agent will distribute to such Lender its Pro Rata Share thereof (appropriately adjusted, in the case of interest payments, to reflect the period of time during which such Lender’s Letter of Credit Advance was outstanding) in like funds as received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If any payment received by the Administrative Agent for the account of the applicable Issuing Bank pursuant to </w:t>
      </w:r>
      <w:r>
        <w:rPr>
          <w:rFonts w:ascii="Times New Roman" w:hAnsi="Times New Roman"/>
          <w:sz w:val="20"/>
          <w:u w:val="single"/>
        </w:rPr>
        <w:t>Section 2.04(c)(i)</w:t>
      </w:r>
      <w:r>
        <w:rPr>
          <w:rFonts w:ascii="Times New Roman" w:hAnsi="Times New Roman"/>
          <w:sz w:val="20"/>
        </w:rPr>
        <w:t xml:space="preserve"> is required to be returned under any of the circumstances described in </w:t>
      </w:r>
      <w:r>
        <w:rPr>
          <w:rFonts w:ascii="Times New Roman" w:hAnsi="Times New Roman"/>
          <w:sz w:val="20"/>
          <w:u w:val="single"/>
        </w:rPr>
        <w:t>Section 11.06</w:t>
      </w:r>
      <w:r>
        <w:rPr>
          <w:rFonts w:ascii="Times New Roman" w:hAnsi="Times New Roman"/>
          <w:sz w:val="20"/>
        </w:rPr>
        <w:t xml:space="preserve"> (including pursuant to any settlement entered into by such Issuing Bank in its discretion), each Revolving Lender shall pay to the Administrative Agent for the account of such Issuing Bank its Pro Rata Share thereof on demand of the Administrative Agent, </w:t>
      </w:r>
      <w:r>
        <w:rPr>
          <w:rFonts w:ascii="Times New Roman" w:hAnsi="Times New Roman"/>
          <w:i/>
          <w:sz w:val="20"/>
          <w:u w:val="single"/>
        </w:rPr>
        <w:t>plus</w:t>
      </w:r>
      <w:r>
        <w:rPr>
          <w:rFonts w:ascii="Times New Roman" w:hAnsi="Times New Roman"/>
          <w:sz w:val="20"/>
        </w:rPr>
        <w:t xml:space="preserve"> interest thereon from the date of such demand to the date such amount is returned by such Lender at a rate </w:t>
      </w:r>
      <w:r>
        <w:rPr>
          <w:rFonts w:ascii="Times New Roman" w:hAnsi="Times New Roman"/>
          <w:i/>
          <w:sz w:val="20"/>
        </w:rPr>
        <w:t xml:space="preserve">per annum </w:t>
      </w:r>
      <w:r>
        <w:rPr>
          <w:rFonts w:ascii="Times New Roman" w:hAnsi="Times New Roman"/>
          <w:sz w:val="20"/>
        </w:rPr>
        <w:t xml:space="preserve">equal to the Federal Funds Rate from time to time in effect. The obligations of the Revolving Lenders under this </w:t>
      </w:r>
      <w:r>
        <w:rPr>
          <w:rFonts w:ascii="Times New Roman" w:hAnsi="Times New Roman"/>
          <w:sz w:val="20"/>
          <w:u w:val="single"/>
        </w:rPr>
        <w:t>clause (ii)</w:t>
      </w:r>
      <w:r>
        <w:rPr>
          <w:rFonts w:ascii="Times New Roman" w:hAnsi="Times New Roman"/>
          <w:sz w:val="20"/>
        </w:rPr>
        <w:t xml:space="preserv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Obligations Absolute</w:t>
      </w:r>
      <w:r>
        <w:rPr>
          <w:rFonts w:ascii="Times New Roman" w:hAnsi="Times New Roman"/>
          <w:sz w:val="20"/>
        </w:rPr>
        <w:t xml:space="preserve">. The obligation of the Borrower to reimburse the Issuing Banks for each drawing under each Letter of Credit and to repay each Letter of Credit Borrowing shall be absolute, unconditional and irrevocable, and shall be paid strictly in accordance with the terms of this Agreement under all circumstances,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such Letter of Credit or any term or provision thereof, any Loan Document, or any other agreement or instrument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(ii) the existence of any claim, counterclaim, setoff, defense or other right that the Borrower may have at any time against any beneficiary or any transferee of such Letter of Credit (or any Person for whom any such beneficiary or any such transferee may be acting), the Issuing Banks or any other Person, whether in connection with this Agreement, the transactions contemplated hereby or by such Letter of Credit or any agreement or instrument relating thereto, or any unrelated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(iv) any payment by an Issuing Bank under such Letter of Credit against presentation of documents that do not comply strictly with the terms of such Letter of Credit; or any payment made by an Issuing Bank under such Letter of Credit to any Person purporting to be a trustee in bankruptcy, debtor in possession, assignee for the benefit of creditors, liquidator, receiver or other representative of or successor to any beneficiary or any transferee of such Letter of Credit, including arising in connection with any proceeding under any Debtor Relief Law; </w:t>
      </w:r>
    </w:p>
    <w:p>
      <w:pPr>
        <w:pStyle w:val="TextBody"/>
        <w:bidi w:val="0"/>
        <w:spacing w:before="120" w:after="0"/>
        <w:jc w:val="left"/>
        <w:rPr>
          <w:rFonts w:ascii="Times New Roman" w:hAnsi="Times New Roman"/>
          <w:sz w:val="20"/>
        </w:rPr>
      </w:pPr>
      <w:r>
        <w:rPr>
          <w:rFonts w:ascii="Times New Roman" w:hAnsi="Times New Roman"/>
          <w:sz w:val="20"/>
        </w:rPr>
        <w:t xml:space="preserve">(v) any exchange, release or non-perfection of any collateral, or any release or amendment or waiver of or consent to departure from any guarantee, for all or any of the Obligations of the Borrower in respect of such Letter of Credit; or </w:t>
      </w:r>
    </w:p>
    <w:p>
      <w:pPr>
        <w:pStyle w:val="TextBody"/>
        <w:bidi w:val="0"/>
        <w:spacing w:before="120" w:after="0"/>
        <w:jc w:val="left"/>
        <w:rPr>
          <w:rFonts w:ascii="Times New Roman" w:hAnsi="Times New Roman"/>
          <w:sz w:val="20"/>
        </w:rPr>
      </w:pPr>
      <w:r>
        <w:rPr>
          <w:rFonts w:ascii="Times New Roman" w:hAnsi="Times New Roman"/>
          <w:sz w:val="20"/>
        </w:rPr>
        <w:t xml:space="preserve">(vi) any other circumstance or happening whatsoever, whether or not similar to any of the foregoing, including any other circumstance that might otherwise constitute a defense available to, or a discharge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any Issuing Bank and its correspondents unless such notice is given as aforesaid.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Role of Issuing Banks</w:t>
      </w:r>
      <w:r>
        <w:rPr>
          <w:rFonts w:ascii="Times New Roman" w:hAnsi="Times New Roman"/>
          <w:sz w:val="20"/>
        </w:rPr>
        <w:t xml:space="preserve">. Each Revolving Lender and the Borrower agrees that, in paying any drawing under a Letter of Credit, the Issuing Banks shall not have any responsibility to obtain any document (other than any sight draft, certificates and documents expressly required by such Letter of Credit) or to ascertain or inquire as to the validity or accuracy of any document or the authority of the Person executing or delivering any document. None of any Issuing Bank, any Agent Affiliate nor any of the respective correspondents, participants or assignees of any Issuing Bank shall be liable to any Revolving Lender for (i) any action taken or omitted in connection herewith at the request or with the approval of the requisite Revolving Lenders;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of omissions of any beneficiary or transferee with respect to its use of any Letter of Credit; </w:t>
      </w:r>
      <w:r>
        <w:rPr>
          <w:rFonts w:ascii="Times New Roman" w:hAnsi="Times New Roman"/>
          <w:i/>
          <w:sz w:val="20"/>
        </w:rPr>
        <w:t xml:space="preserve">provided </w:t>
      </w:r>
      <w:r>
        <w:rPr>
          <w:rFonts w:ascii="Times New Roman" w:hAnsi="Times New Roman"/>
          <w:sz w:val="20"/>
        </w:rPr>
        <w:t xml:space="preserve">that this assumption is not intended to, and shall not, preclude the Borrower from pursuing such rights and remedies as it may have against the beneficiary or transferee at law or under any other agreement. None of the Issuing Banks, any Agent Affiliate nor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correspondents, participants or assignees of the Issuing Banks shall be liable or responsible for any of the matters described in </w:t>
      </w:r>
      <w:r>
        <w:rPr>
          <w:rFonts w:ascii="Times New Roman" w:hAnsi="Times New Roman"/>
          <w:sz w:val="20"/>
          <w:u w:val="single"/>
        </w:rPr>
        <w:t>Section 2.04(e)</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notwithstanding anything in such clauses to the contrary, the Borrower may have a claim against an Issuing Bank, and an Issuing Bank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Issuing Bank’s gross negligence or willful misconduct or such Issuing Bank’s willful or grossly negligent failure to pay under any Letter of Credit after the presentation to it by the beneficiary of a document(s) strictly complying with the terms and conditions of a Letter of Credit. In furtherance and not in limitation of the foregoing, the applicable Issuing Bank may accept documents that appear on their face to be in order, without responsibility for further investigation, regardless of any notice or information to the contrary, and the Issuing Banks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Issuing Banks may send a Letter of Credit or conduct any communication to or from the beneficiary via the Society for Worldwide Interbank Financial Telecommunication (SWIFT) message or overnight courier, or any other commercially reasonable means of communication with a beneficiary.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Applicability of ISP</w:t>
      </w:r>
      <w:r>
        <w:rPr>
          <w:rFonts w:ascii="Times New Roman" w:hAnsi="Times New Roman"/>
          <w:sz w:val="20"/>
        </w:rPr>
        <w:t xml:space="preserve">. Unless otherwise expressly agreed by the applicable Issuing Bank and the Borrower when a standby Letter of Credit is issued, the rules of the “International Standby Practices 1998” published by the Institute of International Banking Law &amp; Practice (or such later version thereof as may be in effect at the time of issuance) shall apply to such standby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Conflict with Letter of Credit Application</w:t>
      </w:r>
      <w:r>
        <w:rPr>
          <w:rFonts w:ascii="Times New Roman" w:hAnsi="Times New Roman"/>
          <w:sz w:val="20"/>
        </w:rPr>
        <w:t xml:space="preserve">. In the event of any conflict between the terms of this Agreement and the terms of any Letter of Credit Application, the terms hereof shall control.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Reporting</w:t>
      </w:r>
      <w:r>
        <w:rPr>
          <w:rFonts w:ascii="Times New Roman" w:hAnsi="Times New Roman"/>
          <w:sz w:val="20"/>
        </w:rPr>
        <w:t xml:space="preserve">. No later than the third Business Day following the last day of each month, (or at such other intervals as the Administrative Agent and the applicable Issuing Bank shall agree), the applicable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Resignation and Removal of an Issuing Bank</w:t>
      </w:r>
      <w:r>
        <w:rPr>
          <w:rFonts w:ascii="Times New Roman" w:hAnsi="Times New Roman"/>
          <w:sz w:val="20"/>
        </w:rPr>
        <w:t>. Any Issuing Bank may resign as an Issuing Bank upon sixty (60) days’ prior written notice to the Administrative Agent, the Lenders and the Borrower. Any Issuing Bank may be replaced at any time by written agreement among the Borrower, the Administrative Agent, the Issuing Bank being replaced (</w:t>
      </w:r>
      <w:r>
        <w:rPr>
          <w:rFonts w:ascii="Times New Roman" w:hAnsi="Times New Roman"/>
          <w:i/>
          <w:sz w:val="20"/>
        </w:rPr>
        <w:t>provided</w:t>
      </w:r>
      <w:r>
        <w:rPr>
          <w:rFonts w:ascii="Times New Roman" w:hAnsi="Times New Roman"/>
          <w:sz w:val="20"/>
        </w:rPr>
        <w:t xml:space="preserve"> that no consent will be required if the Issuing Bank being replaced has no Letters of Credit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Reimbursement Obligations with respect thereto outstanding) and the successor Issuing Bank. The Administrative Agent shall notify the Lenders of any such replacement of an Issuing Bank. At the time any such replacement or resignation shall become effective, the Borrower shall pay all unpaid fees accrued for the account of the replaced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w:t>
      </w:r>
      <w:r>
        <w:rPr>
          <w:rFonts w:ascii="Times New Roman" w:hAnsi="Times New Roman"/>
          <w:b/>
          <w:sz w:val="20"/>
        </w:rPr>
        <w:t>Issuing</w:t>
      </w:r>
      <w:r>
        <w:rPr>
          <w:rFonts w:ascii="Times New Roman" w:hAnsi="Times New Roman"/>
          <w:sz w:val="20"/>
        </w:rPr>
        <w:t xml:space="preserve"> </w:t>
      </w:r>
      <w:r>
        <w:rPr>
          <w:rFonts w:ascii="Times New Roman" w:hAnsi="Times New Roman"/>
          <w:b/>
          <w:sz w:val="20"/>
        </w:rPr>
        <w:t>Bank”</w:t>
      </w:r>
      <w:r>
        <w:rPr>
          <w:rFonts w:ascii="Times New Roman" w:hAnsi="Times New Roman"/>
          <w:sz w:val="20"/>
        </w:rPr>
        <w:t xml:space="preserve"> shall be deemed to refer to such successor or to any previous Issuing Bank, or to such successor and all previous Issuing Banks, as the context shall require. After the replacement or resignation of an Issuing Bank hereunder, the replaced or resigning Issuing Bank shall remain a party hereto to the extent that Letters of Credit issued by it remain outstanding and shall continue to have all the rights and obligations of an Issuing Bank under this Agreement with respect to Letters of Credit issued by it prior to such replacement or resignation, but shall not be required to issue additional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Cash Collateral Account</w:t>
      </w:r>
      <w:r>
        <w:rPr>
          <w:rFonts w:ascii="Times New Roman" w:hAnsi="Times New Roman"/>
          <w:sz w:val="20"/>
        </w:rPr>
        <w:t xml:space="preserve">. At any time and from time to time (i) after the occurrence and during the continuance of an Event of Default, the Administrative Agent, at the direction or with the consent of the Required Lenders, may require the Borrower to deliver to the Administrative Agent such amount of cash as is equal to 105% of the aggregate Stated Amount of all Letters of Credit at any time outstanding (whether or not any beneficiary under any Letter of Credit shall have drawn or be entitled at such time to draw thereunder) and (ii) in the event of a prepayment under </w:t>
      </w:r>
      <w:r>
        <w:rPr>
          <w:rFonts w:ascii="Times New Roman" w:hAnsi="Times New Roman"/>
          <w:sz w:val="20"/>
          <w:u w:val="single"/>
        </w:rPr>
        <w:t>Section 2.07(b)(i)</w:t>
      </w:r>
      <w:r>
        <w:rPr>
          <w:rFonts w:ascii="Times New Roman" w:hAnsi="Times New Roman"/>
          <w:sz w:val="20"/>
        </w:rPr>
        <w:t xml:space="preserve"> or </w:t>
      </w:r>
      <w:r>
        <w:rPr>
          <w:rFonts w:ascii="Times New Roman" w:hAnsi="Times New Roman"/>
          <w:sz w:val="20"/>
          <w:u w:val="single"/>
        </w:rPr>
        <w:t>Section 2.07(b)(ii)</w:t>
      </w:r>
      <w:r>
        <w:rPr>
          <w:rFonts w:ascii="Times New Roman" w:hAnsi="Times New Roman"/>
          <w:sz w:val="20"/>
        </w:rPr>
        <w:t xml:space="preserve">, as contemplated by </w:t>
      </w:r>
      <w:r>
        <w:rPr>
          <w:rFonts w:ascii="Times New Roman" w:hAnsi="Times New Roman"/>
          <w:sz w:val="20"/>
          <w:u w:val="single"/>
        </w:rPr>
        <w:t>Section 2.07(d)</w:t>
      </w:r>
      <w:r>
        <w:rPr>
          <w:rFonts w:ascii="Times New Roman" w:hAnsi="Times New Roman"/>
          <w:sz w:val="20"/>
        </w:rPr>
        <w:t xml:space="preserve">, the Administrative Agent will retain such amount as may then be required to be retained, such amounts in each case under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to be held by the Administrative Agent in a Cash Collateral Account. The Borrower hereby grants (or, if registration thereof is required in any applicable jurisdiction, shall grant) to the Administrative Agent, for the benefit of the Issuing Banks and the Revolving Lenders, a Lien upon and security interest in the Cash Collateral Account and all amounts held therein from time to time as security for Letter of Credit Usage, and for application to the Borrower’s Letter of Credit Obligations as and when the same shall arise. The Administrative Agent shall have exclusive dominion and control, including the exclusive right of withdrawal, over such account. Other than any interest on the investment of such amounts in Cash Equivalents, which investments shall be made at the direction of the Borrower (unless an Event of Default shall have occurred and be continuing, in which case the determination as to investments shall be made at the option and in the discretion of the Administrative Agent), amounts in the Cash Collateral Account shall not bear interest. Interest and profits, if any, on such investments shall accumulate in such account. In the event of a drawing, and subsequent payment by the applicable Issuing Bank, under any Letter of Credit at any time during which any amounts are held in the Cash Collateral Account, the Administrative Agent will deliver to such Issuing Bank an amount equal to the Reimbursement Obligation created as a result of such payment (or, if the amounts so held are less than such Reimbursement Obligation, all of such amounts) to reimburse such Issuing Bank therefor. Any amounts remaining in the Cash Collateral Account after the expiration of all Letters of Credit and reimbursement in full of each Issuing Bank for all of its obligations thereunder shall be held by the Administrative Agent, for the benefit of the Borrower, to be applied against the Obligations in such order and manner as the Administrative Agent may direct. If the Borrower is required to provide Cash Collateral pursuant to this </w:t>
      </w:r>
      <w:r>
        <w:rPr>
          <w:rFonts w:ascii="Times New Roman" w:hAnsi="Times New Roman"/>
          <w:sz w:val="20"/>
          <w:u w:val="single"/>
        </w:rPr>
        <w:t>Section 2.04(l)</w:t>
      </w:r>
      <w:r>
        <w:rPr>
          <w:rFonts w:ascii="Times New Roman" w:hAnsi="Times New Roman"/>
          <w:sz w:val="20"/>
        </w:rPr>
        <w:t xml:space="preserve">, such amount (to the extent not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aforesaid) shall be returned to the Borrower on demand, </w:t>
      </w:r>
      <w:r>
        <w:rPr>
          <w:rFonts w:ascii="Times New Roman" w:hAnsi="Times New Roman"/>
          <w:i/>
          <w:sz w:val="20"/>
        </w:rPr>
        <w:t xml:space="preserve">provided </w:t>
      </w:r>
      <w:r>
        <w:rPr>
          <w:rFonts w:ascii="Times New Roman" w:hAnsi="Times New Roman"/>
          <w:sz w:val="20"/>
        </w:rPr>
        <w:t xml:space="preserve">that after giving effect to such return (A) the sum of (1) the aggregate principal dollar amount of all Revolving Loans outstanding at such time and (2) the aggregate Letter of Credit Usage at such time would not exceed the aggregate Commitments at such time and (B) no Event of Default shall have occurred and be continuing at such time. If the Borrower is required to provide Cash Collateral pursuant to </w:t>
      </w:r>
      <w:r>
        <w:rPr>
          <w:rFonts w:ascii="Times New Roman" w:hAnsi="Times New Roman"/>
          <w:sz w:val="20"/>
          <w:u w:val="single"/>
        </w:rPr>
        <w:t>Section 2.07(b)(i)</w:t>
      </w:r>
      <w:r>
        <w:rPr>
          <w:rFonts w:ascii="Times New Roman" w:hAnsi="Times New Roman"/>
          <w:sz w:val="20"/>
        </w:rPr>
        <w:t xml:space="preserve"> or </w:t>
      </w:r>
      <w:r>
        <w:rPr>
          <w:rFonts w:ascii="Times New Roman" w:hAnsi="Times New Roman"/>
          <w:sz w:val="20"/>
          <w:u w:val="single"/>
        </w:rPr>
        <w:t>Section 2.07(b)(ii)</w:t>
      </w:r>
      <w:r>
        <w:rPr>
          <w:rFonts w:ascii="Times New Roman" w:hAnsi="Times New Roman"/>
          <w:sz w:val="20"/>
        </w:rPr>
        <w:t xml:space="preserve">, as contemplated by </w:t>
      </w:r>
      <w:r>
        <w:rPr>
          <w:rFonts w:ascii="Times New Roman" w:hAnsi="Times New Roman"/>
          <w:sz w:val="20"/>
          <w:u w:val="single"/>
        </w:rPr>
        <w:t>Section 2.07(d)</w:t>
      </w:r>
      <w:r>
        <w:rPr>
          <w:rFonts w:ascii="Times New Roman" w:hAnsi="Times New Roman"/>
          <w:sz w:val="20"/>
        </w:rPr>
        <w:t xml:space="preserve">, such amount shall be returned to the Borrower on demand; </w:t>
      </w:r>
      <w:r>
        <w:rPr>
          <w:rFonts w:ascii="Times New Roman" w:hAnsi="Times New Roman"/>
          <w:i/>
          <w:sz w:val="20"/>
        </w:rPr>
        <w:t xml:space="preserve">provided </w:t>
      </w:r>
      <w:r>
        <w:rPr>
          <w:rFonts w:ascii="Times New Roman" w:hAnsi="Times New Roman"/>
          <w:sz w:val="20"/>
        </w:rPr>
        <w:t xml:space="preserve">that, after giving effect to such return, all outstanding Letters of Credit shall have expired and each Issuing Bank shall have been reimbursed in full for all of its obligations thereunder. If the Borrower is required to provide Cash Collateral as a result of an Event of Default, such amount (to the extent not applied as aforesaid) shall be returned to the Borrower within three Business Days after all Events of Default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Addition of an Issuing Bank</w:t>
      </w:r>
      <w:r>
        <w:rPr>
          <w:rFonts w:ascii="Times New Roman" w:hAnsi="Times New Roman"/>
          <w:sz w:val="20"/>
        </w:rPr>
        <w:t xml:space="preserve">. One or more Revolving Lenders (other than a Defaulting Lender) selected by the Borrower that agrees to act in such capacity and reasonably acceptable to the Administrative Agent may become an additional Issuing Bank hereunder pursuant to a written agreement in form and substance reasonably satisfactory to the Administrative Agent among the Borrower, the Administrative Agent and such Revolving Lender. The Administrative Agent shall notify the Revolving Lenders of any such additional Issuing Bank.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Conversion/Continuation.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conversion of Loans from one Type to another, and each continuation of SOFR Rate Loans shall be made upon the Borrower’s irrevocable notice to the Administrative Agent, which may only be given in writing. Each such notice must be received by the Administrative Agent not later than 1:00 p.m. one Business Day prior to the date of any conversion of SOFR Rate Loans to Base Rate Loans and not later than 1:00 p.m. three Business Days prior to the requested date of continuation of any SOFR Rate Loans or any conversion of Base Rate Loans to SOFR Rate Loans. Each notice by the Borrower pursuant to this </w:t>
      </w:r>
      <w:r>
        <w:rPr>
          <w:rFonts w:ascii="Times New Roman" w:hAnsi="Times New Roman"/>
          <w:sz w:val="20"/>
          <w:u w:val="single"/>
        </w:rPr>
        <w:t>Section 2.05(a)</w:t>
      </w:r>
      <w:r>
        <w:rPr>
          <w:rFonts w:ascii="Times New Roman" w:hAnsi="Times New Roman"/>
          <w:sz w:val="20"/>
        </w:rPr>
        <w:t xml:space="preserve"> must be delivered to the Administrative Agent in the form of a Conversion/Continuation Notice, appropriately completed and signed by a Responsible Officer of such Borrower. Each conversion to or continuation of SOFR Rate Loans shall be in a minimum principal amount of $500,000 or a whole multiple of $100,000 in excess thereof. Each conversion to Base Rate Loans shall be in a minimum principal amount of $500,000 or a whole multiple of $100,000 in excess thereof. Each Conversion/Continuation Notice shall specify (i) whether the Borrower is requesting a conversion of Loans from one Type to the other, or a continuation of SOFR Rate Loans, (ii) the requested date of the conversion or continuation, as the case may be (which shall be a Business Day), (iii) the principal amount and currency of Loans to be converted or continued, (iv) the Class of Loans to be converted or continued, (v) the Type of Loans to which such existing Loans are to be converted, if applicable, and (vi) if applicable, the duration of the Interest Period with respect thereto. If with respect to any SOFR Rate Loans, the Borrower fails to give a timely notice requesting a conversion or continuation, then the applicable Loans shall be converted to Base Rate Loans. Any such automatic conversion or continuation pursuant to the immediately preceding sentence shall be effective as of the last day of the Interest Period then in effect with respect to the applicable SOFR Rate Loans. If the Borrower requests a conversion to, or continuation of SOFR Rate Loans in any such Conversion/Continuation Notice, but fails to specify an Interest Period, it will be deemed to have specified an Interest Period of one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Following receipt of a Conversion/Continuation Notice, the Administrative Agent shall promptly notify each applicable Lender of its Pro Rata Share of the applicable Class of Loans, and if no timely notice of a conversion or continuation is provided by the Borrower, the Administrative Agent shall notify each Lender of the details of any automatic conversion to Base Rate Loans or continuation of Loans described in </w:t>
      </w:r>
      <w:r>
        <w:rPr>
          <w:rFonts w:ascii="Times New Roman" w:hAnsi="Times New Roman"/>
          <w:sz w:val="20"/>
          <w:u w:val="single"/>
        </w:rPr>
        <w:t>Section 2.05(a)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provided herein, a SOFR Rate Loan may be continued or converted only on the last day of an Interest Period for such SOFR Rate Loan. Upon the occurrence and during the continuation of an Event of Default, the Administrative Agent or the Required Lenders may require by notice to the Borrower that no Loans denominated in Dollars may be converted to or continued as SOFR Rate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Availability</w:t>
      </w:r>
      <w:r>
        <w:rPr>
          <w:rFonts w:ascii="Times New Roman" w:hAnsi="Times New Roman"/>
          <w:sz w:val="20"/>
        </w:rPr>
        <w:t xml:space="preserve">. Unless the Administrative Agent shall have received notice from a Lender prior to the date of any Borrowing that such Lender will not make available to the Administrative Agent such Lender’s Pro Rata Share of such Borrowing, the Administrative Agent may, in its sole discretion, assume that such Lender has made such Pro Rata Share available to the Administrative Agent on the date of such Borrowing, and the Administrative Agent may in its sole discretion,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such Borrower severally agrees to repay to the Administrative Agent forthwith on demand such corresponding amount together with interest thereon, for each day from the date such amount is made available to such Borrower until the date such amount is repaid to the Administrative Agent at (a) in the case of such Borrower, the interest rate applicable at the time to the applicable Loans comprising such Borrowing and (b) in the case of such Lender, the Overnight Rate </w:t>
      </w:r>
      <w:r>
        <w:rPr>
          <w:rFonts w:ascii="Times New Roman" w:hAnsi="Times New Roman"/>
          <w:i/>
          <w:sz w:val="20"/>
        </w:rPr>
        <w:t>plus</w:t>
      </w:r>
      <w:r>
        <w:rPr>
          <w:rFonts w:ascii="Times New Roman" w:hAnsi="Times New Roman"/>
          <w:sz w:val="20"/>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hAnsi="Times New Roman"/>
          <w:sz w:val="20"/>
          <w:u w:val="single"/>
        </w:rPr>
        <w:t>Section 2.06</w:t>
      </w:r>
      <w:r>
        <w:rPr>
          <w:rFonts w:ascii="Times New Roman" w:hAnsi="Times New Roman"/>
          <w:sz w:val="20"/>
        </w:rPr>
        <w:t xml:space="preserve"> shall be conclusive in the absence of manifest error.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applicable Loan included in such Borrowing. Any payment by the Borrower shall be without prejudice to any claim such Borrower may have against a Lender that shall have failed to make such payment to the Administrative Agent. A notice of the Administrative Agent to any Lender or the Borrower with respect to any amount owing under this </w:t>
      </w:r>
      <w:r>
        <w:rPr>
          <w:rFonts w:ascii="Times New Roman" w:hAnsi="Times New Roman"/>
          <w:sz w:val="20"/>
          <w:u w:val="single"/>
        </w:rPr>
        <w:t xml:space="preserve">Section 2.06 </w:t>
      </w:r>
      <w:r>
        <w:rPr>
          <w:rFonts w:ascii="Times New Roman" w:hAnsi="Times New Roman"/>
          <w:sz w:val="20"/>
        </w:rPr>
        <w:t xml:space="preserve">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Prepayments.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may, upon written notice to the Administrative Agent in the form of a Prepayment Notice, at any time or from time to time, voluntarily prepay the Loans in whole or in part without premium or penalty;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(A) such Prepayment Notice must be received by the Administrative Agent not later than 1:00 p.m. three Business Days prior to any date of prepayment of SOFR Rate Loans or Base Rate Loans; </w:t>
      </w:r>
    </w:p>
    <w:p>
      <w:pPr>
        <w:pStyle w:val="TextBody"/>
        <w:bidi w:val="0"/>
        <w:spacing w:before="120" w:after="0"/>
        <w:jc w:val="left"/>
        <w:rPr>
          <w:rFonts w:ascii="Times New Roman" w:hAnsi="Times New Roman"/>
          <w:sz w:val="20"/>
        </w:rPr>
      </w:pPr>
      <w:r>
        <w:rPr>
          <w:rFonts w:ascii="Times New Roman" w:hAnsi="Times New Roman"/>
          <w:sz w:val="20"/>
        </w:rPr>
        <w:t xml:space="preserve">(B) any prepayment of SOFR Rate Loans shall be in a minimum principal amount of $1,000,000 or a whole multiple of $100,000 in excess thereof; and </w:t>
      </w:r>
    </w:p>
    <w:p>
      <w:pPr>
        <w:pStyle w:val="TextBody"/>
        <w:bidi w:val="0"/>
        <w:spacing w:before="120" w:after="0"/>
        <w:jc w:val="left"/>
        <w:rPr>
          <w:rFonts w:ascii="Times New Roman" w:hAnsi="Times New Roman"/>
          <w:sz w:val="20"/>
        </w:rPr>
      </w:pPr>
      <w:r>
        <w:rPr>
          <w:rFonts w:ascii="Times New Roman" w:hAnsi="Times New Roman"/>
          <w:sz w:val="20"/>
        </w:rPr>
        <w:t xml:space="preserve">(C) any prepayment of Base Rate Loans shall be in a minimum principal amount of $1,000,000 or a whole multiple of $100,000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Each Prepayment Notice shall specify the date, amount and currency of such prepayment and the Class(es) and Type(s) of Loans to be prepaid, and the payment amount specified in each Prepayment Notice shall be due and payable on the date specified therein. The Administrative Agent will promptly notify each Appropriate Lender of its receipt of a Prepayment Notice and of the amount of such Lender’s Pro Rata Share of such prepayment; </w:t>
      </w:r>
      <w:r>
        <w:rPr>
          <w:rFonts w:ascii="Times New Roman" w:hAnsi="Times New Roman"/>
          <w:i/>
          <w:sz w:val="20"/>
        </w:rPr>
        <w:t>provided,</w:t>
      </w:r>
      <w:r>
        <w:rPr>
          <w:rFonts w:ascii="Times New Roman" w:hAnsi="Times New Roman"/>
          <w:sz w:val="20"/>
        </w:rPr>
        <w:t xml:space="preserve"> “non-consenting” Lenders may be repaid in full in an amount equal to the amount outstanding under such Non-Consenting Lenders’ Commitments on a non-pro rata basis in connection with an Extension Offer or a Refinancing Amendment. Any prepayment of Loans shall be subject to </w:t>
      </w:r>
      <w:r>
        <w:rPr>
          <w:rFonts w:ascii="Times New Roman" w:hAnsi="Times New Roman"/>
          <w:sz w:val="20"/>
          <w:u w:val="single"/>
        </w:rPr>
        <w:t>Section 2.07(c)</w:t>
      </w:r>
      <w:r>
        <w:rPr>
          <w:rFonts w:ascii="Times New Roman" w:hAnsi="Times New Roman"/>
          <w:sz w:val="20"/>
        </w:rPr>
        <w:t xml:space="preserve">. Revolving Loans and Incremental Loans prepaid pursuant to this subsection (a) may be reborrowed, subject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contained in this Agreement, the Borrower may rescind, in whole or in part, any notice of prepayment under </w:t>
      </w:r>
      <w:r>
        <w:rPr>
          <w:rFonts w:ascii="Times New Roman" w:hAnsi="Times New Roman"/>
          <w:sz w:val="20"/>
          <w:u w:val="single"/>
        </w:rPr>
        <w:t>Section 2.07(a)(i)</w:t>
      </w:r>
      <w:r>
        <w:rPr>
          <w:rFonts w:ascii="Times New Roman" w:hAnsi="Times New Roman"/>
          <w:sz w:val="20"/>
        </w:rPr>
        <w:t xml:space="preserve">, if such prepayment would have resulted from a refinancing of all or a portion of the applicable Facility, which refinancing shall not be consummated or shall otherwise be delayed. </w:t>
      </w:r>
    </w:p>
    <w:p>
      <w:pPr>
        <w:pStyle w:val="TextBody"/>
        <w:bidi w:val="0"/>
        <w:spacing w:before="120" w:after="0"/>
        <w:jc w:val="left"/>
        <w:rPr>
          <w:rFonts w:ascii="Times New Roman" w:hAnsi="Times New Roman"/>
          <w:sz w:val="20"/>
        </w:rPr>
      </w:pPr>
      <w:r>
        <w:rPr>
          <w:rFonts w:ascii="Times New Roman" w:hAnsi="Times New Roman"/>
          <w:sz w:val="20"/>
        </w:rPr>
        <w:t xml:space="preserve">(iii) Voluntary prepayments of Revolving Loans permitted hereunder shall be applied in a manner determined at the discretion of the Borrower and specified in the notice of prepayment (and absent such direction, in direct order of maturity).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shall from time to time prepay the Revolving Loans to the extent necessary so that the Total Utilization of Commitments shall not at any time exceed the Commitments then in effect; </w:t>
      </w:r>
      <w:r>
        <w:rPr>
          <w:rFonts w:ascii="Times New Roman" w:hAnsi="Times New Roman"/>
          <w:i/>
          <w:sz w:val="20"/>
        </w:rPr>
        <w:t>provided</w:t>
      </w:r>
      <w:r>
        <w:rPr>
          <w:rFonts w:ascii="Times New Roman" w:hAnsi="Times New Roman"/>
          <w:sz w:val="20"/>
        </w:rPr>
        <w:t xml:space="preserve"> that, to the extent such excess amount is greater than the aggregate principal amount of Revolving Loans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prior to the application of such prepayment, the amount so prepaid shall be retained by the Administrative Agent and held in the Cash Collateral Account as cover for Letter of Credit Usage, as more particularly described in Section 2.04(l), and thereupon such cash shall be deemed to reduce the aggregate Letter of Credit Usage by an equivalent amount.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the Financial Covenants set forth in </w:t>
      </w:r>
      <w:r>
        <w:rPr>
          <w:rFonts w:ascii="Times New Roman" w:hAnsi="Times New Roman"/>
          <w:sz w:val="20"/>
          <w:u w:val="single"/>
        </w:rPr>
        <w:t>Section 8.01(b)</w:t>
      </w:r>
      <w:r>
        <w:rPr>
          <w:rFonts w:ascii="Times New Roman" w:hAnsi="Times New Roman"/>
          <w:sz w:val="20"/>
        </w:rPr>
        <w:t xml:space="preserve"> and/or </w:t>
      </w:r>
      <w:r>
        <w:rPr>
          <w:rFonts w:ascii="Times New Roman" w:hAnsi="Times New Roman"/>
          <w:sz w:val="20"/>
          <w:u w:val="single"/>
        </w:rPr>
        <w:t>Section 8.01(c)</w:t>
      </w:r>
      <w:r>
        <w:rPr>
          <w:rFonts w:ascii="Times New Roman" w:hAnsi="Times New Roman"/>
          <w:sz w:val="20"/>
        </w:rPr>
        <w:t xml:space="preserve"> are not satisfied as of any Measurement Date as set forth in any Compliance Certificate delivered in accordance with </w:t>
      </w:r>
      <w:r>
        <w:rPr>
          <w:rFonts w:ascii="Times New Roman" w:hAnsi="Times New Roman"/>
          <w:sz w:val="20"/>
          <w:u w:val="single"/>
        </w:rPr>
        <w:t>Section 6.02(a)</w:t>
      </w:r>
      <w:r>
        <w:rPr>
          <w:rFonts w:ascii="Times New Roman" w:hAnsi="Times New Roman"/>
          <w:sz w:val="20"/>
        </w:rPr>
        <w:t xml:space="preserve">, the Borrower shall prepay the Revolving Loans in accordance with clause (iii) below within ten (10) Business Days of the date of delivery of such Compliance Certificate to the extent necessary such that the Financial Covenants set forth in </w:t>
      </w:r>
      <w:r>
        <w:rPr>
          <w:rFonts w:ascii="Times New Roman" w:hAnsi="Times New Roman"/>
          <w:sz w:val="20"/>
          <w:u w:val="single"/>
        </w:rPr>
        <w:t>Section 8.01(b)</w:t>
      </w:r>
      <w:r>
        <w:rPr>
          <w:rFonts w:ascii="Times New Roman" w:hAnsi="Times New Roman"/>
          <w:sz w:val="20"/>
        </w:rPr>
        <w:t xml:space="preserve"> and/or </w:t>
      </w:r>
      <w:r>
        <w:rPr>
          <w:rFonts w:ascii="Times New Roman" w:hAnsi="Times New Roman"/>
          <w:sz w:val="20"/>
          <w:u w:val="single"/>
        </w:rPr>
        <w:t>Section 8.01(c)</w:t>
      </w:r>
      <w:r>
        <w:rPr>
          <w:rFonts w:ascii="Times New Roman" w:hAnsi="Times New Roman"/>
          <w:sz w:val="20"/>
        </w:rPr>
        <w:t xml:space="preserve"> would, if recalculated to give Pro Forma Effect to such repayment, be satisfied as of such Measurement Date (or, if less, the remaining outstanding principal balance of the Facility) and, as long as such payment is made as of such date, no Default or Event of Default shall occur in respect of such breach.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shall give notice to the Administrative Agent of any mandatory prepayment of the Loans pursuant to </w:t>
      </w:r>
      <w:r>
        <w:rPr>
          <w:rFonts w:ascii="Times New Roman" w:hAnsi="Times New Roman"/>
          <w:sz w:val="20"/>
          <w:u w:val="single"/>
        </w:rPr>
        <w:t>Section 2.07(b)(i)</w:t>
      </w:r>
      <w:r>
        <w:rPr>
          <w:rFonts w:ascii="Times New Roman" w:hAnsi="Times New Roman"/>
          <w:sz w:val="20"/>
        </w:rPr>
        <w:t xml:space="preserve"> or </w:t>
      </w:r>
      <w:r>
        <w:rPr>
          <w:rFonts w:ascii="Times New Roman" w:hAnsi="Times New Roman"/>
          <w:sz w:val="20"/>
          <w:u w:val="single"/>
        </w:rPr>
        <w:t>Section 2.07(b)(ii)</w:t>
      </w:r>
      <w:r>
        <w:rPr>
          <w:rFonts w:ascii="Times New Roman" w:hAnsi="Times New Roman"/>
          <w:sz w:val="20"/>
        </w:rPr>
        <w:t xml:space="preserve"> by 11:00 a.m. at least three Business Days prior to the date on which such payment is due. Such notice shall state that the Borrower is offering to make or will make such mandatory prepayment on or before the date specified in </w:t>
      </w:r>
      <w:r>
        <w:rPr>
          <w:rFonts w:ascii="Times New Roman" w:hAnsi="Times New Roman"/>
          <w:sz w:val="20"/>
          <w:u w:val="single"/>
        </w:rPr>
        <w:t>Section 2.07(b)(i)</w:t>
      </w:r>
      <w:r>
        <w:rPr>
          <w:rFonts w:ascii="Times New Roman" w:hAnsi="Times New Roman"/>
          <w:sz w:val="20"/>
        </w:rPr>
        <w:t xml:space="preserve"> or </w:t>
      </w:r>
      <w:r>
        <w:rPr>
          <w:rFonts w:ascii="Times New Roman" w:hAnsi="Times New Roman"/>
          <w:sz w:val="20"/>
          <w:u w:val="single"/>
        </w:rPr>
        <w:t>Section 2.07(b)(ii)</w:t>
      </w:r>
      <w:r>
        <w:rPr>
          <w:rFonts w:ascii="Times New Roman" w:hAnsi="Times New Roman"/>
          <w:sz w:val="20"/>
        </w:rPr>
        <w:t xml:space="preserve"> (a “</w:t>
      </w:r>
      <w:r>
        <w:rPr>
          <w:rFonts w:ascii="Times New Roman" w:hAnsi="Times New Roman"/>
          <w:b/>
          <w:sz w:val="20"/>
        </w:rPr>
        <w:t>Prepayment</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Once given, such notice shall be irrevocable (provided that the Borrower may rescind any notice of prepayment if such prepayment would have resulted from a refinancing of all or any portion of the Facility or been made in connection with a Disposition, which refinancing or Disposition shall not be consummated or shall otherwise be delayed) and all amounts subject to such notice shall be due and payable on the Prepayment Date (except as otherwise provided in the last sentence of this </w:t>
      </w:r>
      <w:r>
        <w:rPr>
          <w:rFonts w:ascii="Times New Roman" w:hAnsi="Times New Roman"/>
          <w:sz w:val="20"/>
          <w:u w:val="single"/>
        </w:rPr>
        <w:t>Section 2.07(b)(iii))</w:t>
      </w:r>
      <w:r>
        <w:rPr>
          <w:rFonts w:ascii="Times New Roman" w:hAnsi="Times New Roman"/>
          <w:sz w:val="20"/>
        </w:rPr>
        <w:t xml:space="preserve">. Upon receipt by the Administrative Agent of such notice, the Administrative Agent shall immediately give notice to each Lender of the prepayment, the Prepayment Date and of such Lender’s Pro Rata Share of the prepayment. Each Lender may elect (in its sole discretion) to decline all (but not less than all) of its Pro Rata Share of any mandatory prepayment by giving notice of such election in writing to the Administrative Agent by 11:00 a.m., on the date that is one Business Day prior to such prepayment. If a Lender fails to deliver a notice of election declining receipt of its Pro Rata Share of such mandatory prepayment to the Administrative Agent within the time frame specified above, any such failure will be deemed to constitute an acceptance of such Lender’s Pro Rata Share of the total amount of such mandatory prepayment of Loans. Upon receipt by the Administrative Agent of such notice, the Administrative Agent shall immediately notify the Borrower of such election. Any amount so declined by any Lender shall be retained by the Borrower and the Restricted Subsidiaries and/or applied by the Borrower or any of the Restricted Subsidiaries in any manner not inconsistent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Interest, Funding Losses, Etc. All prepayments under this Section 2.07 shall be accompanied by all accrued interest thereon, together with, in the case of any such prepayment of a SOFR Rate Loan on a date prior to the last day of an Interest Period therefor, any amounts owing in respect of such SOFR Rate Loan pursuant to </w:t>
      </w:r>
      <w:r>
        <w:rPr>
          <w:rFonts w:ascii="Times New Roman" w:hAnsi="Times New Roman"/>
          <w:sz w:val="20"/>
          <w:u w:val="single"/>
        </w:rPr>
        <w:t>Section 3.05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Application of Prepayment Amounts</w:t>
      </w:r>
      <w:r>
        <w:rPr>
          <w:rFonts w:ascii="Times New Roman" w:hAnsi="Times New Roman"/>
          <w:sz w:val="20"/>
        </w:rPr>
        <w:t xml:space="preserve">. In the event that the Borrower elects to prepay the Loans pursuant to </w:t>
      </w:r>
      <w:r>
        <w:rPr>
          <w:rFonts w:ascii="Times New Roman" w:hAnsi="Times New Roman"/>
          <w:sz w:val="20"/>
          <w:u w:val="single"/>
        </w:rPr>
        <w:t>subsection (a)</w:t>
      </w:r>
      <w:r>
        <w:rPr>
          <w:rFonts w:ascii="Times New Roman" w:hAnsi="Times New Roman"/>
          <w:sz w:val="20"/>
        </w:rPr>
        <w:t xml:space="preserve"> above or the obligations of the Borrower to prepay the Loans arise pursuant to </w:t>
      </w:r>
      <w:r>
        <w:rPr>
          <w:rFonts w:ascii="Times New Roman" w:hAnsi="Times New Roman"/>
          <w:sz w:val="20"/>
          <w:u w:val="single"/>
        </w:rPr>
        <w:t>subsection (b)</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the Borrower shall prepay the outstanding principal amount of the Revolving Loans, without a corresponding permanent reduction to the Commitments; and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to the extent of any excess remaining after application as provided in </w:t>
      </w:r>
      <w:r>
        <w:rPr>
          <w:rFonts w:ascii="Times New Roman" w:hAnsi="Times New Roman"/>
          <w:sz w:val="20"/>
          <w:u w:val="single"/>
        </w:rPr>
        <w:t>clause (i)</w:t>
      </w:r>
      <w:r>
        <w:rPr>
          <w:rFonts w:ascii="Times New Roman" w:hAnsi="Times New Roman"/>
          <w:sz w:val="20"/>
        </w:rPr>
        <w:t xml:space="preserve"> above, the Borrower shall pay any outstanding Reimbursement Obligations, and thereafter the Borrower shall Cash Collateralize the Letter of Credit Usage pursuant to </w:t>
      </w:r>
      <w:r>
        <w:rPr>
          <w:rFonts w:ascii="Times New Roman" w:hAnsi="Times New Roman"/>
          <w:sz w:val="20"/>
          <w:u w:val="single"/>
        </w:rPr>
        <w:t>Section 2.04(l).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payment or prepayment pursuant to the provisions of this </w:t>
      </w:r>
      <w:r>
        <w:rPr>
          <w:rFonts w:ascii="Times New Roman" w:hAnsi="Times New Roman"/>
          <w:sz w:val="20"/>
          <w:u w:val="single"/>
        </w:rPr>
        <w:t>Section 2.07(d)</w:t>
      </w:r>
      <w:r>
        <w:rPr>
          <w:rFonts w:ascii="Times New Roman" w:hAnsi="Times New Roman"/>
          <w:sz w:val="20"/>
        </w:rPr>
        <w:t xml:space="preserve"> shall be applied ratably among the Lenders of each Class holding the Loans being prepaid, in proportion to the principal amount held by each.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Interest Period Deferrals</w:t>
      </w:r>
      <w:r>
        <w:rPr>
          <w:rFonts w:ascii="Times New Roman" w:hAnsi="Times New Roman"/>
          <w:sz w:val="20"/>
        </w:rPr>
        <w:t xml:space="preserve">. Notwithstanding any of the other provisions of this </w:t>
      </w:r>
      <w:r>
        <w:rPr>
          <w:rFonts w:ascii="Times New Roman" w:hAnsi="Times New Roman"/>
          <w:sz w:val="20"/>
          <w:u w:val="single"/>
        </w:rPr>
        <w:t>Section 2.07</w:t>
      </w:r>
      <w:r>
        <w:rPr>
          <w:rFonts w:ascii="Times New Roman" w:hAnsi="Times New Roman"/>
          <w:sz w:val="20"/>
        </w:rPr>
        <w:t xml:space="preserve">, so long as no Event of Default shall have occurred and be continuing, if any prepayment of SOFR Rate Loans is required to be made under this </w:t>
      </w:r>
      <w:r>
        <w:rPr>
          <w:rFonts w:ascii="Times New Roman" w:hAnsi="Times New Roman"/>
          <w:sz w:val="20"/>
          <w:u w:val="single"/>
        </w:rPr>
        <w:t>Section 2.07</w:t>
      </w:r>
      <w:r>
        <w:rPr>
          <w:rFonts w:ascii="Times New Roman" w:hAnsi="Times New Roman"/>
          <w:sz w:val="20"/>
        </w:rPr>
        <w:t xml:space="preserve"> prior to the last day of the Interest Period therefor, in lieu of making any payment pursuant to this </w:t>
      </w:r>
      <w:r>
        <w:rPr>
          <w:rFonts w:ascii="Times New Roman" w:hAnsi="Times New Roman"/>
          <w:sz w:val="20"/>
          <w:u w:val="single"/>
        </w:rPr>
        <w:t>Section 2.07</w:t>
      </w:r>
      <w:r>
        <w:rPr>
          <w:rFonts w:ascii="Times New Roman" w:hAnsi="Times New Roman"/>
          <w:sz w:val="20"/>
        </w:rPr>
        <w:t xml:space="preserve"> in respect of any such SOFR Rate Loan, prior to the last day of the Interest Period therefor, the Borrower may, in their sole discretion,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hAnsi="Times New Roman"/>
          <w:sz w:val="20"/>
          <w:u w:val="single"/>
        </w:rPr>
        <w:t>Section 2.07</w:t>
      </w:r>
      <w:r>
        <w:rPr>
          <w:rFonts w:ascii="Times New Roman" w:hAnsi="Times New Roman"/>
          <w:sz w:val="20"/>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the relevant provisions of this </w:t>
      </w:r>
      <w:r>
        <w:rPr>
          <w:rFonts w:ascii="Times New Roman" w:hAnsi="Times New Roman"/>
          <w:sz w:val="20"/>
          <w:u w:val="single"/>
        </w:rPr>
        <w:t>Section 2.07.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Termination or Reduction of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The Borrower may, upon written notice to the Administrative Agent, terminate the unused Commitments of any Class, or from time to time permanently reduce the unused Commitments of any Class, in each case without premium or penalty; </w:t>
      </w:r>
      <w:r>
        <w:rPr>
          <w:rFonts w:ascii="Times New Roman" w:hAnsi="Times New Roman"/>
          <w:i/>
          <w:sz w:val="20"/>
        </w:rPr>
        <w:t xml:space="preserve">provided </w:t>
      </w:r>
      <w:r>
        <w:rPr>
          <w:rFonts w:ascii="Times New Roman" w:hAnsi="Times New Roman"/>
          <w:sz w:val="20"/>
        </w:rPr>
        <w:t xml:space="preserve">that (i) any such notice shall be received by the Administrative Agent three (3) Business Days prior to the date of termination or reduction, (ii) any such partial reduction shall be in an aggregate amount of $1,000,000 or any whole multiple of $1,000,000 in excess thereof or, if less, the entire remaining amount thereof and (iii) the Borrower shall not terminate or reduce (A) the Commitments if, after giving effect to any concurrent prepayment of the Revolving Loans in accordance with </w:t>
      </w:r>
      <w:r>
        <w:rPr>
          <w:rFonts w:ascii="Times New Roman" w:hAnsi="Times New Roman"/>
          <w:sz w:val="20"/>
          <w:u w:val="single"/>
        </w:rPr>
        <w:t>Section 2.07</w:t>
      </w:r>
      <w:r>
        <w:rPr>
          <w:rFonts w:ascii="Times New Roman" w:hAnsi="Times New Roman"/>
          <w:sz w:val="20"/>
        </w:rPr>
        <w:t xml:space="preserve">, the Total Utilization of Commitments would exceed the total Commitments, or (B) the Letter of Credit Sublimit if, after giving effect thereto, (1) the Letter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Usage not fully Cash Collateralized hereunder at 105% of the maximum face amount of any such Letters of Credit would exceed the Letter of Credit Sublimit or (2) the Letter of Credit Usage with respect to Letters of Credit issued by an applicable Issuing Bank not fully Cash Collateralized hereunder at 105% of the maximum face amount of any such Letters of Credit would exceed the amount of such Issuing Bank’s Letter of Credit Percentage of the Letter of Credit Sublimit. Notwithstanding the foregoing, the Borrower may rescind or postpone any notice of termination of the Commitments if such termination would have resulted from a refinancing of all or a portion of the applicable Facility, which refinancing shall not be consummated or otherwise shall be delayed.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Commitments shall terminate on the Commitment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(ii) If after giving effect to any reduction or termination of Commitments under this Section 2.08, the Letter of Credit Sublimit exceeds the amount of the Commitments at such time, the Letter of Credit Sublimit shall be automatically reduced by the amount of such excess.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 of Termination or Reduction</w:t>
      </w:r>
      <w:r>
        <w:rPr>
          <w:rFonts w:ascii="Times New Roman" w:hAnsi="Times New Roman"/>
          <w:sz w:val="20"/>
        </w:rPr>
        <w:t xml:space="preserve">. Any termination or reduction of the Commitments of any Class shall be permanent. Each reduction of Commitments of any Class shall be made ratably among the Lenders in accordance with their respective Pro Rata Share of Commitments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Repayment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[Reserved].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shall repay to the Administrative Agent for the ratable account of the Appropriate Lenders the outstanding principal amount of the Revolving Loans on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w:t>
      </w:r>
      <w:r>
        <w:rPr>
          <w:rFonts w:ascii="Times New Roman" w:hAnsi="Times New Roman"/>
          <w:sz w:val="20"/>
          <w:u w:val="single"/>
        </w:rPr>
        <w:t>Section 2.10(b), (i)</w:t>
      </w:r>
      <w:r>
        <w:rPr>
          <w:rFonts w:ascii="Times New Roman" w:hAnsi="Times New Roman"/>
          <w:sz w:val="20"/>
        </w:rPr>
        <w:t xml:space="preserve"> each SOFR Rate Loan shall bear interest on the outstanding principal amount thereof for each Interest Period at a rate </w:t>
      </w:r>
      <w:r>
        <w:rPr>
          <w:rFonts w:ascii="Times New Roman" w:hAnsi="Times New Roman"/>
          <w:i/>
          <w:sz w:val="20"/>
        </w:rPr>
        <w:t xml:space="preserve">per annum </w:t>
      </w:r>
      <w:r>
        <w:rPr>
          <w:rFonts w:ascii="Times New Roman" w:hAnsi="Times New Roman"/>
          <w:sz w:val="20"/>
        </w:rPr>
        <w:t xml:space="preserve">equal to SOFR for such Interest Period </w:t>
      </w:r>
      <w:r>
        <w:rPr>
          <w:rFonts w:ascii="Times New Roman" w:hAnsi="Times New Roman"/>
          <w:i/>
          <w:sz w:val="20"/>
        </w:rPr>
        <w:t>plus</w:t>
      </w:r>
      <w:r>
        <w:rPr>
          <w:rFonts w:ascii="Times New Roman" w:hAnsi="Times New Roman"/>
          <w:sz w:val="20"/>
        </w:rPr>
        <w:t xml:space="preserve"> the Applicable Rate and (ii) each Base Rate Loan shall bear interest on the outstanding principal amount thereof from the applicable Borrowing date at a rate </w:t>
      </w:r>
      <w:r>
        <w:rPr>
          <w:rFonts w:ascii="Times New Roman" w:hAnsi="Times New Roman"/>
          <w:i/>
          <w:sz w:val="20"/>
        </w:rPr>
        <w:t xml:space="preserve">per annum </w:t>
      </w:r>
      <w:r>
        <w:rPr>
          <w:rFonts w:ascii="Times New Roman" w:hAnsi="Times New Roman"/>
          <w:sz w:val="20"/>
        </w:rPr>
        <w:t xml:space="preserve">equal to the Base Rate </w:t>
      </w:r>
      <w:r>
        <w:rPr>
          <w:rFonts w:ascii="Times New Roman" w:hAnsi="Times New Roman"/>
          <w:i/>
          <w:sz w:val="20"/>
          <w:u w:val="single"/>
        </w:rPr>
        <w:t>plus</w:t>
      </w:r>
      <w:r>
        <w:rPr>
          <w:rFonts w:ascii="Times New Roman" w:hAnsi="Times New Roman"/>
          <w:sz w:val="20"/>
        </w:rPr>
        <w:t xml:space="preserve">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(b) 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hAnsi="Times New Roman"/>
          <w:i/>
          <w:sz w:val="20"/>
        </w:rPr>
        <w:t xml:space="preserve">per annum </w:t>
      </w:r>
      <w:r>
        <w:rPr>
          <w:rFonts w:ascii="Times New Roman" w:hAnsi="Times New Roman"/>
          <w:sz w:val="20"/>
        </w:rPr>
        <w:t xml:space="preserve">at all times equal to the Default Rate to the fullest extent permitted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If any amount (other than principal of any Loan) payable by the Borrower under any Loan Document is not paid when due (without regard to any applicable grace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whether at stated maturity, by acceleration or otherwise, then upon the request of the Required Lenders (or, after the occurrence of an actual or deemed entry of an order for relief with respect to the Borrower under any Debtor Relief Law, automatically and without further action by the Administrative Agent or any Lender) such amount shall thereafter bear interest at a fluctuating interest rate </w:t>
      </w:r>
      <w:r>
        <w:rPr>
          <w:rFonts w:ascii="Times New Roman" w:hAnsi="Times New Roman"/>
          <w:i/>
          <w:sz w:val="20"/>
        </w:rPr>
        <w:t xml:space="preserve">per annum </w:t>
      </w:r>
      <w:r>
        <w:rPr>
          <w:rFonts w:ascii="Times New Roman" w:hAnsi="Times New Roman"/>
          <w:sz w:val="20"/>
        </w:rPr>
        <w:t xml:space="preserve">at all times equal to the Default Rate to the fullest extent permitted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(d) Accrued and unpaid interest on the principal amount of all outstanding past due Obligations (including interest on past due interest) shall be due and payable upon demand (or, after the occurrence of an actual or deemed entry of an order for relief with respect to the Borrower under any Debtor Relief Law, automatically and without further action by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 xml:space="preserve">(e) Interest on each Loan shall be due and payable (i) with respect to Base Rate Loans, in arrears on each Interest Payment Date applicable thereto and at such other times as may be specified herein and (ii) with respect to SOFR Rate Loans, at the end of each Interest Period, and, if an Interest Period exceeds three months, every three months. Interest hereunder shall be due and payable in accordance with the terms hereof before and after judgment, and before and after the commencement of any proceeding, under any Debtor Relief Law. </w:t>
      </w:r>
    </w:p>
    <w:p>
      <w:pPr>
        <w:pStyle w:val="TextBody"/>
        <w:bidi w:val="0"/>
        <w:spacing w:before="240" w:after="0"/>
        <w:jc w:val="left"/>
        <w:rPr>
          <w:rFonts w:ascii="Times New Roman" w:hAnsi="Times New Roman"/>
          <w:sz w:val="20"/>
        </w:rPr>
      </w:pPr>
      <w:r>
        <w:rPr>
          <w:rFonts w:ascii="Times New Roman" w:hAnsi="Times New Roman"/>
          <w:sz w:val="20"/>
        </w:rPr>
        <w:t xml:space="preserve">(f) The Administrative Agent shall promptly notify the Borrower and the Lenders of the interest rate applicable to any Interest Period for any SOFR Rate Loans upon determination of such interest rate. The determination of SOFR by the Administrative Agent shall be conclusive in the absence of manifest error. At any time when Base Rate Loans are outstanding, the Administrative Agent shall notify the Borrower and the Lenders of any change in the “prime rate” used in determining the Base Rate promptly following the public announcement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(g) After giving effect to all Borrowings, all conversions of Loans from one Type to the other, and all continuations of Loans as the same Type, there shall not be more than ten Interest Periods in effect unless otherwise agreed between the Borrower and the Administrative Agent; </w:t>
      </w:r>
      <w:r>
        <w:rPr>
          <w:rFonts w:ascii="Times New Roman" w:hAnsi="Times New Roman"/>
          <w:i/>
          <w:sz w:val="20"/>
        </w:rPr>
        <w:t xml:space="preserve">provided </w:t>
      </w:r>
      <w:r>
        <w:rPr>
          <w:rFonts w:ascii="Times New Roman" w:hAnsi="Times New Roman"/>
          <w:sz w:val="20"/>
        </w:rPr>
        <w:t xml:space="preserve">that after the establishment of any new Class of Loans pursuant to a Refinancing Amendment or Extension, the number of Interest Periods otherwise permitted by this </w:t>
      </w:r>
      <w:r>
        <w:rPr>
          <w:rFonts w:ascii="Times New Roman" w:hAnsi="Times New Roman"/>
          <w:sz w:val="20"/>
          <w:u w:val="single"/>
        </w:rPr>
        <w:t>Section 2.10(g)</w:t>
      </w:r>
      <w:r>
        <w:rPr>
          <w:rFonts w:ascii="Times New Roman" w:hAnsi="Times New Roman"/>
          <w:sz w:val="20"/>
        </w:rPr>
        <w:t xml:space="preserve"> shall increase by three Interest Periods for each applicable Class so established.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shall pay to the Agents such fees as shall have been separately agreed upon in writing (including pursuant to the Fee Letter) in the amounts and at the times so specified. Such fees shall be fully earned when paid and shall not be refundable for any reason whatsoever (except as expressly agreed between the Borrower and the applicable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 agrees to pay to Lenders having Revolving Exposure: </w:t>
      </w:r>
    </w:p>
    <w:p>
      <w:pPr>
        <w:pStyle w:val="TextBody"/>
        <w:bidi w:val="0"/>
        <w:spacing w:before="120" w:after="0"/>
        <w:jc w:val="left"/>
        <w:rPr>
          <w:rFonts w:ascii="Times New Roman" w:hAnsi="Times New Roman"/>
          <w:sz w:val="20"/>
        </w:rPr>
      </w:pPr>
      <w:r>
        <w:rPr>
          <w:rFonts w:ascii="Times New Roman" w:hAnsi="Times New Roman"/>
          <w:sz w:val="20"/>
        </w:rPr>
        <w:t xml:space="preserve">(i) if, for any day in each calendar quarter for the period from and including the Closing Date to and including the Commitment Termination Date, (I) the daily unpaid balance of the sum of the aggregate principal amount of all outstanding Revolving Loans </w:t>
      </w:r>
      <w:r>
        <w:rPr>
          <w:rFonts w:ascii="Times New Roman" w:hAnsi="Times New Roman"/>
          <w:i/>
          <w:sz w:val="20"/>
          <w:u w:val="single"/>
        </w:rPr>
        <w:t>plus</w:t>
      </w:r>
      <w:r>
        <w:rPr>
          <w:rFonts w:ascii="Times New Roman" w:hAnsi="Times New Roman"/>
          <w:sz w:val="20"/>
        </w:rPr>
        <w:t xml:space="preserve"> (II) the Letter of Credit Usage (such sum, the “</w:t>
      </w:r>
      <w:r>
        <w:rPr>
          <w:rFonts w:ascii="Times New Roman" w:hAnsi="Times New Roman"/>
          <w:b/>
          <w:sz w:val="20"/>
        </w:rPr>
        <w:t>Usage Amount</w:t>
      </w:r>
      <w:r>
        <w:rPr>
          <w:rFonts w:ascii="Times New Roman" w:hAnsi="Times New Roman"/>
          <w:sz w:val="20"/>
        </w:rPr>
        <w:t xml:space="preserve">”) does not equal the Commitments, a fee at a rate equal to the Applicable Commitment Fee </w:t>
      </w:r>
      <w:r>
        <w:rPr>
          <w:rFonts w:ascii="Times New Roman" w:hAnsi="Times New Roman"/>
          <w:i/>
          <w:sz w:val="20"/>
        </w:rPr>
        <w:t>per annum</w:t>
      </w:r>
      <w:r>
        <w:rPr>
          <w:rFonts w:ascii="Times New Roman" w:hAnsi="Times New Roman"/>
          <w:sz w:val="20"/>
        </w:rPr>
        <w:t xml:space="preserve"> for each such day on the amount by which the Commitments on such day exceeds such Usage Amount (the “</w:t>
      </w:r>
      <w:r>
        <w:rPr>
          <w:rFonts w:ascii="Times New Roman" w:hAnsi="Times New Roman"/>
          <w:b/>
          <w:sz w:val="20"/>
        </w:rPr>
        <w:t>Unused Line Fee</w:t>
      </w:r>
      <w:r>
        <w:rPr>
          <w:rFonts w:ascii="Times New Roman" w:hAnsi="Times New Roman"/>
          <w:sz w:val="20"/>
        </w:rPr>
        <w:t xml:space="preserve">”). The Unused Line Fee shall be payable to Lenders having Revolving Exposure in arrears on the first Business Day of each calendar quarter with respect to each day in the previous calendar quarter and on the Commitment Termination Date with respect to the period ending on the Commitment Termination Date; and </w:t>
      </w:r>
    </w:p>
    <w:p>
      <w:pPr>
        <w:pStyle w:val="TextBody"/>
        <w:bidi w:val="0"/>
        <w:spacing w:before="120" w:after="0"/>
        <w:jc w:val="left"/>
        <w:rPr>
          <w:rFonts w:ascii="Times New Roman" w:hAnsi="Times New Roman"/>
          <w:sz w:val="20"/>
        </w:rPr>
      </w:pPr>
      <w:r>
        <w:rPr>
          <w:rFonts w:ascii="Times New Roman" w:hAnsi="Times New Roman"/>
          <w:sz w:val="20"/>
        </w:rPr>
        <w:t>(ii) letter of credit fees with respect to all Letters of Credit (the “</w:t>
      </w:r>
      <w:r>
        <w:rPr>
          <w:rFonts w:ascii="Times New Roman" w:hAnsi="Times New Roman"/>
          <w:b/>
          <w:sz w:val="20"/>
        </w:rPr>
        <w:t>L/C Fee</w:t>
      </w:r>
      <w:r>
        <w:rPr>
          <w:rFonts w:ascii="Times New Roman" w:hAnsi="Times New Roman"/>
          <w:sz w:val="20"/>
        </w:rPr>
        <w:t xml:space="preserve">”) equal to (A) the Applicable Rate for Revolving Loans that are SOFR Rate Loans, </w:t>
      </w:r>
      <w:r>
        <w:rPr>
          <w:rFonts w:ascii="Times New Roman" w:hAnsi="Times New Roman"/>
          <w:i/>
          <w:sz w:val="20"/>
          <w:u w:val="single"/>
        </w:rPr>
        <w:t>times</w:t>
      </w:r>
      <w:r>
        <w:rPr>
          <w:rFonts w:ascii="Times New Roman" w:hAnsi="Times New Roman"/>
          <w:i/>
          <w:sz w:val="20"/>
        </w:rPr>
        <w:t xml:space="preserve"> </w:t>
      </w:r>
      <w:r>
        <w:rPr>
          <w:rFonts w:ascii="Times New Roman" w:hAnsi="Times New Roman"/>
          <w:sz w:val="20"/>
        </w:rPr>
        <w:t xml:space="preserve">(B) the average aggregate daily maximum amount available to be drawn under all Letters of Credit (regardless of whether any conditions for drawing could then be met and determined as of the close of business on any date of determination and whether or not such maximum amount is then in effect under such Letter of Credit if such maximum amount increases periodically pursuant to the terms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All fees referred to in this </w:t>
      </w:r>
      <w:r>
        <w:rPr>
          <w:rFonts w:ascii="Times New Roman" w:hAnsi="Times New Roman"/>
          <w:sz w:val="20"/>
          <w:u w:val="single"/>
        </w:rPr>
        <w:t>Section 2.11(b)</w:t>
      </w:r>
      <w:r>
        <w:rPr>
          <w:rFonts w:ascii="Times New Roman" w:hAnsi="Times New Roman"/>
          <w:sz w:val="20"/>
        </w:rPr>
        <w:t xml:space="preserve"> shall be paid to the Administrative Agent at the Administrative Agent’s Office and upon receipt, the Administrative Agent shall promptly distribute to each Lender its Pro Rata Share thereof.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agrees to pay directly to the applicable Issuing Bank, for its own account, the following fees: </w:t>
      </w:r>
    </w:p>
    <w:p>
      <w:pPr>
        <w:pStyle w:val="TextBody"/>
        <w:bidi w:val="0"/>
        <w:spacing w:before="120" w:after="0"/>
        <w:jc w:val="left"/>
        <w:rPr>
          <w:rFonts w:ascii="Times New Roman" w:hAnsi="Times New Roman"/>
          <w:sz w:val="20"/>
        </w:rPr>
      </w:pPr>
      <w:r>
        <w:rPr>
          <w:rFonts w:ascii="Times New Roman" w:hAnsi="Times New Roman"/>
          <w:sz w:val="20"/>
        </w:rPr>
        <w:t xml:space="preserve">(i) a fronting fee in an amount equal to 0.25% </w:t>
      </w:r>
      <w:r>
        <w:rPr>
          <w:rFonts w:ascii="Times New Roman" w:hAnsi="Times New Roman"/>
          <w:i/>
          <w:sz w:val="20"/>
        </w:rPr>
        <w:t xml:space="preserve">per annum </w:t>
      </w:r>
      <w:r>
        <w:rPr>
          <w:rFonts w:ascii="Times New Roman" w:hAnsi="Times New Roman"/>
          <w:i/>
          <w:sz w:val="20"/>
          <w:u w:val="single"/>
        </w:rPr>
        <w:t>times</w:t>
      </w:r>
      <w:r>
        <w:rPr>
          <w:rFonts w:ascii="Times New Roman" w:hAnsi="Times New Roman"/>
          <w:sz w:val="20"/>
        </w:rPr>
        <w:t xml:space="preserve"> the daily maximum amount then available to be drawn under such Letter of Credit (whether or not such maximum amount is then in effect under such Letter of Credit if such maximum amount increases periodically pursuant to the terms of such Letter of Credit) determined as of the close of business on any date of determination; and </w:t>
      </w:r>
    </w:p>
    <w:p>
      <w:pPr>
        <w:pStyle w:val="TextBody"/>
        <w:bidi w:val="0"/>
        <w:spacing w:before="120" w:after="0"/>
        <w:jc w:val="left"/>
        <w:rPr>
          <w:rFonts w:ascii="Times New Roman" w:hAnsi="Times New Roman"/>
          <w:sz w:val="20"/>
        </w:rPr>
      </w:pPr>
      <w:r>
        <w:rPr>
          <w:rFonts w:ascii="Times New Roman" w:hAnsi="Times New Roman"/>
          <w:sz w:val="20"/>
        </w:rPr>
        <w:t xml:space="preserve">(ii) such documentary and processing charges for any issuance, amendment, transfer or payment of a Letter of Credit as are in accordance with such Issuing Bank’s standard schedule for such charges and as in effect at the time of such issuance, amendment, transfer or payment, as the case may be, which fees, costs and charges shall be payable to such Issuing Bank within three Business Days after its demand therefor and are nonrefundable. </w:t>
      </w:r>
    </w:p>
    <w:p>
      <w:pPr>
        <w:pStyle w:val="TextBody"/>
        <w:bidi w:val="0"/>
        <w:spacing w:before="240" w:after="0"/>
        <w:jc w:val="left"/>
        <w:rPr>
          <w:rFonts w:ascii="Times New Roman" w:hAnsi="Times New Roman"/>
          <w:sz w:val="20"/>
        </w:rPr>
      </w:pPr>
      <w:r>
        <w:rPr>
          <w:rFonts w:ascii="Times New Roman" w:hAnsi="Times New Roman"/>
          <w:sz w:val="20"/>
        </w:rPr>
        <w:t xml:space="preserve">(d) All fees referred to in </w:t>
      </w:r>
      <w:r>
        <w:rPr>
          <w:rFonts w:ascii="Times New Roman" w:hAnsi="Times New Roman"/>
          <w:sz w:val="20"/>
          <w:u w:val="single"/>
        </w:rPr>
        <w:t>Sections 2.11(b)</w:t>
      </w:r>
      <w:r>
        <w:rPr>
          <w:rFonts w:ascii="Times New Roman" w:hAnsi="Times New Roman"/>
          <w:sz w:val="20"/>
        </w:rPr>
        <w:t xml:space="preserve"> and </w:t>
      </w:r>
      <w:r>
        <w:rPr>
          <w:rFonts w:ascii="Times New Roman" w:hAnsi="Times New Roman"/>
          <w:sz w:val="20"/>
          <w:u w:val="single"/>
        </w:rPr>
        <w:t>2.11(c)(i)</w:t>
      </w:r>
      <w:r>
        <w:rPr>
          <w:rFonts w:ascii="Times New Roman" w:hAnsi="Times New Roman"/>
          <w:sz w:val="20"/>
        </w:rPr>
        <w:t xml:space="preserve"> shall be payable quarterly in arrears on the last Business Day of each fiscal quarter of each year during the Commitment Period, commencing with the first full fiscal quarter ending after the Closing Date, and on the Commitment Termination Date; </w:t>
      </w:r>
      <w:r>
        <w:rPr>
          <w:rFonts w:ascii="Times New Roman" w:hAnsi="Times New Roman"/>
          <w:i/>
          <w:sz w:val="20"/>
        </w:rPr>
        <w:t xml:space="preserve">provided </w:t>
      </w:r>
      <w:r>
        <w:rPr>
          <w:rFonts w:ascii="Times New Roman" w:hAnsi="Times New Roman"/>
          <w:sz w:val="20"/>
        </w:rPr>
        <w:t xml:space="preserve">that any such fees accruing after the Commitment Termination Date shall be payable on demand. </w:t>
      </w:r>
    </w:p>
    <w:p>
      <w:pPr>
        <w:pStyle w:val="TextBody"/>
        <w:bidi w:val="0"/>
        <w:spacing w:before="240" w:after="0"/>
        <w:jc w:val="left"/>
        <w:rPr>
          <w:rFonts w:ascii="Times New Roman" w:hAnsi="Times New Roman"/>
          <w:sz w:val="20"/>
        </w:rPr>
      </w:pPr>
      <w:r>
        <w:rPr>
          <w:rFonts w:ascii="Times New Roman" w:hAnsi="Times New Roman"/>
          <w:sz w:val="20"/>
        </w:rPr>
        <w:t xml:space="preserve">(e)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Computation of Interest and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computations of interest for Base Rate Loans calculated by reference to the “prime rate” or Federal Funds Rate shall be made on the basis of a year of 365 days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hAnsi="Times New Roman"/>
          <w:i/>
          <w:sz w:val="20"/>
        </w:rPr>
        <w:t xml:space="preserve">provided </w:t>
      </w:r>
      <w:r>
        <w:rPr>
          <w:rFonts w:ascii="Times New Roman" w:hAnsi="Times New Roman"/>
          <w:sz w:val="20"/>
        </w:rPr>
        <w:t xml:space="preserve">that any Loan that is repaid on the same day on which it is made shall, subject to Section 2.10(a), bear interest for one day. Each determination by the Administrative Agent of an interest rate or fee hereunder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Evidence of Indebtedness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Borrowings made by each Lender shall be evidenced by one or more accounts or records maintained by such Lender and evidenced by one or more entries in the Register maintained by the Administrative Agent, acting solely for purposes of Treasury Regulation Section 5f.103-1(c), as non-fiduciary agent for the Borrower, in each case in the ordinary course of business. The accounts or records maintained by the Administrative Agent and each Lender shall be </w:t>
      </w:r>
      <w:r>
        <w:rPr>
          <w:rFonts w:ascii="Times New Roman" w:hAnsi="Times New Roman"/>
          <w:i/>
          <w:sz w:val="20"/>
        </w:rPr>
        <w:t xml:space="preserve">prima facie </w:t>
      </w:r>
      <w:r>
        <w:rPr>
          <w:rFonts w:ascii="Times New Roman" w:hAnsi="Times New Roman"/>
          <w:sz w:val="20"/>
        </w:rPr>
        <w:t xml:space="preserve">evidence absent manifest error of the amount of the Borrowings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any Lender, the Borrower shall execute and deliver to such Lender (through the Administrative Agent) a Revolving Loan Note payable to such Lender, which shall evidence the relevant Class of such Lender’s Loans in addition to such accounts or records. Each Lender may attach schedules to its Revolving Loan Note and endorse thereon the date, Type (if applicable), amount and maturity of its Loans and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Entries made in good faith by the Administrative Agent in the Register pursuant to </w:t>
      </w:r>
      <w:r>
        <w:rPr>
          <w:rFonts w:ascii="Times New Roman" w:hAnsi="Times New Roman"/>
          <w:sz w:val="20"/>
          <w:u w:val="single"/>
        </w:rPr>
        <w:t>Section 2.13(a)</w:t>
      </w:r>
      <w:r>
        <w:rPr>
          <w:rFonts w:ascii="Times New Roman" w:hAnsi="Times New Roman"/>
          <w:sz w:val="20"/>
        </w:rPr>
        <w:t xml:space="preserve">, and by each Lender in its account or accounts pursuant to </w:t>
      </w:r>
      <w:r>
        <w:rPr>
          <w:rFonts w:ascii="Times New Roman" w:hAnsi="Times New Roman"/>
          <w:sz w:val="20"/>
          <w:u w:val="single"/>
        </w:rPr>
        <w:t>Section 2.13(a)</w:t>
      </w:r>
      <w:r>
        <w:rPr>
          <w:rFonts w:ascii="Times New Roman" w:hAnsi="Times New Roman"/>
          <w:sz w:val="20"/>
        </w:rPr>
        <w:t xml:space="preserve">, shall be </w:t>
      </w:r>
      <w:r>
        <w:rPr>
          <w:rFonts w:ascii="Times New Roman" w:hAnsi="Times New Roman"/>
          <w:i/>
          <w:sz w:val="20"/>
        </w:rPr>
        <w:t xml:space="preserve">prima facie </w:t>
      </w:r>
      <w:r>
        <w:rPr>
          <w:rFonts w:ascii="Times New Roman" w:hAnsi="Times New Roman"/>
          <w:sz w:val="20"/>
        </w:rPr>
        <w:t xml:space="preserve">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hAnsi="Times New Roman"/>
          <w:i/>
          <w:sz w:val="20"/>
        </w:rPr>
        <w:t xml:space="preserve">provided </w:t>
      </w:r>
      <w:r>
        <w:rPr>
          <w:rFonts w:ascii="Times New Roman" w:hAnsi="Times New Roman"/>
          <w:sz w:val="20"/>
        </w:rPr>
        <w:t xml:space="preserve">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Payments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payments to be made by the Borrower shall be made on the date when due, in immediately available funds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Day Funds not later than 1:00 p.m. (unless otherwise agreed by the Administrative Agent) on the date specified herein. The Administrative Agent will promptly distribute to each Appropriate Lender its Pro Rata Share (or other applicable share as provided herein) of such payment in like funds as received by wire transfer to such Lender’s Lending Office; </w:t>
      </w:r>
      <w:r>
        <w:rPr>
          <w:rFonts w:ascii="Times New Roman" w:hAnsi="Times New Roman"/>
          <w:i/>
          <w:sz w:val="20"/>
        </w:rPr>
        <w:t xml:space="preserve">provided </w:t>
      </w:r>
      <w:r>
        <w:rPr>
          <w:rFonts w:ascii="Times New Roman" w:hAnsi="Times New Roman"/>
          <w:sz w:val="20"/>
        </w:rPr>
        <w:t xml:space="preserve">that the proceeds of any borrowing of Revolving Loans to finance the reimbursement of a drawn Letter of Credit as provided in </w:t>
      </w:r>
      <w:r>
        <w:rPr>
          <w:rFonts w:ascii="Times New Roman" w:hAnsi="Times New Roman"/>
          <w:sz w:val="20"/>
          <w:u w:val="single"/>
        </w:rPr>
        <w:t>Section 2.04(c)</w:t>
      </w:r>
      <w:r>
        <w:rPr>
          <w:rFonts w:ascii="Times New Roman" w:hAnsi="Times New Roman"/>
          <w:sz w:val="20"/>
        </w:rPr>
        <w:t xml:space="preserve"> shall be remitted by the Administrative Agent to the applicable Issuing Bank. All payments received by the Administrative Agent after 1:00 p.m. (or such other time as agreed by the Administrative Agent) may in each case be deemed received on the next succeeding Business Day and any applicable interest or fee shall continue to accrue. </w:t>
      </w:r>
    </w:p>
    <w:p>
      <w:pPr>
        <w:pStyle w:val="TextBody"/>
        <w:bidi w:val="0"/>
        <w:spacing w:before="240" w:after="0"/>
        <w:jc w:val="left"/>
        <w:rPr>
          <w:rFonts w:ascii="Times New Roman" w:hAnsi="Times New Roman"/>
          <w:sz w:val="20"/>
        </w:rPr>
      </w:pPr>
      <w:r>
        <w:rPr>
          <w:rFonts w:ascii="Times New Roman" w:hAnsi="Times New Roman"/>
          <w:sz w:val="20"/>
        </w:rPr>
        <w:t xml:space="preserve">(b) If any payment to be made by the Borrower shall come due on a day other than a Business Day, payment shall be made on the next following Business Day, and such extension of time shall be reflected in computing interest or fees,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Unless the Borrower has notified the Administrative Agent, prior to the date any payment is required to be made by the Borrower to the Administrative Agent hereunder for the account of any Lender or any Issuing Bank, as applicable, that the Borrower will not make such payment, the Administrative Agent may assume that the Borrower has timely made such payment and may (but shall not be so required to), in reliance thereon, make available a corresponding amount to such Lender or such Issuing Bank. If and to the extent that such payment was not in fact made to the Administrative Agent in Same Day Funds, then such Lender or such Issuing Bank, as applicable, shall forthwith on demand repay to the Administrative Agent the portion of such assumed payment that was made available to such Lender or such Issuing Bank in Same Day Funds, together with interest thereon in respect of each day from and including the date such amount was made available by the Administrative Agent to such Lender or such Issuing Bank, as applicable, to the date such amount is repaid to the Administrative Agent in Same Day Funds at the applicable Overnight Rate from time to time in effect. </w:t>
      </w:r>
    </w:p>
    <w:p>
      <w:pPr>
        <w:pStyle w:val="TextBody"/>
        <w:bidi w:val="0"/>
        <w:spacing w:before="240" w:after="0"/>
        <w:jc w:val="left"/>
        <w:rPr>
          <w:rFonts w:ascii="Times New Roman" w:hAnsi="Times New Roman"/>
          <w:sz w:val="20"/>
        </w:rPr>
      </w:pPr>
      <w:r>
        <w:rPr>
          <w:rFonts w:ascii="Times New Roman" w:hAnsi="Times New Roman"/>
          <w:sz w:val="20"/>
        </w:rPr>
        <w:t xml:space="preserve">(d) If any Lender makes available to the Administrative Agent funds for any Loan to be made by such Lender as provided in the foregoing provisions of this </w:t>
      </w:r>
      <w:r>
        <w:rPr>
          <w:rFonts w:ascii="Times New Roman" w:hAnsi="Times New Roman"/>
          <w:sz w:val="20"/>
          <w:u w:val="single"/>
        </w:rPr>
        <w:t>Article II</w:t>
      </w:r>
      <w:r>
        <w:rPr>
          <w:rFonts w:ascii="Times New Roman" w:hAnsi="Times New Roman"/>
          <w:sz w:val="20"/>
        </w:rPr>
        <w:t xml:space="preserve">, and such funds are not made available to the Borrower by the Administrative Agent because the conditions to the Borrowing set forth in </w:t>
      </w:r>
      <w:r>
        <w:rPr>
          <w:rFonts w:ascii="Times New Roman" w:hAnsi="Times New Roman"/>
          <w:sz w:val="20"/>
          <w:u w:val="single"/>
        </w:rPr>
        <w:t>Article IV</w:t>
      </w:r>
      <w:r>
        <w:rPr>
          <w:rFonts w:ascii="Times New Roman" w:hAnsi="Times New Roman"/>
          <w:sz w:val="20"/>
        </w:rPr>
        <w:t xml:space="preserve"> are not satisfied or waived in accordance with the terms hereof, the Administrative Agent shall return such funds (in like funds as received from such Lender) to such Lender, without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obligations of the Lenders hereunder to make Loans, to fund participations in Letters of Credit and to make payments pursuant to </w:t>
      </w:r>
      <w:r>
        <w:rPr>
          <w:rFonts w:ascii="Times New Roman" w:hAnsi="Times New Roman"/>
          <w:sz w:val="20"/>
          <w:u w:val="single"/>
        </w:rPr>
        <w:t>Section 10.07</w:t>
      </w:r>
      <w:r>
        <w:rPr>
          <w:rFonts w:ascii="Times New Roman" w:hAnsi="Times New Roman"/>
          <w:sz w:val="20"/>
        </w:rPr>
        <w:t xml:space="preserve">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 </w:t>
      </w:r>
    </w:p>
    <w:p>
      <w:pPr>
        <w:pStyle w:val="TextBody"/>
        <w:bidi w:val="0"/>
        <w:spacing w:before="240" w:after="0"/>
        <w:jc w:val="left"/>
        <w:rPr>
          <w:rFonts w:ascii="Times New Roman" w:hAnsi="Times New Roman"/>
          <w:sz w:val="20"/>
        </w:rPr>
      </w:pPr>
      <w:r>
        <w:rPr>
          <w:rFonts w:ascii="Times New Roman" w:hAnsi="Times New Roman"/>
          <w:sz w:val="20"/>
        </w:rPr>
        <w:t xml:space="preserve">(f) Nothing herein shall be deemed to obligate any Lender to obtain the funds for any Loan in any particular place or manner or to constitute a representation by any Lender that it has obtained or will obtain the funds for any Loan in any particular place or manner. </w:t>
      </w:r>
    </w:p>
    <w:p>
      <w:pPr>
        <w:pStyle w:val="TextBody"/>
        <w:bidi w:val="0"/>
        <w:spacing w:before="240" w:after="0"/>
        <w:jc w:val="left"/>
        <w:rPr>
          <w:rFonts w:ascii="Times New Roman" w:hAnsi="Times New Roman"/>
          <w:sz w:val="20"/>
        </w:rPr>
      </w:pPr>
      <w:r>
        <w:rPr>
          <w:rFonts w:ascii="Times New Roman" w:hAnsi="Times New Roman"/>
          <w:sz w:val="20"/>
        </w:rPr>
        <w:t xml:space="preserve">(g)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hAnsi="Times New Roman"/>
          <w:sz w:val="20"/>
          <w:u w:val="single"/>
        </w:rPr>
        <w:t>Section 9.03</w:t>
      </w:r>
      <w:r>
        <w:rPr>
          <w:rFonts w:ascii="Times New Roman" w:hAnsi="Times New Roman"/>
          <w:sz w:val="20"/>
        </w:rPr>
        <w:t xml:space="preserve">.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(h) If any Lender shall fail to make any payment required to be made by it pursuant to </w:t>
      </w:r>
      <w:r>
        <w:rPr>
          <w:rFonts w:ascii="Times New Roman" w:hAnsi="Times New Roman"/>
          <w:sz w:val="20"/>
          <w:u w:val="single"/>
        </w:rPr>
        <w:t>Section 2.04(c)</w:t>
      </w:r>
      <w:r>
        <w:rPr>
          <w:rFonts w:ascii="Times New Roman" w:hAnsi="Times New Roman"/>
          <w:sz w:val="20"/>
        </w:rPr>
        <w:t xml:space="preserve">, </w:t>
      </w:r>
      <w:r>
        <w:rPr>
          <w:rFonts w:ascii="Times New Roman" w:hAnsi="Times New Roman"/>
          <w:sz w:val="20"/>
          <w:u w:val="single"/>
        </w:rPr>
        <w:t>2.06</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or </w:t>
      </w:r>
      <w:r>
        <w:rPr>
          <w:rFonts w:ascii="Times New Roman" w:hAnsi="Times New Roman"/>
          <w:sz w:val="20"/>
          <w:u w:val="single"/>
        </w:rPr>
        <w:t>10.07</w:t>
      </w:r>
      <w:r>
        <w:rPr>
          <w:rFonts w:ascii="Times New Roman" w:hAnsi="Times New Roman"/>
          <w:sz w:val="20"/>
        </w:rPr>
        <w:t xml:space="preserve">, then the Administrative Agent may, in its discretion and notwithstanding any contrary provision hereof, (i) apply any amounts thereafter received by the Administrative Agent for the account of such Lender for the benefit of the Administrative Agent or the Issuing Banks, as applicable, to satisfy such Lender’s obligations to the Administrative Agent and the Issuing Banks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hAnsi="Times New Roman"/>
          <w:sz w:val="20"/>
          <w:u w:val="single"/>
        </w:rPr>
        <w:t>clauses (i)</w:t>
      </w:r>
      <w:r>
        <w:rPr>
          <w:rFonts w:ascii="Times New Roman" w:hAnsi="Times New Roman"/>
          <w:sz w:val="20"/>
        </w:rPr>
        <w:t xml:space="preserve"> and (ii) above, in any order as determined by the Administrative Agent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Sharing of Payments, Etc</w:t>
      </w:r>
      <w:r>
        <w:rPr>
          <w:rFonts w:ascii="Times New Roman" w:hAnsi="Times New Roman"/>
          <w:sz w:val="20"/>
        </w:rPr>
        <w:t xml:space="preserve">. If, other than as expressly provided elsewhere herein, any Lender shall obtain payment in respect of any principal of or interest on account of the Loans of a particular Class made by it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w:t>
      </w:r>
      <w:r>
        <w:rPr>
          <w:rFonts w:ascii="Times New Roman" w:hAnsi="Times New Roman"/>
          <w:i/>
          <w:sz w:val="20"/>
        </w:rPr>
        <w:t xml:space="preserve">provided </w:t>
      </w:r>
      <w:r>
        <w:rPr>
          <w:rFonts w:ascii="Times New Roman" w:hAnsi="Times New Roman"/>
          <w:sz w:val="20"/>
        </w:rPr>
        <w:t xml:space="preserve">that if all or any portion of such excess payment is thereafter recovered from the purchasing Lender under any of the circumstances described in </w:t>
      </w:r>
      <w:r>
        <w:rPr>
          <w:rFonts w:ascii="Times New Roman" w:hAnsi="Times New Roman"/>
          <w:sz w:val="20"/>
          <w:u w:val="single"/>
        </w:rPr>
        <w:t>Section 11.06</w:t>
      </w:r>
      <w:r>
        <w:rPr>
          <w:rFonts w:ascii="Times New Roman" w:hAnsi="Times New Roman"/>
          <w:sz w:val="20"/>
        </w:rPr>
        <w:t xml:space="preserve"> (including pursuant to any settlement entered into by the purchasing Lender in its discretion), such purchase shall to that extent be rescinded and each relevant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so recovered, without further interest thereon. The provisions of this paragraph shall not be construed to apply to (A) any payment made by the Borrower pursuant to and in accordance with the express terms of this Agreement as in effect from time to time (including 11.07), (B) any payment obtained by a Lender as consideration for the assignment of or sale of a participation in any of its Loans to any assignee or participant permitted hereunder or (C) any payment received by such Lender not in its capacity as a Lender. The Borrower agrees that any Lender so purchasing a participation from another Lender may, to the fullest extent permitted by applicable Law, exercise all its rights of payment (including the right of setoff, but subject to Section 11.09)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Section 2.15 and will in each case notify the Lenders following any such purchases or repayments. Each Lender that purchases a participation pursuant to this Section 2.15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Incremental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w:t>
      </w:r>
      <w:r>
        <w:rPr>
          <w:rFonts w:ascii="Times New Roman" w:hAnsi="Times New Roman"/>
          <w:sz w:val="20"/>
        </w:rPr>
        <w:t>. At any time and from time to time, on one or more occasions, the Borrower may, by notice to the Administrative Agent increase the aggregate principal amount of Commitments under the Loan Documents (the “</w:t>
      </w:r>
      <w:r>
        <w:rPr>
          <w:rFonts w:ascii="Times New Roman" w:hAnsi="Times New Roman"/>
          <w:b/>
          <w:sz w:val="20"/>
        </w:rPr>
        <w:t>Incremental</w:t>
      </w:r>
      <w:r>
        <w:rPr>
          <w:rFonts w:ascii="Times New Roman" w:hAnsi="Times New Roman"/>
          <w:sz w:val="20"/>
        </w:rPr>
        <w:t xml:space="preserve"> </w:t>
      </w:r>
      <w:r>
        <w:rPr>
          <w:rFonts w:ascii="Times New Roman" w:hAnsi="Times New Roman"/>
          <w:b/>
          <w:sz w:val="20"/>
        </w:rPr>
        <w:t>Facilities”,</w:t>
      </w:r>
      <w:r>
        <w:rPr>
          <w:rFonts w:ascii="Times New Roman" w:hAnsi="Times New Roman"/>
          <w:sz w:val="20"/>
        </w:rPr>
        <w:t xml:space="preserve"> and the revolving loans and other extensions of credit made thereunder, the “</w:t>
      </w:r>
      <w:r>
        <w:rPr>
          <w:rFonts w:ascii="Times New Roman" w:hAnsi="Times New Roman"/>
          <w:b/>
          <w:sz w:val="20"/>
        </w:rPr>
        <w:t>Incremental</w:t>
      </w:r>
      <w:r>
        <w:rPr>
          <w:rFonts w:ascii="Times New Roman" w:hAnsi="Times New Roman"/>
          <w:sz w:val="20"/>
        </w:rPr>
        <w:t xml:space="preserve"> </w:t>
      </w:r>
      <w:r>
        <w:rPr>
          <w:rFonts w:ascii="Times New Roman" w:hAnsi="Times New Roman"/>
          <w:b/>
          <w:sz w:val="20"/>
        </w:rPr>
        <w:t>Loans”)</w:t>
      </w:r>
      <w:r>
        <w:rPr>
          <w:rFonts w:ascii="Times New Roman" w:hAnsi="Times New Roman"/>
          <w:sz w:val="20"/>
        </w:rPr>
        <w:t xml:space="preserve"> ; </w:t>
      </w:r>
      <w:r>
        <w:rPr>
          <w:rFonts w:ascii="Times New Roman" w:hAnsi="Times New Roman"/>
          <w:i/>
          <w:sz w:val="20"/>
        </w:rPr>
        <w:t>provided,</w:t>
      </w:r>
      <w:r>
        <w:rPr>
          <w:rFonts w:ascii="Times New Roman" w:hAnsi="Times New Roman"/>
          <w:sz w:val="20"/>
        </w:rPr>
        <w:t xml:space="preserve"> that (i) if a Default or Event of Default has occurred and is continuing that (A) is a Specified Event of Default or (B) would require the consent of each of the Lenders to waive or otherwise consent to waive, the consent of each of the Lenders hereto shall be required to make notice of such Incremental Facilities and (ii) if a Default or Event of Default has occurred and is continuing that is not of the type described in the foregoing clause (i), the consent of the Required Lenders hereto shall be required to make notice of such Incremental Facilities.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Ranking</w:t>
      </w:r>
      <w:r>
        <w:rPr>
          <w:rFonts w:ascii="Times New Roman" w:hAnsi="Times New Roman"/>
          <w:sz w:val="20"/>
        </w:rPr>
        <w:t xml:space="preserve">. Incremental Facilities (i) may rank either junior in right of payment with the existing Revolving Loans or </w:t>
      </w:r>
      <w:r>
        <w:rPr>
          <w:rFonts w:ascii="Times New Roman" w:hAnsi="Times New Roman"/>
          <w:i/>
          <w:sz w:val="20"/>
        </w:rPr>
        <w:t xml:space="preserve">pari passu </w:t>
      </w:r>
      <w:r>
        <w:rPr>
          <w:rFonts w:ascii="Times New Roman" w:hAnsi="Times New Roman"/>
          <w:sz w:val="20"/>
        </w:rPr>
        <w:t xml:space="preserve">in right of payment with the existing Revolving Loans, (ii) may either be unsecured or secured (on a junior basis or on a </w:t>
      </w:r>
      <w:r>
        <w:rPr>
          <w:rFonts w:ascii="Times New Roman" w:hAnsi="Times New Roman"/>
          <w:i/>
          <w:sz w:val="20"/>
        </w:rPr>
        <w:t xml:space="preserve">pari passu </w:t>
      </w:r>
      <w:r>
        <w:rPr>
          <w:rFonts w:ascii="Times New Roman" w:hAnsi="Times New Roman"/>
          <w:sz w:val="20"/>
        </w:rPr>
        <w:t>basis) by the Collateral (or assets that become Collateral substantially concurrently with the incurrence of such Incremental Facility) (</w:t>
      </w:r>
      <w:r>
        <w:rPr>
          <w:rFonts w:ascii="Times New Roman" w:hAnsi="Times New Roman"/>
          <w:i/>
          <w:sz w:val="20"/>
        </w:rPr>
        <w:t>provided</w:t>
      </w:r>
      <w:r>
        <w:rPr>
          <w:rFonts w:ascii="Times New Roman" w:hAnsi="Times New Roman"/>
          <w:sz w:val="20"/>
        </w:rPr>
        <w:t xml:space="preserve"> that such Incremental Facilities shall only be permitted to be secured on a </w:t>
      </w:r>
      <w:r>
        <w:rPr>
          <w:rFonts w:ascii="Times New Roman" w:hAnsi="Times New Roman"/>
          <w:i/>
          <w:sz w:val="20"/>
        </w:rPr>
        <w:t>pari passu</w:t>
      </w:r>
      <w:r>
        <w:rPr>
          <w:rFonts w:ascii="Times New Roman" w:hAnsi="Times New Roman"/>
          <w:sz w:val="20"/>
        </w:rPr>
        <w:t xml:space="preserve"> basis by the Collateral to the extent the relevant parties have entered in to a Junior Lien Intercreditor Agreement in substantially the form of </w:t>
      </w:r>
      <w:r>
        <w:rPr>
          <w:rFonts w:ascii="Times New Roman" w:hAnsi="Times New Roman"/>
          <w:sz w:val="20"/>
          <w:u w:val="single"/>
        </w:rPr>
        <w:t>Exhibit K-2</w:t>
      </w:r>
      <w:r>
        <w:rPr>
          <w:rFonts w:ascii="Times New Roman" w:hAnsi="Times New Roman"/>
          <w:sz w:val="20"/>
        </w:rPr>
        <w:t xml:space="preserve"> or Existing Junior Lien Intercreditor Agreement has either (A) been amended to increase the amount of the “Maximum First Lien Obligations Amount” to accommodate such </w:t>
      </w:r>
      <w:r>
        <w:rPr>
          <w:rFonts w:ascii="Times New Roman" w:hAnsi="Times New Roman"/>
          <w:i/>
          <w:sz w:val="20"/>
        </w:rPr>
        <w:t>pari passu</w:t>
      </w:r>
      <w:r>
        <w:rPr>
          <w:rFonts w:ascii="Times New Roman" w:hAnsi="Times New Roman"/>
          <w:sz w:val="20"/>
        </w:rPr>
        <w:t xml:space="preserve"> liens or (B) terminated on or prior to the date of incurrence of such Incremental Facility) and (iii) may be guaranteed solely by the Loan Parties (or Persons that become Loan Parties substantially concurrently with the incurrence of such Incremental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Size and Currency</w:t>
      </w:r>
      <w:r>
        <w:rPr>
          <w:rFonts w:ascii="Times New Roman" w:hAnsi="Times New Roman"/>
          <w:sz w:val="20"/>
        </w:rPr>
        <w:t>. The aggregate principal amount of Incremental Facilities on any date Indebtedness thereunder is first incurred, together with the aggregate principal amount of any Incremental Facilities outstanding on such date, will not exceed $50,000,000 or such greater amount as consented to by all Lenders (the “</w:t>
      </w:r>
      <w:r>
        <w:rPr>
          <w:rFonts w:ascii="Times New Roman" w:hAnsi="Times New Roman"/>
          <w:b/>
          <w:sz w:val="20"/>
        </w:rPr>
        <w:t>Incremental</w:t>
      </w:r>
      <w:r>
        <w:rPr>
          <w:rFonts w:ascii="Times New Roman" w:hAnsi="Times New Roman"/>
          <w:sz w:val="20"/>
        </w:rPr>
        <w:t xml:space="preserve"> </w:t>
      </w:r>
      <w:r>
        <w:rPr>
          <w:rFonts w:ascii="Times New Roman" w:hAnsi="Times New Roman"/>
          <w:b/>
          <w:sz w:val="20"/>
        </w:rPr>
        <w:t>Amount”)</w:t>
      </w:r>
      <w:r>
        <w:rPr>
          <w:rFonts w:ascii="Times New Roman" w:hAnsi="Times New Roman"/>
          <w:sz w:val="20"/>
        </w:rPr>
        <w:t xml:space="preserve">. Each Incremental Facility will be in an integral multiple of $1,000,000 and in an aggregate principal amount that is not less than $5,000,000 (or such lesser minimum amount approved by the Administrative Agent in its reasonable discretion); </w:t>
      </w:r>
      <w:r>
        <w:rPr>
          <w:rFonts w:ascii="Times New Roman" w:hAnsi="Times New Roman"/>
          <w:i/>
          <w:sz w:val="20"/>
        </w:rPr>
        <w:t xml:space="preserve">provided </w:t>
      </w:r>
      <w:r>
        <w:rPr>
          <w:rFonts w:ascii="Times New Roman" w:hAnsi="Times New Roman"/>
          <w:sz w:val="20"/>
        </w:rPr>
        <w:t xml:space="preserve">that such amount may be less than such minimum amount or integral multiple amount if such amount represents all the remaining availability under the Incremental Amount at such time. Any Incremental Facility may be denominated in Dollars, and the minimum amount and integral multiples shall be a Dollar Amount of $5,000,000 or $1,000,000, respectively (or, in each case, such lesser minimum amount approved by the Administrative Agent in its reasonable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Incremental Lenders</w:t>
      </w:r>
      <w:r>
        <w:rPr>
          <w:rFonts w:ascii="Times New Roman" w:hAnsi="Times New Roman"/>
          <w:sz w:val="20"/>
        </w:rPr>
        <w:t xml:space="preserve">. Incremental Facilities may be provided by any existing Lender (it being understood that no existing Lender shall have an obligation to make, or provide commitments with respect to, an Incremental Loan) or by any Additional Lender. While existing Lenders may (but are not obligated to) participate in any syndication of an Incremental Facility and may (but are not obligated to) become lenders with respect thereto; </w:t>
      </w:r>
      <w:r>
        <w:rPr>
          <w:rFonts w:ascii="Times New Roman" w:hAnsi="Times New Roman"/>
          <w:i/>
          <w:sz w:val="20"/>
        </w:rPr>
        <w:t xml:space="preserve">provided </w:t>
      </w:r>
      <w:r>
        <w:rPr>
          <w:rFonts w:ascii="Times New Roman" w:hAnsi="Times New Roman"/>
          <w:sz w:val="20"/>
        </w:rPr>
        <w:t xml:space="preserve">that (x) the opportunity to provide any Incremental Facility shall first be offered to the then-existing Revolving Lenders before being offered to Additional Lenders and (y) if the then-existing Revolving Lenders decline to provide all or any portion of such Incremental Facility, the Additional Lender(s) providing all or any portion of such Incremental Facility shall be subject to the consent of the Required Lenders (such consent not to be unreasonably withheld, delayed or conditioned), which may include any Lenders that decline to provide a commitment to an Incremental Loan. Final allocations in respect of Incremental Facilities will be made by the Borrower together with the arrangers thereof, if any, in their discretion, on the terms permitted by this </w:t>
      </w:r>
      <w:r>
        <w:rPr>
          <w:rFonts w:ascii="Times New Roman" w:hAnsi="Times New Roman"/>
          <w:sz w:val="20"/>
          <w:u w:val="single"/>
        </w:rPr>
        <w:t>Section 2.16</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lenders providing the Incremental Facilities will be reasonably acceptable to (i) the Borrower, (ii) the Administrative Agent and (iii) each Issuing Bank (except that,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only to the extent such Person otherwise would have a consent right to an assignment of such loans or commitments to such lender in accordance with Section 11.05) and if any then-existing Revolving Lenders elect to participate, they will be allocated (at their election) at least their pro rata share of the Incremental Facilities.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Incremental Facility Amendments; Use of Proceeds</w:t>
      </w:r>
      <w:r>
        <w:rPr>
          <w:rFonts w:ascii="Times New Roman" w:hAnsi="Times New Roman"/>
          <w:sz w:val="20"/>
        </w:rPr>
        <w:t>. Each Incremental Facility will become effective pursuant to an amendment (each, an “</w:t>
      </w:r>
      <w:r>
        <w:rPr>
          <w:rFonts w:ascii="Times New Roman" w:hAnsi="Times New Roman"/>
          <w:b/>
          <w:sz w:val="20"/>
        </w:rPr>
        <w:t>Incremental</w:t>
      </w:r>
      <w:r>
        <w:rPr>
          <w:rFonts w:ascii="Times New Roman" w:hAnsi="Times New Roman"/>
          <w:sz w:val="20"/>
        </w:rPr>
        <w:t xml:space="preserve"> </w:t>
      </w:r>
      <w:r>
        <w:rPr>
          <w:rFonts w:ascii="Times New Roman" w:hAnsi="Times New Roman"/>
          <w:b/>
          <w:sz w:val="20"/>
        </w:rPr>
        <w:t>Amendment”)</w:t>
      </w:r>
      <w:r>
        <w:rPr>
          <w:rFonts w:ascii="Times New Roman" w:hAnsi="Times New Roman"/>
          <w:sz w:val="20"/>
        </w:rPr>
        <w:t xml:space="preserve"> to this Agreement and, as appropriate, the other Loan Documents, executed by the Borrower and each Person providing such Incremental Facility and the Administrative Agent. The Administrative Agent will promptly notify each Lender as to the effectiveness of each Incremental Amendment. Incremental Amendments may, without the consent of any other Lenders, effect such amendments to this Agreement and the other Loan Documents as may be necessary or appropriate, in the reasonable opinion of the Borrower in consultation with the Administrative Agent, to effect the provisions of this </w:t>
      </w:r>
      <w:r>
        <w:rPr>
          <w:rFonts w:ascii="Times New Roman" w:hAnsi="Times New Roman"/>
          <w:sz w:val="20"/>
          <w:u w:val="single"/>
        </w:rPr>
        <w:t>Section 2.16</w:t>
      </w:r>
      <w:r>
        <w:rPr>
          <w:rFonts w:ascii="Times New Roman" w:hAnsi="Times New Roman"/>
          <w:sz w:val="20"/>
        </w:rPr>
        <w:t xml:space="preserve"> and, to the extent practicable, to make an Incremental Loan fungible (including for Tax purposes) with other Loans (subject to the limitations under </w:t>
      </w:r>
      <w:r>
        <w:rPr>
          <w:rFonts w:ascii="Times New Roman" w:hAnsi="Times New Roman"/>
          <w:sz w:val="20"/>
          <w:u w:val="single"/>
        </w:rPr>
        <w:t>sub-clauses (g)</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of this Section) to the extent practicable.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Loans evidenced thereby. This </w:t>
      </w:r>
      <w:r>
        <w:rPr>
          <w:rFonts w:ascii="Times New Roman" w:hAnsi="Times New Roman"/>
          <w:sz w:val="20"/>
          <w:u w:val="single"/>
        </w:rPr>
        <w:t>Section 2.16</w:t>
      </w:r>
      <w:r>
        <w:rPr>
          <w:rFonts w:ascii="Times New Roman" w:hAnsi="Times New Roman"/>
          <w:sz w:val="20"/>
        </w:rPr>
        <w:t xml:space="preserve"> shall supersede any provisions in </w:t>
      </w:r>
      <w:r>
        <w:rPr>
          <w:rFonts w:ascii="Times New Roman" w:hAnsi="Times New Roman"/>
          <w:sz w:val="20"/>
          <w:u w:val="single"/>
        </w:rPr>
        <w:t>Section 2.15</w:t>
      </w:r>
      <w:r>
        <w:rPr>
          <w:rFonts w:ascii="Times New Roman" w:hAnsi="Times New Roman"/>
          <w:sz w:val="20"/>
        </w:rPr>
        <w:t xml:space="preserve"> or </w:t>
      </w:r>
      <w:r>
        <w:rPr>
          <w:rFonts w:ascii="Times New Roman" w:hAnsi="Times New Roman"/>
          <w:sz w:val="20"/>
          <w:u w:val="single"/>
        </w:rPr>
        <w:t xml:space="preserve">11.01 </w:t>
      </w:r>
      <w:r>
        <w:rPr>
          <w:rFonts w:ascii="Times New Roman" w:hAnsi="Times New Roman"/>
          <w:sz w:val="20"/>
        </w:rPr>
        <w:t xml:space="preserve">to the contrary. The Borrower may use the proceeds of the Incremental Loans for any purpose not prohibited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Conditions</w:t>
      </w:r>
      <w:r>
        <w:rPr>
          <w:rFonts w:ascii="Times New Roman" w:hAnsi="Times New Roman"/>
          <w:sz w:val="20"/>
        </w:rPr>
        <w:t xml:space="preserve">. The availability of Incremental Facilities under this Agreement will be subject solely to the following conditions and any other conditions required by the Lenders providing such Incremental Facility, subject, for the avoidance of doubt, to Section 1.08, measured on the date of the initial borrowing under such Incremental Facility: </w:t>
      </w:r>
    </w:p>
    <w:p>
      <w:pPr>
        <w:pStyle w:val="TextBody"/>
        <w:bidi w:val="0"/>
        <w:spacing w:before="120" w:after="0"/>
        <w:jc w:val="left"/>
        <w:rPr>
          <w:rFonts w:ascii="Times New Roman" w:hAnsi="Times New Roman"/>
          <w:sz w:val="20"/>
        </w:rPr>
      </w:pPr>
      <w:r>
        <w:rPr>
          <w:rFonts w:ascii="Times New Roman" w:hAnsi="Times New Roman"/>
          <w:sz w:val="20"/>
        </w:rPr>
        <w:t xml:space="preserve">(i) no Event of Default shall have occurred and be continuing or would result therefrom; </w:t>
      </w:r>
      <w:r>
        <w:rPr>
          <w:rFonts w:ascii="Times New Roman" w:hAnsi="Times New Roman"/>
          <w:i/>
          <w:sz w:val="20"/>
        </w:rPr>
        <w:t xml:space="preserve">provided </w:t>
      </w:r>
      <w:r>
        <w:rPr>
          <w:rFonts w:ascii="Times New Roman" w:hAnsi="Times New Roman"/>
          <w:sz w:val="20"/>
        </w:rPr>
        <w:t xml:space="preserve">that the condition set forth in this clause (i) may be waived or not required (other than with respect to Specified Events of Default) by the Persons providing such Incremental Facilities if the proceeds of the initial Borrowings under such Incremental Facilities will be used to finance, in whole or in part, a Permitted Investment or other acquisition permitted hereunder; and </w:t>
      </w:r>
    </w:p>
    <w:p>
      <w:pPr>
        <w:pStyle w:val="TextBody"/>
        <w:bidi w:val="0"/>
        <w:spacing w:before="120" w:after="0"/>
        <w:jc w:val="left"/>
        <w:rPr>
          <w:rFonts w:ascii="Times New Roman" w:hAnsi="Times New Roman"/>
          <w:sz w:val="20"/>
        </w:rPr>
      </w:pPr>
      <w:r>
        <w:rPr>
          <w:rFonts w:ascii="Times New Roman" w:hAnsi="Times New Roman"/>
          <w:sz w:val="20"/>
        </w:rPr>
        <w:t xml:space="preserve">(ii) 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prior to, and after giving effect to, the incurrence of such Incremental Facility; </w:t>
      </w:r>
      <w:r>
        <w:rPr>
          <w:rFonts w:ascii="Times New Roman" w:hAnsi="Times New Roman"/>
          <w:i/>
          <w:sz w:val="20"/>
        </w:rPr>
        <w:t xml:space="preserve">provided </w:t>
      </w:r>
      <w:r>
        <w:rPr>
          <w:rFonts w:ascii="Times New Roman" w:hAnsi="Times New Roman"/>
          <w:sz w:val="20"/>
        </w:rPr>
        <w:t xml:space="preserve">that the condition set forth in this </w:t>
      </w:r>
      <w:r>
        <w:rPr>
          <w:rFonts w:ascii="Times New Roman" w:hAnsi="Times New Roman"/>
          <w:sz w:val="20"/>
          <w:u w:val="single"/>
        </w:rPr>
        <w:t>clause (ii)</w:t>
      </w:r>
      <w:r>
        <w:rPr>
          <w:rFonts w:ascii="Times New Roman" w:hAnsi="Times New Roman"/>
          <w:sz w:val="20"/>
        </w:rPr>
        <w:t xml:space="preserve"> may be waived or not required by the Persons providing such Incremental Facilities if the proceeds of the initial Borrowings under such Incremental Facilities will be used to finance, in whole or in part, a Permitted Investment or other acquisition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Terms</w:t>
      </w:r>
      <w:r>
        <w:rPr>
          <w:rFonts w:ascii="Times New Roman" w:hAnsi="Times New Roman"/>
          <w:sz w:val="20"/>
        </w:rPr>
        <w:t xml:space="preserve">. Each Incremental Amendment will set forth the amount and terms of the relevant Incremental Facility. The terms of each Incremental Facility will be as agreed between the Borrower and the Persons providing such Incremental Facility;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(i) (A) to the extent secured, such Incremental Facilities shall not be secured by any Lien on any property or asset of the Borrower or any Guarantor that does not also secure the Revolving Loans at the time of such incurrence (except (1) customary cash collateral in favor of an agent, letter of credit issuer or similar “fronting” lender, (2) Liens on property or assets applicable only to periods after the Latest Maturity Date of the Revolving Loans at the time of incurrence and (3) any Liens on property or assets to the extent that a Lien on such property or asset is also added for the benefit of the Lenders under the Revolving Loans) and (B) to the extent guaranteed, such Incremental Facilities shall not be incurred or guaranteed by any Loan Party other than the Borrower and the Guarantors (including any Person required to be a Guarantor) (except (1) for guarantees by other Persons that are applicable only to periods after the Latest Maturity Date of the Revolving Loans at the time of incurrence and (2) any such Person incurring or guaranteeing such Incremental Facilities, as applicable, that also guarantees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such Incremental Loans are Pari Passu Lien Debt, unless otherwise consented to by the Lenders, payments in respect of such Incremental Loans shall be subject to the Priority Waterfall or another agreement with substantially equivalent provisions; and </w:t>
      </w:r>
    </w:p>
    <w:p>
      <w:pPr>
        <w:pStyle w:val="TextBody"/>
        <w:bidi w:val="0"/>
        <w:spacing w:before="120" w:after="0"/>
        <w:jc w:val="left"/>
        <w:rPr>
          <w:rFonts w:ascii="Times New Roman" w:hAnsi="Times New Roman"/>
          <w:sz w:val="20"/>
        </w:rPr>
      </w:pPr>
      <w:r>
        <w:rPr>
          <w:rFonts w:ascii="Times New Roman" w:hAnsi="Times New Roman"/>
          <w:sz w:val="20"/>
        </w:rPr>
        <w:t xml:space="preserve">(iv) except as otherwise set forth herein, all terms of any Incremental Facility shall be on terms and pursuant to documentation applicable to the Facility and all other terms of any Incremental Facility shall be on terms (including subordination terms, if applicable) and pursuant to documentation to be determined by the Borrower and the providers of the Incremental Facility; </w:t>
      </w:r>
      <w:r>
        <w:rPr>
          <w:rFonts w:ascii="Times New Roman" w:hAnsi="Times New Roman"/>
          <w:i/>
          <w:sz w:val="20"/>
        </w:rPr>
        <w:t xml:space="preserve">provided </w:t>
      </w:r>
      <w:r>
        <w:rPr>
          <w:rFonts w:ascii="Times New Roman" w:hAnsi="Times New Roman"/>
          <w:sz w:val="20"/>
        </w:rPr>
        <w:t xml:space="preserve">that the operational and agency provisions contained in such documentation shall be reasonably satisfactory to the Administrative Agent and the Borrower.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Pricing</w:t>
      </w:r>
      <w:r>
        <w:rPr>
          <w:rFonts w:ascii="Times New Roman" w:hAnsi="Times New Roman"/>
          <w:sz w:val="20"/>
        </w:rPr>
        <w:t xml:space="preserve">. The pricing terms in respect of Incremental Facilities that are </w:t>
      </w:r>
      <w:r>
        <w:rPr>
          <w:rFonts w:ascii="Times New Roman" w:hAnsi="Times New Roman"/>
          <w:i/>
          <w:sz w:val="20"/>
        </w:rPr>
        <w:t xml:space="preserve">pari passu </w:t>
      </w:r>
      <w:r>
        <w:rPr>
          <w:rFonts w:ascii="Times New Roman" w:hAnsi="Times New Roman"/>
          <w:sz w:val="20"/>
        </w:rPr>
        <w:t xml:space="preserve">in right of payment and </w:t>
      </w:r>
      <w:r>
        <w:rPr>
          <w:rFonts w:ascii="Times New Roman" w:hAnsi="Times New Roman"/>
          <w:i/>
          <w:sz w:val="20"/>
        </w:rPr>
        <w:t>pari passu</w:t>
      </w:r>
      <w:r>
        <w:rPr>
          <w:rFonts w:ascii="Times New Roman" w:hAnsi="Times New Roman"/>
          <w:sz w:val="20"/>
        </w:rPr>
        <w:t xml:space="preserve"> in lien priority with the existing Revolving Loan (including the rate of interest, timing of payments, and amount of fees due thereunder) shall be on the same terms as the Obligations unless the Required Lenders otherwise agree; </w:t>
      </w:r>
      <w:r>
        <w:rPr>
          <w:rFonts w:ascii="Times New Roman" w:hAnsi="Times New Roman"/>
          <w:i/>
          <w:sz w:val="20"/>
        </w:rPr>
        <w:t>provided</w:t>
      </w:r>
      <w:r>
        <w:rPr>
          <w:rFonts w:ascii="Times New Roman" w:hAnsi="Times New Roman"/>
          <w:sz w:val="20"/>
        </w:rPr>
        <w:t xml:space="preserve">, that the maturity date and timing of any interest and principal payments due with respect to such Incremental Facilities shall be on the same terms as the Facility.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Adjustments to Revolving Loans</w:t>
      </w:r>
      <w:r>
        <w:rPr>
          <w:rFonts w:ascii="Times New Roman" w:hAnsi="Times New Roman"/>
          <w:sz w:val="20"/>
        </w:rPr>
        <w:t xml:space="preserve">. Upon each increase in the Commitments pursuant to this </w:t>
      </w:r>
      <w:r>
        <w:rPr>
          <w:rFonts w:ascii="Times New Roman" w:hAnsi="Times New Roman"/>
          <w:sz w:val="20"/>
          <w:u w:val="single"/>
        </w:rPr>
        <w:t>Section 2.16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each Revolving Lender immediately prior to such increase will automatically and without further act be deemed to have assigned to each lender providing a portion of such increase (each an “</w:t>
      </w:r>
      <w:r>
        <w:rPr>
          <w:rFonts w:ascii="Times New Roman" w:hAnsi="Times New Roman"/>
          <w:b/>
          <w:sz w:val="20"/>
        </w:rPr>
        <w:t>Incremental Facility Lender</w:t>
      </w:r>
      <w:r>
        <w:rPr>
          <w:rFonts w:ascii="Times New Roman" w:hAnsi="Times New Roman"/>
          <w:sz w:val="20"/>
        </w:rPr>
        <w:t xml:space="preserve">”), and each such Incremental Facility Lender will automatically and without further act be deemed to have assumed, a portion of such Revolving Lender’s participations hereunder in outstanding Letters of Credit such that, after giving effect to each such deemed assignment and assumption of participations, the percentage of the aggregate outstanding participations hereunder in Letters of Credit held by each Revolving Lender will equal the percentage of the aggregate Commitments of all Lenders represented by such Revolving Lender’s Commitments; and </w:t>
      </w:r>
    </w:p>
    <w:p>
      <w:pPr>
        <w:pStyle w:val="TextBody"/>
        <w:bidi w:val="0"/>
        <w:spacing w:before="120" w:after="0"/>
        <w:jc w:val="left"/>
        <w:rPr>
          <w:rFonts w:ascii="Times New Roman" w:hAnsi="Times New Roman"/>
          <w:sz w:val="20"/>
        </w:rPr>
      </w:pPr>
      <w:r>
        <w:rPr>
          <w:rFonts w:ascii="Times New Roman" w:hAnsi="Times New Roman"/>
          <w:sz w:val="20"/>
        </w:rPr>
        <w:t xml:space="preserve">(ii) if, on the date of such increase, there are any Revolving Loans outstanding, such Revolving Loans shall on or prior to the effectiveness of such Incremental Facility be prepaid from the proceeds of Incremental Loans made hereunder (reflecting such increase in Commitments), which prepayment shall be accompanied by accrued interest on the Revolving Loans being prepaid and any costs incurred by any Revolving Lender in accordance with </w:t>
      </w:r>
      <w:r>
        <w:rPr>
          <w:rFonts w:ascii="Times New Roman" w:hAnsi="Times New Roman"/>
          <w:sz w:val="20"/>
          <w:u w:val="single"/>
        </w:rPr>
        <w:t>Section 3.05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The Administrative Agent and the Lenders hereby agree that the minimum borrowing, </w:t>
      </w:r>
      <w:r>
        <w:rPr>
          <w:rFonts w:ascii="Times New Roman" w:hAnsi="Times New Roman"/>
          <w:i/>
          <w:sz w:val="20"/>
        </w:rPr>
        <w:t xml:space="preserve">pro rata </w:t>
      </w:r>
      <w:r>
        <w:rPr>
          <w:rFonts w:ascii="Times New Roman" w:hAnsi="Times New Roman"/>
          <w:sz w:val="20"/>
        </w:rPr>
        <w:t xml:space="preserve">borrowing and </w:t>
      </w:r>
      <w:r>
        <w:rPr>
          <w:rFonts w:ascii="Times New Roman" w:hAnsi="Times New Roman"/>
          <w:i/>
          <w:sz w:val="20"/>
        </w:rPr>
        <w:t xml:space="preserve">pro rata </w:t>
      </w:r>
      <w:r>
        <w:rPr>
          <w:rFonts w:ascii="Times New Roman" w:hAnsi="Times New Roman"/>
          <w:sz w:val="20"/>
        </w:rPr>
        <w:t xml:space="preserve">payment requirements contained elsewhere in this Agreement shall not apply to the transactions effected pursuant to this </w:t>
      </w:r>
      <w:r>
        <w:rPr>
          <w:rFonts w:ascii="Times New Roman" w:hAnsi="Times New Roman"/>
          <w:sz w:val="20"/>
          <w:u w:val="single"/>
        </w:rPr>
        <w:t>Section 2.16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Refinancing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Refinancing Loans</w:t>
      </w:r>
      <w:r>
        <w:rPr>
          <w:rFonts w:ascii="Times New Roman" w:hAnsi="Times New Roman"/>
          <w:sz w:val="20"/>
        </w:rPr>
        <w:t xml:space="preserve">. The Borrower may obtain, from any Lender or any Additional Lender, Refinancing Indebtedness in respect of all or any portion of the Revolving Loans, in the form of Refinancing Loans or Refinancing Commitments made pursuant to a Refinancing Amendment. </w:t>
      </w:r>
    </w:p>
    <w:p>
      <w:pPr>
        <w:pStyle w:val="TextBody"/>
        <w:bidi w:val="0"/>
        <w:spacing w:before="240" w:after="0"/>
        <w:jc w:val="left"/>
        <w:rPr>
          <w:rFonts w:ascii="Times New Roman" w:hAnsi="Times New Roman"/>
          <w:sz w:val="20"/>
        </w:rPr>
      </w:pPr>
      <w:r>
        <w:rPr>
          <w:rFonts w:ascii="Times New Roman" w:hAnsi="Times New Roman"/>
          <w:sz w:val="20"/>
        </w:rPr>
        <w:t xml:space="preserve">(b) Refinancing Amendments. The effectiveness of any Refinancing Amendment will be subject only to the satisfaction on the date thereof of such conditions as may be requested by the providers of applicable Refinancing Loans or Refinancing Commitments. The Administrative Agent will promptly notify each Lender as to the effectiveness of each Refinancing Amendment. Each of the parties hereto hereby agrees that, upon the effectiveness of any Refinancing Amendment, this Agreement will be deemed amended to the extent (but only to the extent) necessary to reflect the existence and terms of the Refinancing Loans and Refinancing Commitments incurred pursuant thereto (including any amendments necessary to treat the Revolving Loans subject thereto as Refinancing Revolving Loans, respectively). Each Refinancing Amendment shall be subject to the provisions of Section 11.01(b), and no Refinancing Amendment shall materially adversely and directly affect any Lender which does not agree to make a Refinancing Loan or maintain Refinancing Commitment without such Lender’s consent (including but not limited to, a subordination of such Lender’s rights, or any dilution of such Lender’s existing Commitments or Loans while they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Required Consents</w:t>
      </w:r>
      <w:r>
        <w:rPr>
          <w:rFonts w:ascii="Times New Roman" w:hAnsi="Times New Roman"/>
          <w:sz w:val="20"/>
        </w:rPr>
        <w:t xml:space="preserve">. Any Refinancing Amendment may, without the consent of any Person other than the Administrative Agent, the Borrower and the Persons providing the applicable Refinancing Loans, effect such amendments to this Agreement and the other Loan Documents as may be necessary or appropriate, in the reasonable opinion of the Administrative Agent and the Borrower, to effect the provisions of this </w:t>
      </w:r>
      <w:r>
        <w:rPr>
          <w:rFonts w:ascii="Times New Roman" w:hAnsi="Times New Roman"/>
          <w:sz w:val="20"/>
          <w:u w:val="single"/>
        </w:rPr>
        <w:t>Section 2.17</w:t>
      </w:r>
      <w:r>
        <w:rPr>
          <w:rFonts w:ascii="Times New Roman" w:hAnsi="Times New Roman"/>
          <w:sz w:val="20"/>
        </w:rPr>
        <w:t xml:space="preserve">. This </w:t>
      </w:r>
      <w:r>
        <w:rPr>
          <w:rFonts w:ascii="Times New Roman" w:hAnsi="Times New Roman"/>
          <w:sz w:val="20"/>
          <w:u w:val="single"/>
        </w:rPr>
        <w:t>Section 2.17</w:t>
      </w:r>
      <w:r>
        <w:rPr>
          <w:rFonts w:ascii="Times New Roman" w:hAnsi="Times New Roman"/>
          <w:sz w:val="20"/>
        </w:rPr>
        <w:t xml:space="preserve"> supersedes any provisions in </w:t>
      </w:r>
      <w:r>
        <w:rPr>
          <w:rFonts w:ascii="Times New Roman" w:hAnsi="Times New Roman"/>
          <w:sz w:val="20"/>
          <w:u w:val="single"/>
        </w:rPr>
        <w:t>Section 11.01</w:t>
      </w:r>
      <w:r>
        <w:rPr>
          <w:rFonts w:ascii="Times New Roman" w:hAnsi="Times New Roman"/>
          <w:sz w:val="20"/>
        </w:rPr>
        <w:t xml:space="preserve"> to the contrary; </w:t>
      </w:r>
      <w:r>
        <w:rPr>
          <w:rFonts w:ascii="Times New Roman" w:hAnsi="Times New Roman"/>
          <w:i/>
          <w:sz w:val="20"/>
        </w:rPr>
        <w:t xml:space="preserve">provided, however, </w:t>
      </w:r>
      <w:r>
        <w:rPr>
          <w:rFonts w:ascii="Times New Roman" w:hAnsi="Times New Roman"/>
          <w:sz w:val="20"/>
        </w:rPr>
        <w:t xml:space="preserve">no amendment or modification shall be effective against any Lender to the extent such amendment or modification would otherwise require such Lender’s consent under </w:t>
      </w:r>
      <w:r>
        <w:rPr>
          <w:rFonts w:ascii="Times New Roman" w:hAnsi="Times New Roman"/>
          <w:sz w:val="20"/>
          <w:u w:val="single"/>
        </w:rPr>
        <w:t>Section 11.01(b)</w:t>
      </w:r>
      <w:r>
        <w:rPr>
          <w:rFonts w:ascii="Times New Roman" w:hAnsi="Times New Roman"/>
          <w:sz w:val="20"/>
        </w:rPr>
        <w:t xml:space="preserve"> on account of such Lender being directly and adversely affected thereby; </w:t>
      </w:r>
      <w:r>
        <w:rPr>
          <w:rFonts w:ascii="Times New Roman" w:hAnsi="Times New Roman"/>
          <w:i/>
          <w:sz w:val="20"/>
        </w:rPr>
        <w:t>provided</w:t>
      </w:r>
      <w:r>
        <w:rPr>
          <w:rFonts w:ascii="Times New Roman" w:hAnsi="Times New Roman"/>
          <w:sz w:val="20"/>
        </w:rPr>
        <w:t xml:space="preserve">, Non-Consenting Lenders may be repaid on a non-pro rata basis in connection with an Extension Offer or a Refinancing Amendment without such Lender’s consent.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Providers of Refinancing Loans</w:t>
      </w:r>
      <w:r>
        <w:rPr>
          <w:rFonts w:ascii="Times New Roman" w:hAnsi="Times New Roman"/>
          <w:sz w:val="20"/>
        </w:rPr>
        <w:t xml:space="preserve">. Refinancing Loans may be provided by any existing Lender (it being understood that no existing Lender shall have an obligation to make all or any portion of any Refinancing Loan) or by any Additional Lender (subject to </w:t>
      </w:r>
      <w:r>
        <w:rPr>
          <w:rFonts w:ascii="Times New Roman" w:hAnsi="Times New Roman"/>
          <w:sz w:val="20"/>
          <w:u w:val="single"/>
        </w:rPr>
        <w:t>Section 11.07(h)</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opportunity to provide any Refinancing Revolving Loans shall be offered to all then-existing Revolving Lenders. The lenders providing the Refinancing Loans will be reasonably acceptable to the (i) Borrower, (ii) the Administrative Agent and (iii) solely with respect to any Refinancing Revolving Loans, each Issuing Bank (except that,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only to the extent such Person otherwise would have a consent right to an assignment of such loans or commitments to such lender,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Extensions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Extension Offers</w:t>
      </w:r>
      <w:r>
        <w:rPr>
          <w:rFonts w:ascii="Times New Roman" w:hAnsi="Times New Roman"/>
          <w:sz w:val="20"/>
        </w:rPr>
        <w:t>. Pursuant to one or more offers (each, an “</w:t>
      </w:r>
      <w:r>
        <w:rPr>
          <w:rFonts w:ascii="Times New Roman" w:hAnsi="Times New Roman"/>
          <w:b/>
          <w:sz w:val="20"/>
        </w:rPr>
        <w:t>Extension</w:t>
      </w:r>
      <w:r>
        <w:rPr>
          <w:rFonts w:ascii="Times New Roman" w:hAnsi="Times New Roman"/>
          <w:sz w:val="20"/>
        </w:rPr>
        <w:t xml:space="preserve"> </w:t>
      </w:r>
      <w:r>
        <w:rPr>
          <w:rFonts w:ascii="Times New Roman" w:hAnsi="Times New Roman"/>
          <w:b/>
          <w:sz w:val="20"/>
        </w:rPr>
        <w:t xml:space="preserve">Offer”) </w:t>
      </w:r>
      <w:r>
        <w:rPr>
          <w:rFonts w:ascii="Times New Roman" w:hAnsi="Times New Roman"/>
          <w:sz w:val="20"/>
        </w:rPr>
        <w:t>made from time to time by the Borrower to all Lenders holding Loans and/or Commitments of a particular Class with a like Maturity Date, such Borrower(s) may extend such Maturity Date and otherwise modify the terms of such Loans and/or Commitments pursuant to the terms set forth in an Extension Offer (each, an “</w:t>
      </w:r>
      <w:r>
        <w:rPr>
          <w:rFonts w:ascii="Times New Roman" w:hAnsi="Times New Roman"/>
          <w:b/>
          <w:sz w:val="20"/>
        </w:rPr>
        <w:t>Extension</w:t>
      </w:r>
      <w:r>
        <w:rPr>
          <w:rFonts w:ascii="Times New Roman" w:hAnsi="Times New Roman"/>
          <w:sz w:val="20"/>
        </w:rPr>
        <w:t xml:space="preserve">”). Each Extension Offer will specify the minimum amount of Loans and/or Commitments with respect to which an Extension Offer may be accepted, which will be an integral multiple of $1,000,000 and an aggregate principal amount that is not less than $5,000,000, or, if less, (i) the aggregate principal amount of such Class of Loans outstanding or (ii) such lesser minimum amount as is approved by the Administrative Agent, such approval not to be unreasonably withheld, conditioned or delayed. Extension Offers will be made on a </w:t>
      </w:r>
      <w:r>
        <w:rPr>
          <w:rFonts w:ascii="Times New Roman" w:hAnsi="Times New Roman"/>
          <w:i/>
          <w:sz w:val="20"/>
        </w:rPr>
        <w:t xml:space="preserve">pro rata </w:t>
      </w:r>
      <w:r>
        <w:rPr>
          <w:rFonts w:ascii="Times New Roman" w:hAnsi="Times New Roman"/>
          <w:sz w:val="20"/>
        </w:rPr>
        <w:t xml:space="preserve">basis to all Lenders holding Loans and/or Commitments of a particular Class with a like Maturity Date. If the aggregate outstanding principal amount of such Loans (calculated on the face amount thereof) and/or Commitments in respect of which Lenders have accepted an Extension Offer exceeds the maximum aggregate principal amount of Loans and/or Commitments offered to be extended pursuant to such Extension Offer, then the Loans and/or Commitments of such Lenders will be extended ratably up to such maximum amount based on the respective principal amounts (but not to exceed actual holdings of record) with respect to which such Lenders have accepted such Extension Offer. There is no requirement that any Extension Offer or Extension Amendment (defined as follows) be subject to any “most favored nation” pricing provisions. The terms of an Extension Offer shall be determined by the Borrower, and Extension Offers may contain one or more conditions to their effectiveness, including a condition that a minimum amount of Loans and/or Commitments of any or all applicable tranches be tendered.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Extension Amendments</w:t>
      </w:r>
      <w:r>
        <w:rPr>
          <w:rFonts w:ascii="Times New Roman" w:hAnsi="Times New Roman"/>
          <w:sz w:val="20"/>
        </w:rPr>
        <w:t>. The Lenders hereby irrevocably authorize the Administrative Agent to enter into amendments to this Agreement and the other Loan Documents (an “</w:t>
      </w:r>
      <w:r>
        <w:rPr>
          <w:rFonts w:ascii="Times New Roman" w:hAnsi="Times New Roman"/>
          <w:b/>
          <w:sz w:val="20"/>
        </w:rPr>
        <w:t>Extension</w:t>
      </w:r>
      <w:r>
        <w:rPr>
          <w:rFonts w:ascii="Times New Roman" w:hAnsi="Times New Roman"/>
          <w:sz w:val="20"/>
        </w:rPr>
        <w:t xml:space="preserve"> </w:t>
      </w:r>
      <w:r>
        <w:rPr>
          <w:rFonts w:ascii="Times New Roman" w:hAnsi="Times New Roman"/>
          <w:b/>
          <w:sz w:val="20"/>
        </w:rPr>
        <w:t>Amendment”)</w:t>
      </w:r>
      <w:r>
        <w:rPr>
          <w:rFonts w:ascii="Times New Roman" w:hAnsi="Times New Roman"/>
          <w:sz w:val="20"/>
        </w:rPr>
        <w:t xml:space="preserve"> as may be necessary or appropriate in order to establish new tranches in respect of Extended Loans and Extended Commitments and such amendments as permitted by </w:t>
      </w:r>
      <w:r>
        <w:rPr>
          <w:rFonts w:ascii="Times New Roman" w:hAnsi="Times New Roman"/>
          <w:sz w:val="20"/>
          <w:u w:val="single"/>
        </w:rPr>
        <w:t>clause (c)</w:t>
      </w:r>
      <w:r>
        <w:rPr>
          <w:rFonts w:ascii="Times New Roman" w:hAnsi="Times New Roman"/>
          <w:sz w:val="20"/>
        </w:rPr>
        <w:t xml:space="preserve"> below as may be necessary or appropriate in the reasonable opinion of the Borrower, in consultation with the Administrative Agent, in connection with the establishment of such new tranches of Loans. This </w:t>
      </w:r>
      <w:r>
        <w:rPr>
          <w:rFonts w:ascii="Times New Roman" w:hAnsi="Times New Roman"/>
          <w:sz w:val="20"/>
          <w:u w:val="single"/>
        </w:rPr>
        <w:t>Section 2.18</w:t>
      </w:r>
      <w:r>
        <w:rPr>
          <w:rFonts w:ascii="Times New Roman" w:hAnsi="Times New Roman"/>
          <w:sz w:val="20"/>
        </w:rPr>
        <w:t xml:space="preserve"> shall supersede any provisions in </w:t>
      </w:r>
      <w:r>
        <w:rPr>
          <w:rFonts w:ascii="Times New Roman" w:hAnsi="Times New Roman"/>
          <w:sz w:val="20"/>
          <w:u w:val="single"/>
        </w:rPr>
        <w:t>Section 2.15</w:t>
      </w:r>
      <w:r>
        <w:rPr>
          <w:rFonts w:ascii="Times New Roman" w:hAnsi="Times New Roman"/>
          <w:sz w:val="20"/>
        </w:rPr>
        <w:t xml:space="preserve"> or </w:t>
      </w:r>
      <w:r>
        <w:rPr>
          <w:rFonts w:ascii="Times New Roman" w:hAnsi="Times New Roman"/>
          <w:sz w:val="20"/>
          <w:u w:val="single"/>
        </w:rPr>
        <w:t>11.01</w:t>
      </w:r>
      <w:r>
        <w:rPr>
          <w:rFonts w:ascii="Times New Roman" w:hAnsi="Times New Roman"/>
          <w:sz w:val="20"/>
        </w:rPr>
        <w:t xml:space="preserve"> to the contrary; </w:t>
      </w:r>
      <w:r>
        <w:rPr>
          <w:rFonts w:ascii="Times New Roman" w:hAnsi="Times New Roman"/>
          <w:i/>
          <w:sz w:val="20"/>
        </w:rPr>
        <w:t xml:space="preserve">provided, however, </w:t>
      </w:r>
      <w:r>
        <w:rPr>
          <w:rFonts w:ascii="Times New Roman" w:hAnsi="Times New Roman"/>
          <w:sz w:val="20"/>
        </w:rPr>
        <w:t xml:space="preserve">no amendment or modification shall be effective against any Lender to the extent such amendment or modification would otherwise require such Lender’s consent under </w:t>
      </w:r>
      <w:r>
        <w:rPr>
          <w:rFonts w:ascii="Times New Roman" w:hAnsi="Times New Roman"/>
          <w:sz w:val="20"/>
          <w:u w:val="single"/>
        </w:rPr>
        <w:t>Section 11.01(b)</w:t>
      </w:r>
      <w:r>
        <w:rPr>
          <w:rFonts w:ascii="Times New Roman" w:hAnsi="Times New Roman"/>
          <w:sz w:val="20"/>
        </w:rPr>
        <w:t xml:space="preserve"> on account of such Lender being directly and adversely affected thereby. Except as otherwise set forth in an Extension Offer, there will be no conditions to the effectiveness of an Extension Amendment. Extensions will not constitute a voluntary or mandatory payment or prepayment for purposes of this Agreement. Each Extension Amendment shall be subject to the provisions of Section 11.01(b), and no Extension Amendment shall materially adversely and directly affect any Lender which does not agree to make a extend its Loan or Commitment without such Lender’s consent (including but not limited to, a subordination of such Lender’s rights, or any dilution of such Lender’s Commitments or Loans while they are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Terms of Extension Offers and Extension Amendments</w:t>
      </w:r>
      <w:r>
        <w:rPr>
          <w:rFonts w:ascii="Times New Roman" w:hAnsi="Times New Roman"/>
          <w:sz w:val="20"/>
        </w:rPr>
        <w:t xml:space="preserve">. The terms of any Extended Loans and Extended Commitments will be set forth in an Extension Offer and as agreed between the Borrower and the Extending Lenders accepting such Extension Offer; </w:t>
      </w:r>
      <w:r>
        <w:rPr>
          <w:rFonts w:ascii="Times New Roman" w:hAnsi="Times New Roman"/>
          <w:i/>
          <w:sz w:val="20"/>
        </w:rPr>
        <w:t xml:space="preserve">provided </w:t>
      </w:r>
      <w:r>
        <w:rPr>
          <w:rFonts w:ascii="Times New Roman" w:hAnsi="Times New Roman"/>
          <w:sz w:val="20"/>
        </w:rPr>
        <w:t xml:space="preserve">that the final maturity date of such Extended Loans and Extended Commitments will be no earlier than the Latest Maturity Date applicable to the Loans and/or Commitments subject to such Extension Offer. </w:t>
      </w:r>
    </w:p>
    <w:p>
      <w:pPr>
        <w:pStyle w:val="TextBody"/>
        <w:bidi w:val="0"/>
        <w:spacing w:before="240" w:after="0"/>
        <w:jc w:val="left"/>
        <w:rPr>
          <w:rFonts w:ascii="Times New Roman" w:hAnsi="Times New Roman"/>
          <w:sz w:val="20"/>
        </w:rPr>
      </w:pPr>
      <w:r>
        <w:rPr>
          <w:rFonts w:ascii="Times New Roman" w:hAnsi="Times New Roman"/>
          <w:sz w:val="20"/>
        </w:rPr>
        <w:t xml:space="preserve">Any Extended Loans will constitute a separate tranche of Revolving Loans from the Revolving Loans held by Lenders that did not accept the applicable Extension Offer.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Extension of Commitments</w:t>
      </w:r>
      <w:r>
        <w:rPr>
          <w:rFonts w:ascii="Times New Roman" w:hAnsi="Times New Roman"/>
          <w:sz w:val="20"/>
        </w:rPr>
        <w:t xml:space="preserve">. In the case of any Extension of Commitments and/or Revolving Loans, the following shall apply: </w:t>
      </w:r>
    </w:p>
    <w:p>
      <w:pPr>
        <w:pStyle w:val="TextBody"/>
        <w:bidi w:val="0"/>
        <w:spacing w:before="120" w:after="0"/>
        <w:jc w:val="left"/>
        <w:rPr>
          <w:rFonts w:ascii="Times New Roman" w:hAnsi="Times New Roman"/>
          <w:sz w:val="20"/>
        </w:rPr>
      </w:pPr>
      <w:r>
        <w:rPr>
          <w:rFonts w:ascii="Times New Roman" w:hAnsi="Times New Roman"/>
          <w:sz w:val="20"/>
        </w:rPr>
        <w:t xml:space="preserve">(i) all borrowings and all prepayments of Revolving Loans shall continue to be made on a ratable basis among all Revolving Lenders, based on the relative amounts of their Commitments, until the repayment of the Revolving Loans attributable to the non-extended Commitments on the relevant Maturity Date; </w:t>
      </w:r>
    </w:p>
    <w:p>
      <w:pPr>
        <w:pStyle w:val="TextBody"/>
        <w:bidi w:val="0"/>
        <w:spacing w:before="120" w:after="0"/>
        <w:jc w:val="left"/>
        <w:rPr>
          <w:rFonts w:ascii="Times New Roman" w:hAnsi="Times New Roman"/>
          <w:sz w:val="20"/>
        </w:rPr>
      </w:pPr>
      <w:r>
        <w:rPr>
          <w:rFonts w:ascii="Times New Roman" w:hAnsi="Times New Roman"/>
          <w:sz w:val="20"/>
        </w:rPr>
        <w:t xml:space="preserve">(ii) the allocation of the participation exposure with respect to any then-existing or subsequently issued Letter of Credit as between the Commitments of such new tranche and the remaining Commitments shall be made on a ratable basis in accordance with the relative amounts thereof until the Maturity Date relating to such non-extended Commitments has occurred; </w:t>
      </w:r>
    </w:p>
    <w:p>
      <w:pPr>
        <w:pStyle w:val="TextBody"/>
        <w:bidi w:val="0"/>
        <w:spacing w:before="120" w:after="0"/>
        <w:jc w:val="left"/>
        <w:rPr>
          <w:rFonts w:ascii="Times New Roman" w:hAnsi="Times New Roman"/>
          <w:sz w:val="20"/>
        </w:rPr>
      </w:pPr>
      <w:r>
        <w:rPr>
          <w:rFonts w:ascii="Times New Roman" w:hAnsi="Times New Roman"/>
          <w:sz w:val="20"/>
        </w:rPr>
        <w:t xml:space="preserve">(iii) no termination of extended Commitments and no repayment of extended Loans accompanied by a corresponding permanent reduction in extended Commitments shall be permitted unless such termination or repayment (and corresponding reduction) is accompanied by at least a </w:t>
      </w:r>
      <w:r>
        <w:rPr>
          <w:rFonts w:ascii="Times New Roman" w:hAnsi="Times New Roman"/>
          <w:i/>
          <w:sz w:val="20"/>
        </w:rPr>
        <w:t xml:space="preserve">pro rata </w:t>
      </w:r>
      <w:r>
        <w:rPr>
          <w:rFonts w:ascii="Times New Roman" w:hAnsi="Times New Roman"/>
          <w:sz w:val="20"/>
        </w:rPr>
        <w:t xml:space="preserve">termination or permanent repayment (and corresponding </w:t>
      </w:r>
      <w:r>
        <w:rPr>
          <w:rFonts w:ascii="Times New Roman" w:hAnsi="Times New Roman"/>
          <w:i/>
          <w:sz w:val="20"/>
        </w:rPr>
        <w:t xml:space="preserve">pro rata </w:t>
      </w:r>
      <w:r>
        <w:rPr>
          <w:rFonts w:ascii="Times New Roman" w:hAnsi="Times New Roman"/>
          <w:sz w:val="20"/>
        </w:rPr>
        <w:t xml:space="preserve">permanent reduction), as applicable, of each other tranche of Revolving Loans and Commitments (or each other tranche of Commitments and Revolving Loans shall have otherwise been terminated and repaid in full); </w:t>
      </w:r>
    </w:p>
    <w:p>
      <w:pPr>
        <w:pStyle w:val="TextBody"/>
        <w:bidi w:val="0"/>
        <w:spacing w:before="120" w:after="0"/>
        <w:jc w:val="left"/>
        <w:rPr>
          <w:rFonts w:ascii="Times New Roman" w:hAnsi="Times New Roman"/>
          <w:sz w:val="20"/>
        </w:rPr>
      </w:pPr>
      <w:r>
        <w:rPr>
          <w:rFonts w:ascii="Times New Roman" w:hAnsi="Times New Roman"/>
          <w:sz w:val="20"/>
        </w:rPr>
        <w:t xml:space="preserve">(iv) the Maturity Date with respect to the Commitments may not be extended without the prior written consent of each Issuing Bank; and </w:t>
      </w:r>
    </w:p>
    <w:p>
      <w:pPr>
        <w:pStyle w:val="TextBody"/>
        <w:bidi w:val="0"/>
        <w:spacing w:before="120" w:after="0"/>
        <w:jc w:val="left"/>
        <w:rPr>
          <w:rFonts w:ascii="Times New Roman" w:hAnsi="Times New Roman"/>
          <w:sz w:val="20"/>
        </w:rPr>
      </w:pPr>
      <w:r>
        <w:rPr>
          <w:rFonts w:ascii="Times New Roman" w:hAnsi="Times New Roman"/>
          <w:sz w:val="20"/>
        </w:rPr>
        <w:t xml:space="preserve">(v) at no time shall there be more than five different tranches of Commitments. </w:t>
      </w:r>
    </w:p>
    <w:p>
      <w:pPr>
        <w:pStyle w:val="TextBody"/>
        <w:bidi w:val="0"/>
        <w:spacing w:before="120" w:after="0"/>
        <w:jc w:val="left"/>
        <w:rPr>
          <w:rFonts w:ascii="Times New Roman" w:hAnsi="Times New Roman"/>
          <w:sz w:val="20"/>
        </w:rPr>
      </w:pPr>
      <w:r>
        <w:rPr>
          <w:rFonts w:ascii="Times New Roman" w:hAnsi="Times New Roman"/>
          <w:sz w:val="20"/>
        </w:rPr>
        <w:t xml:space="preserve">If the Total Utilization of Commitments exceeds the Commitment as a result of the occurrence of the Maturity Date with respect to any tranche of Commitments while an extended tranche of Commitments remains outstanding, the Borrower shall make such payments as are necessary in order to eliminate such excess on such Maturity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Required Consents</w:t>
      </w:r>
      <w:r>
        <w:rPr>
          <w:rFonts w:ascii="Times New Roman" w:hAnsi="Times New Roman"/>
          <w:sz w:val="20"/>
        </w:rPr>
        <w:t xml:space="preserve">. No consent of any Lender or any other Person will be required to effectuate any Extension, other than the consent of the Administrative Agent (such consent not to be unreasonably withheld, delayed or conditioned), the Borrower and the applicable Extending Lender. The transactions contemplated by this </w:t>
      </w:r>
      <w:r>
        <w:rPr>
          <w:rFonts w:ascii="Times New Roman" w:hAnsi="Times New Roman"/>
          <w:sz w:val="20"/>
          <w:u w:val="single"/>
        </w:rPr>
        <w:t>Section 2.18</w:t>
      </w:r>
      <w:r>
        <w:rPr>
          <w:rFonts w:ascii="Times New Roman" w:hAnsi="Times New Roman"/>
          <w:sz w:val="20"/>
        </w:rPr>
        <w:t xml:space="preserve"> (including,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avoidance of doubt, payment of any interest, fees or premium in respect of any Extended Loans on such terms as may be set forth in the relevant Extension Offer) will not require the consent of any other Lender or any other Person, and the requirements of any provision of this Agreement or any other Loan Document that may otherwise prohibit any such Extension or any other transaction contemplated by this </w:t>
      </w:r>
      <w:r>
        <w:rPr>
          <w:rFonts w:ascii="Times New Roman" w:hAnsi="Times New Roman"/>
          <w:sz w:val="20"/>
          <w:u w:val="single"/>
        </w:rPr>
        <w:t>Section 2.18</w:t>
      </w:r>
      <w:r>
        <w:rPr>
          <w:rFonts w:ascii="Times New Roman" w:hAnsi="Times New Roman"/>
          <w:sz w:val="20"/>
        </w:rPr>
        <w:t xml:space="preserve"> will not apply to any of the transactions effected pursuant to this </w:t>
      </w:r>
      <w:r>
        <w:rPr>
          <w:rFonts w:ascii="Times New Roman" w:hAnsi="Times New Roman"/>
          <w:sz w:val="20"/>
          <w:u w:val="single"/>
        </w:rPr>
        <w:t>Section 2.18</w:t>
      </w:r>
      <w:r>
        <w:rPr>
          <w:rFonts w:ascii="Times New Roman" w:hAnsi="Times New Roman"/>
          <w:sz w:val="20"/>
        </w:rPr>
        <w:t xml:space="preserve">. Notwithstanding the foregoing </w:t>
      </w:r>
      <w:r>
        <w:rPr>
          <w:rFonts w:ascii="Times New Roman" w:hAnsi="Times New Roman"/>
          <w:sz w:val="20"/>
          <w:u w:val="single"/>
        </w:rPr>
        <w:t>clause (e)</w:t>
      </w:r>
      <w:r>
        <w:rPr>
          <w:rFonts w:ascii="Times New Roman" w:hAnsi="Times New Roman"/>
          <w:i/>
          <w:sz w:val="20"/>
        </w:rPr>
        <w:t xml:space="preserve">, </w:t>
      </w:r>
      <w:r>
        <w:rPr>
          <w:rFonts w:ascii="Times New Roman" w:hAnsi="Times New Roman"/>
          <w:sz w:val="20"/>
        </w:rPr>
        <w:t xml:space="preserve">no amendment or modification shall be effective against any Lender to the extent such amendment or modification would otherwise require such Lender’s consent under </w:t>
      </w:r>
      <w:r>
        <w:rPr>
          <w:rFonts w:ascii="Times New Roman" w:hAnsi="Times New Roman"/>
          <w:sz w:val="20"/>
          <w:u w:val="single"/>
        </w:rPr>
        <w:t>Section 11.01(b)</w:t>
      </w:r>
      <w:r>
        <w:rPr>
          <w:rFonts w:ascii="Times New Roman" w:hAnsi="Times New Roman"/>
          <w:sz w:val="20"/>
        </w:rPr>
        <w:t xml:space="preserve"> on account of such Lender being directly and adversely affected thereby. </w:t>
      </w:r>
    </w:p>
    <w:p>
      <w:pPr>
        <w:pStyle w:val="TextBody"/>
        <w:bidi w:val="0"/>
        <w:spacing w:before="240" w:after="0"/>
        <w:jc w:val="left"/>
        <w:rPr>
          <w:rFonts w:ascii="Times New Roman" w:hAnsi="Times New Roman"/>
          <w:sz w:val="20"/>
        </w:rPr>
      </w:pPr>
      <w:r>
        <w:rPr>
          <w:rFonts w:ascii="Times New Roman" w:hAnsi="Times New Roman"/>
          <w:sz w:val="20"/>
        </w:rPr>
        <w:t>SECTION 2.19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Defaulting Lender Adjustments</w:t>
      </w:r>
      <w:r>
        <w:rPr>
          <w:rFonts w:ascii="Times New Roman" w:hAnsi="Times New Roman"/>
          <w:sz w:val="20"/>
        </w:rPr>
        <w:t xml:space="preserve">. 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Defaulting Lender Waterfal</w:t>
      </w:r>
      <w:r>
        <w:rPr>
          <w:rFonts w:ascii="Times New Roman" w:hAnsi="Times New Roman"/>
          <w:sz w:val="20"/>
        </w:rPr>
        <w:t xml:space="preserve">l.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Article IX</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11.09</w:t>
      </w:r>
      <w:r>
        <w:rPr>
          <w:rFonts w:ascii="Times New Roman" w:hAnsi="Times New Roman"/>
          <w:sz w:val="20"/>
        </w:rPr>
        <w:t xml:space="preserve">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i/>
          <w:sz w:val="20"/>
        </w:rPr>
        <w:t>second,</w:t>
      </w:r>
      <w:r>
        <w:rPr>
          <w:rFonts w:ascii="Times New Roman" w:hAnsi="Times New Roman"/>
          <w:sz w:val="20"/>
        </w:rPr>
        <w:t xml:space="preserve"> to the payment on a pro rata basis of any amounts owing by such Defaulting Lender to each Issuing Bank hereunder; </w:t>
      </w:r>
      <w:r>
        <w:rPr>
          <w:rFonts w:ascii="Times New Roman" w:hAnsi="Times New Roman"/>
          <w:i/>
          <w:sz w:val="20"/>
        </w:rPr>
        <w:t>third,</w:t>
      </w:r>
      <w:r>
        <w:rPr>
          <w:rFonts w:ascii="Times New Roman" w:hAnsi="Times New Roman"/>
          <w:sz w:val="20"/>
        </w:rPr>
        <w:t xml:space="preserve"> to Cash Collateralize each Issuing Bank’s Fronting Exposure with respect to such Defaulting Lender with respect to outstanding Letters of Credit (in an amount equal to 105% of the maximum face amount of all outstanding Letters of Credit) in accordance with </w:t>
      </w:r>
      <w:r>
        <w:rPr>
          <w:rFonts w:ascii="Times New Roman" w:hAnsi="Times New Roman"/>
          <w:sz w:val="20"/>
          <w:u w:val="single"/>
        </w:rPr>
        <w:t>Section 2.20(d)</w:t>
      </w:r>
      <w:r>
        <w:rPr>
          <w:rFonts w:ascii="Times New Roman" w:hAnsi="Times New Roman"/>
          <w:sz w:val="20"/>
        </w:rPr>
        <w:t xml:space="preserve">; </w:t>
      </w:r>
      <w:r>
        <w:rPr>
          <w:rFonts w:ascii="Times New Roman" w:hAnsi="Times New Roman"/>
          <w:i/>
          <w:sz w:val="20"/>
        </w:rPr>
        <w:t>fourth,</w:t>
      </w:r>
      <w:r>
        <w:rPr>
          <w:rFonts w:ascii="Times New Roman" w:hAnsi="Times New Roman"/>
          <w:sz w:val="20"/>
        </w:rPr>
        <w:t xml:space="preserve"> as the Borrower may request (so long as no Event of Default shall have occurred and be continuing), to the funding of any Loan in respect of which such Defaulting Lender has failed to fund its portion thereof as required by this Agreement, as determined by the Administrative Agent; </w:t>
      </w:r>
      <w:r>
        <w:rPr>
          <w:rFonts w:ascii="Times New Roman" w:hAnsi="Times New Roman"/>
          <w:i/>
          <w:sz w:val="20"/>
        </w:rPr>
        <w:t>fifth,</w:t>
      </w:r>
      <w:r>
        <w:rPr>
          <w:rFonts w:ascii="Times New Roman" w:hAnsi="Times New Roman"/>
          <w:sz w:val="20"/>
        </w:rPr>
        <w:t xml:space="preserve"> if so determined by the Administrative Agent and the Borrower, to be held in a Cash Collateral Account and released </w:t>
      </w:r>
      <w:r>
        <w:rPr>
          <w:rFonts w:ascii="Times New Roman" w:hAnsi="Times New Roman"/>
          <w:i/>
          <w:sz w:val="20"/>
        </w:rPr>
        <w:t xml:space="preserve">pro rata </w:t>
      </w:r>
      <w:r>
        <w:rPr>
          <w:rFonts w:ascii="Times New Roman" w:hAnsi="Times New Roman"/>
          <w:sz w:val="20"/>
        </w:rPr>
        <w:t xml:space="preserve">in order to (A) satisfy such Defaulting Lender’s potential future funding obligations with respect to Loans under this Agreement and (B) Cash Collateralize each Issuing Bank’s (in an amount equal to 105% of the maximum face amount of all outstanding Letters of Credit) with respect to future Letters of Credit issued under this Agreement, in accordance with </w:t>
      </w:r>
      <w:r>
        <w:rPr>
          <w:rFonts w:ascii="Times New Roman" w:hAnsi="Times New Roman"/>
          <w:sz w:val="20"/>
          <w:u w:val="single"/>
        </w:rPr>
        <w:t>Section 2.20(d)</w:t>
      </w:r>
      <w:r>
        <w:rPr>
          <w:rFonts w:ascii="Times New Roman" w:hAnsi="Times New Roman"/>
          <w:sz w:val="20"/>
        </w:rPr>
        <w:t xml:space="preserve">; </w:t>
      </w:r>
      <w:r>
        <w:rPr>
          <w:rFonts w:ascii="Times New Roman" w:hAnsi="Times New Roman"/>
          <w:i/>
          <w:sz w:val="20"/>
        </w:rPr>
        <w:t>sixth,</w:t>
      </w:r>
      <w:r>
        <w:rPr>
          <w:rFonts w:ascii="Times New Roman" w:hAnsi="Times New Roman"/>
          <w:sz w:val="20"/>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 w:hAnsi="Times New Roman"/>
          <w:i/>
          <w:sz w:val="20"/>
        </w:rPr>
        <w:t>seventh,</w:t>
      </w:r>
      <w:r>
        <w:rPr>
          <w:rFonts w:ascii="Times New Roman" w:hAnsi="Times New Roman"/>
          <w:sz w:val="20"/>
        </w:rPr>
        <w:t xml:space="preserve"> so long as no Event of Default shall have occurred and be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eighth,</w:t>
      </w:r>
      <w:r>
        <w:rPr>
          <w:rFonts w:ascii="Times New Roman" w:hAnsi="Times New Roman"/>
          <w:sz w:val="20"/>
        </w:rPr>
        <w:t xml:space="preserve"> to such Defaulting Lender or as otherwise directed by a court of competent jurisdiction; </w:t>
      </w:r>
      <w:r>
        <w:rPr>
          <w:rFonts w:ascii="Times New Roman" w:hAnsi="Times New Roman"/>
          <w:i/>
          <w:sz w:val="20"/>
        </w:rPr>
        <w:t xml:space="preserve">provided </w:t>
      </w:r>
      <w:r>
        <w:rPr>
          <w:rFonts w:ascii="Times New Roman" w:hAnsi="Times New Roman"/>
          <w:sz w:val="20"/>
        </w:rPr>
        <w:t xml:space="preserve">that if (1) such payment is a payment of the principal amount of any Loans or Reimbursement Obligations in respect of which such Defaulting Lender has not fully funded its appropriate share, and (2) such Loans were made or the related Letters of Credit were issued at a time when the conditions set forth in </w:t>
      </w:r>
      <w:r>
        <w:rPr>
          <w:rFonts w:ascii="Times New Roman" w:hAnsi="Times New Roman"/>
          <w:sz w:val="20"/>
          <w:u w:val="single"/>
        </w:rPr>
        <w:t>Section 4.03</w:t>
      </w:r>
      <w:r>
        <w:rPr>
          <w:rFonts w:ascii="Times New Roman" w:hAnsi="Times New Roman"/>
          <w:sz w:val="20"/>
        </w:rPr>
        <w:t xml:space="preserve"> were satisfied or waived, such payment shall be applied solely to pay the Loans of, and Reimbursement Obligations owed to, all Non-Defaulting Lenders on a </w:t>
      </w:r>
      <w:r>
        <w:rPr>
          <w:rFonts w:ascii="Times New Roman" w:hAnsi="Times New Roman"/>
          <w:i/>
          <w:sz w:val="20"/>
        </w:rPr>
        <w:t xml:space="preserve">pro rata </w:t>
      </w:r>
      <w:r>
        <w:rPr>
          <w:rFonts w:ascii="Times New Roman" w:hAnsi="Times New Roman"/>
          <w:sz w:val="20"/>
        </w:rPr>
        <w:t xml:space="preserve">basis prior to being applied to the payment of any Loans of, or Reimbursement Obligations owed to, such Defaulting Lender until such time as all Loans and funded and unfunded participations in Letters of Credit are held by the Lenders pro rata in accordance with the applicable Commitments without giving effect to </w:t>
      </w:r>
      <w:r>
        <w:rPr>
          <w:rFonts w:ascii="Times New Roman" w:hAnsi="Times New Roman"/>
          <w:sz w:val="20"/>
          <w:u w:val="single"/>
        </w:rPr>
        <w:t>Section 2.20(a)(iii)</w:t>
      </w:r>
      <w:r>
        <w:rPr>
          <w:rFonts w:ascii="Times New Roman" w:hAnsi="Times New Roman"/>
          <w:sz w:val="20"/>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sz w:val="20"/>
          <w:u w:val="single"/>
        </w:rPr>
        <w:t>Section 2.20(a)(i)</w:t>
      </w:r>
      <w:r>
        <w:rPr>
          <w:rFonts w:ascii="Times New Roman" w:hAnsi="Times New Roman"/>
          <w:sz w:val="20"/>
        </w:rPr>
        <w:t xml:space="preserve"> shall be deemed paid to and redirected by such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Certain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Defaulting Lender shall be entitled to receive any fee pursuant to </w:t>
      </w:r>
      <w:r>
        <w:rPr>
          <w:rFonts w:ascii="Times New Roman" w:hAnsi="Times New Roman"/>
          <w:sz w:val="20"/>
          <w:u w:val="single"/>
        </w:rPr>
        <w:t>Section 2.11(b)</w:t>
      </w:r>
      <w:r>
        <w:rPr>
          <w:rFonts w:ascii="Times New Roman" w:hAnsi="Times New Roman"/>
          <w:sz w:val="20"/>
        </w:rPr>
        <w:t xml:space="preserve"> for any period during which that Lender is a Defaulting Lender (and the Borrower shall not be required to pay any such fee that otherwise would have been required to have been paid to that Defaulting Lender); </w:t>
      </w:r>
      <w:r>
        <w:rPr>
          <w:rFonts w:ascii="Times New Roman" w:hAnsi="Times New Roman"/>
          <w:i/>
          <w:sz w:val="20"/>
        </w:rPr>
        <w:t xml:space="preserve">provided </w:t>
      </w:r>
      <w:r>
        <w:rPr>
          <w:rFonts w:ascii="Times New Roman" w:hAnsi="Times New Roman"/>
          <w:sz w:val="20"/>
        </w:rPr>
        <w:t xml:space="preserve">such Defaulting Lender shall be entitled to receive fees pursuant to </w:t>
      </w:r>
      <w:r>
        <w:rPr>
          <w:rFonts w:ascii="Times New Roman" w:hAnsi="Times New Roman"/>
          <w:sz w:val="20"/>
          <w:u w:val="single"/>
        </w:rPr>
        <w:t>Section 2.11(b)(ii)</w:t>
      </w:r>
      <w:r>
        <w:rPr>
          <w:rFonts w:ascii="Times New Roman" w:hAnsi="Times New Roman"/>
          <w:sz w:val="20"/>
        </w:rPr>
        <w:t xml:space="preserve"> for any period during which that Lender is a Defaulting Lender only to the extent allocable to its Pro Rata Share of the Stated Amount of Letters of Credit for which it has provided Cash Collateral pursuant to </w:t>
      </w:r>
      <w:r>
        <w:rPr>
          <w:rFonts w:ascii="Times New Roman" w:hAnsi="Times New Roman"/>
          <w:sz w:val="20"/>
          <w:u w:val="single"/>
        </w:rPr>
        <w:t>Section 2.04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fees not required to be paid to any Defaulting Lender pursuant to </w:t>
      </w:r>
      <w:r>
        <w:rPr>
          <w:rFonts w:ascii="Times New Roman" w:hAnsi="Times New Roman"/>
          <w:sz w:val="20"/>
          <w:u w:val="single"/>
        </w:rPr>
        <w:t>clause (A)</w:t>
      </w:r>
      <w:r>
        <w:rPr>
          <w:rFonts w:ascii="Times New Roman" w:hAnsi="Times New Roman"/>
          <w:sz w:val="20"/>
        </w:rPr>
        <w:t xml:space="preserve"> above, the Borrower shall (1) pay to each Non-Defaulting Lender that portion of any such fee otherwise payable to such Defaulting Lender with respect to such Defaulting Lender’s participation in Letters of Credit that has been reallocated to such Non-Defaulting Lender pursuant to </w:t>
      </w:r>
      <w:r>
        <w:rPr>
          <w:rFonts w:ascii="Times New Roman" w:hAnsi="Times New Roman"/>
          <w:sz w:val="20"/>
          <w:u w:val="single"/>
        </w:rPr>
        <w:t>clause (iii)</w:t>
      </w:r>
      <w:r>
        <w:rPr>
          <w:rFonts w:ascii="Times New Roman" w:hAnsi="Times New Roman"/>
          <w:sz w:val="20"/>
        </w:rPr>
        <w:t xml:space="preserve"> below, (2) pay to each Issuing Bank the amount of any such fee otherwise payable to such Defaulting Lender to the extent allocable to such Issuing Bank’s Fronting Exposure to such Defaulting Lender, and (3) not be required to pay the remaining amount of any such fee.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Reallocation of Participations to Reduce Fronting Exposure</w:t>
      </w:r>
      <w:r>
        <w:rPr>
          <w:rFonts w:ascii="Times New Roman" w:hAnsi="Times New Roman"/>
          <w:sz w:val="20"/>
        </w:rPr>
        <w:t xml:space="preserve">. All or any part of such Defaulting Lender’s participation in Letters of Credit shall be reallocated among the Non-Defaulting Lenders in accordance with their respective Pro Rata Shares (calculated without regard to such Defaulting Lender’s Commitment) but only to the extent that (A) the conditions set forth in </w:t>
      </w:r>
      <w:r>
        <w:rPr>
          <w:rFonts w:ascii="Times New Roman" w:hAnsi="Times New Roman"/>
          <w:sz w:val="20"/>
          <w:u w:val="single"/>
        </w:rPr>
        <w:t>Section 4.03</w:t>
      </w:r>
      <w:r>
        <w:rPr>
          <w:rFonts w:ascii="Times New Roman" w:hAnsi="Times New Roman"/>
          <w:sz w:val="20"/>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(B) such reallocation does not cause the aggregate Revolving Exposure of any Non-Defaulting Lender to exceed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Non-Defaulting Lender’s Commitment. Subject to </w:t>
      </w:r>
      <w:r>
        <w:rPr>
          <w:rFonts w:ascii="Times New Roman" w:hAnsi="Times New Roman"/>
          <w:sz w:val="20"/>
          <w:u w:val="single"/>
        </w:rPr>
        <w:t>Section 11.25</w:t>
      </w:r>
      <w:r>
        <w:rPr>
          <w:rFonts w:ascii="Times New Roman" w:hAnsi="Times New Roman"/>
          <w:sz w:val="20"/>
        </w:rPr>
        <w:t xml:space="preserve">,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Cash Collateral</w:t>
      </w:r>
      <w:r>
        <w:rPr>
          <w:rFonts w:ascii="Times New Roman" w:hAnsi="Times New Roman"/>
          <w:sz w:val="20"/>
        </w:rPr>
        <w:t xml:space="preserve">. If the reallocation described in </w:t>
      </w:r>
      <w:r>
        <w:rPr>
          <w:rFonts w:ascii="Times New Roman" w:hAnsi="Times New Roman"/>
          <w:sz w:val="20"/>
          <w:u w:val="single"/>
        </w:rPr>
        <w:t>clause (iii)</w:t>
      </w:r>
      <w:r>
        <w:rPr>
          <w:rFonts w:ascii="Times New Roman" w:hAnsi="Times New Roman"/>
          <w:sz w:val="20"/>
        </w:rPr>
        <w:t xml:space="preserve"> above cannot, or can only partially, be effected, the Borrower shall, without prejudice to any right or remedy available to it hereunder or under law, Cash Collateralize Issuing Bank’s Fronting Exposure (in an amount equal to 105% of the maximum face amount of all outstanding Letters of Credit) in accordance with the procedures set forth in </w:t>
      </w:r>
      <w:r>
        <w:rPr>
          <w:rFonts w:ascii="Times New Roman" w:hAnsi="Times New Roman"/>
          <w:sz w:val="20"/>
          <w:u w:val="single"/>
        </w:rPr>
        <w:t>Section 2.04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 the Administrative Agent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applicable Commitments (without giving effect to </w:t>
      </w:r>
      <w:r>
        <w:rPr>
          <w:rFonts w:ascii="Times New Roman" w:hAnsi="Times New Roman"/>
          <w:sz w:val="20"/>
          <w:u w:val="single"/>
        </w:rPr>
        <w:t>Section 2.04</w:t>
      </w:r>
      <w:r>
        <w:rPr>
          <w:rFonts w:ascii="Times New Roman" w:hAnsi="Times New Roman"/>
          <w:sz w:val="20"/>
        </w:rPr>
        <w:t xml:space="preserve">) whereupon such Lender will cease to be a Defaulting Lender; </w:t>
      </w:r>
      <w:r>
        <w:rPr>
          <w:rFonts w:ascii="Times New Roman" w:hAnsi="Times New Roman"/>
          <w:i/>
          <w:sz w:val="20"/>
        </w:rPr>
        <w:t xml:space="preserve">provided </w:t>
      </w:r>
      <w:r>
        <w:rPr>
          <w:rFonts w:ascii="Times New Roman" w:hAnsi="Times New Roman"/>
          <w:sz w:val="20"/>
        </w:rPr>
        <w:t xml:space="preserve">that no adjustments will be made retroactively with respect to fees accrued or payments made by or on behalf of the Borrower while that Lender was a Defaulting Lender; </w:t>
      </w:r>
      <w:r>
        <w:rPr>
          <w:rFonts w:ascii="Times New Roman" w:hAnsi="Times New Roman"/>
          <w:i/>
          <w:sz w:val="20"/>
        </w:rPr>
        <w:t>provided 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 having been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New Letters of Credit</w:t>
      </w:r>
      <w:r>
        <w:rPr>
          <w:rFonts w:ascii="Times New Roman" w:hAnsi="Times New Roman"/>
          <w:sz w:val="20"/>
        </w:rPr>
        <w:t xml:space="preserve">. So long as any Revolving Lender is a Defaulting Lender, no Issuing Bank shall be required to issue, extend or amend any Letter of Credit unless it is satisfied that it will have no Fronting Exposure after giving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Cash Collateral</w:t>
      </w:r>
      <w:r>
        <w:rPr>
          <w:rFonts w:ascii="Times New Roman" w:hAnsi="Times New Roman"/>
          <w:sz w:val="20"/>
        </w:rPr>
        <w:t xml:space="preserve">. At any time that there shall exist a Defaulting Lender and </w:t>
      </w:r>
      <w:r>
        <w:rPr>
          <w:rFonts w:ascii="Times New Roman" w:hAnsi="Times New Roman"/>
          <w:sz w:val="20"/>
          <w:u w:val="single"/>
        </w:rPr>
        <w:t>Section 2.20(a)(iv)</w:t>
      </w:r>
      <w:r>
        <w:rPr>
          <w:rFonts w:ascii="Times New Roman" w:hAnsi="Times New Roman"/>
          <w:sz w:val="20"/>
        </w:rPr>
        <w:t xml:space="preserve"> is applicable, within one Business Day following the written request of the Administrative Agent or any Issuing Bank (with a copy to the Administrative Agent), the Borrower shall Cash Collateralize the applicable Issuing Bank’s Fronting Exposure with respect to such Defaulting Lender (determined after giving effect to </w:t>
      </w:r>
      <w:r>
        <w:rPr>
          <w:rFonts w:ascii="Times New Roman" w:hAnsi="Times New Roman"/>
          <w:sz w:val="20"/>
          <w:u w:val="single"/>
        </w:rPr>
        <w:t xml:space="preserve">Section 2.04 </w:t>
      </w:r>
      <w:r>
        <w:rPr>
          <w:rFonts w:ascii="Times New Roman" w:hAnsi="Times New Roman"/>
          <w:sz w:val="20"/>
        </w:rPr>
        <w:t xml:space="preserve">and any Cash Collateral provided by such Defaulting Lender) in an amount not less than the Minimum L/C Collateral Amount.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Grant of Security Interest</w:t>
      </w:r>
      <w:r>
        <w:rPr>
          <w:rFonts w:ascii="Times New Roman" w:hAnsi="Times New Roman"/>
          <w:sz w:val="20"/>
        </w:rPr>
        <w:t xml:space="preserve">. The Borrower, and to the extent provided by any Defaulting Lender, such Defaulting Lender, hereby grants to the Administrative Agent, for the benefit of the Issuing Banks and the Revolving Lenders, and agrees to maintain, a first priority security interest in all such Cash Collateral as security for the Defaulting Lender’s obligation to fund participations in respect of Letters of Credit, to be applied pursuant to </w:t>
      </w:r>
      <w:r>
        <w:rPr>
          <w:rFonts w:ascii="Times New Roman" w:hAnsi="Times New Roman"/>
          <w:sz w:val="20"/>
          <w:u w:val="single"/>
        </w:rPr>
        <w:t>clause (ii)</w:t>
      </w:r>
      <w:r>
        <w:rPr>
          <w:rFonts w:ascii="Times New Roman" w:hAnsi="Times New Roman"/>
          <w:sz w:val="20"/>
        </w:rPr>
        <w:t xml:space="preserve"> below. If at any time the Administrative Agent determines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the Cash Collateral is subject to any right or claim of any Person other than the Administrative Agent, the Issuing Banks or the Revolving Lenders as herein provided, or that the total amount of such Cash Collateral is less than the Minimum L/C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Application</w:t>
      </w:r>
      <w:r>
        <w:rPr>
          <w:rFonts w:ascii="Times New Roman" w:hAnsi="Times New Roman"/>
          <w:sz w:val="20"/>
        </w:rPr>
        <w:t xml:space="preserve">. Notwithstanding anything to the contrary contained in this Agreement, Collateral provided under this </w:t>
      </w:r>
      <w:r>
        <w:rPr>
          <w:rFonts w:ascii="Times New Roman" w:hAnsi="Times New Roman"/>
          <w:sz w:val="20"/>
          <w:u w:val="single"/>
        </w:rPr>
        <w:t>Section 2.20</w:t>
      </w:r>
      <w:r>
        <w:rPr>
          <w:rFonts w:ascii="Times New Roman" w:hAnsi="Times New Roman"/>
          <w:sz w:val="20"/>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Termination of Requirement</w:t>
      </w:r>
      <w:r>
        <w:rPr>
          <w:rFonts w:ascii="Times New Roman" w:hAnsi="Times New Roman"/>
          <w:sz w:val="20"/>
        </w:rPr>
        <w:t xml:space="preserve">. Cash Collateral (or the appropriate portion thereof) provided to reduce any Issuing Bank’s Fronting Exposure shall no longer be required to be held as Cash Collateral pursuant to this </w:t>
      </w:r>
      <w:r>
        <w:rPr>
          <w:rFonts w:ascii="Times New Roman" w:hAnsi="Times New Roman"/>
          <w:sz w:val="20"/>
          <w:u w:val="single"/>
        </w:rPr>
        <w:t>Section 2.20</w:t>
      </w:r>
      <w:r>
        <w:rPr>
          <w:rFonts w:ascii="Times New Roman" w:hAnsi="Times New Roman"/>
          <w:sz w:val="20"/>
        </w:rPr>
        <w:t xml:space="preserve"> following (A) the elimination of the applicable Fronting Exposure (including by the termination of Defaulting Lender status of the applicable Lender) or (B) the determination by the Administrative Agent or the applicable Issuing Bank that there exists excess Cash Collateral; </w:t>
      </w:r>
      <w:r>
        <w:rPr>
          <w:rFonts w:ascii="Times New Roman" w:hAnsi="Times New Roman"/>
          <w:i/>
          <w:sz w:val="20"/>
        </w:rPr>
        <w:t xml:space="preserve">provided </w:t>
      </w:r>
      <w:r>
        <w:rPr>
          <w:rFonts w:ascii="Times New Roman" w:hAnsi="Times New Roman"/>
          <w:sz w:val="20"/>
        </w:rPr>
        <w:t xml:space="preserve">that, subject to the other provisions of this </w:t>
      </w:r>
      <w:r>
        <w:rPr>
          <w:rFonts w:ascii="Times New Roman" w:hAnsi="Times New Roman"/>
          <w:sz w:val="20"/>
          <w:u w:val="single"/>
        </w:rPr>
        <w:t>Section 2.20</w:t>
      </w:r>
      <w:r>
        <w:rPr>
          <w:rFonts w:ascii="Times New Roman" w:hAnsi="Times New Roman"/>
          <w:sz w:val="20"/>
        </w:rPr>
        <w:t xml:space="preserve">, the Person providing Cash Collateral and the applicable Issuing Bank may agree that the Cash Collateral shall be held to support future anticipated Fronting Exposure or other obligations; </w:t>
      </w:r>
      <w:r>
        <w:rPr>
          <w:rFonts w:ascii="Times New Roman" w:hAnsi="Times New Roman"/>
          <w:i/>
          <w:sz w:val="20"/>
        </w:rPr>
        <w:t xml:space="preserve">provided further </w:t>
      </w:r>
      <w:r>
        <w:rPr>
          <w:rFonts w:ascii="Times New Roman" w:hAnsi="Times New Roman"/>
          <w:sz w:val="20"/>
        </w:rPr>
        <w:t xml:space="preserve">that to the extent that such Cash Collateral was provided by the Borrower, such Cash Collateral shall remain subject to the security interest granted pursuant to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Hedge Banks</w:t>
      </w:r>
      <w:r>
        <w:rPr>
          <w:rFonts w:ascii="Times New Roman" w:hAnsi="Times New Roman"/>
          <w:sz w:val="20"/>
        </w:rPr>
        <w:t xml:space="preserve">. So long as any Lender is a Defaulting Lender, such Lender shall not be a Hedge Bank with respect to any Secured Hedge Agreement entered into while such Lender was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for the purpose of obtaining judgment in any court, it is necessary to convert a sum owing hereunder in one currency into another currency, each party hereto (and by its acceptance of its appointment in such capacity, each Lead Arranger)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 </w:t>
      </w:r>
    </w:p>
    <w:p>
      <w:pPr>
        <w:pStyle w:val="TextBody"/>
        <w:bidi w:val="0"/>
        <w:spacing w:before="240" w:after="0"/>
        <w:jc w:val="left"/>
        <w:rPr>
          <w:rFonts w:ascii="Times New Roman" w:hAnsi="Times New Roman"/>
          <w:sz w:val="20"/>
        </w:rPr>
      </w:pPr>
      <w:r>
        <w:rPr>
          <w:rFonts w:ascii="Times New Roman" w:hAnsi="Times New Roman"/>
          <w:sz w:val="20"/>
        </w:rPr>
        <w:t>(b) The obligations of the Borrower in respect of any sum due to any party hereto or any holder of the obligations owing hereunder (the “</w:t>
      </w:r>
      <w:r>
        <w:rPr>
          <w:rFonts w:ascii="Times New Roman" w:hAnsi="Times New Roman"/>
          <w:b/>
          <w:sz w:val="20"/>
        </w:rPr>
        <w:t>Applicable Creditor</w:t>
      </w:r>
      <w:r>
        <w:rPr>
          <w:rFonts w:ascii="Times New Roman" w:hAnsi="Times New Roman"/>
          <w:sz w:val="20"/>
        </w:rPr>
        <w:t>”) shall, notwithstanding any judgment in a currency (the “</w:t>
      </w:r>
      <w:r>
        <w:rPr>
          <w:rFonts w:ascii="Times New Roman" w:hAnsi="Times New Roman"/>
          <w:b/>
          <w:sz w:val="20"/>
        </w:rPr>
        <w:t>Judgment Currency</w:t>
      </w:r>
      <w:r>
        <w:rPr>
          <w:rFonts w:ascii="Times New Roman" w:hAnsi="Times New Roman"/>
          <w:sz w:val="20"/>
        </w:rPr>
        <w:t>”) other than the currency in which such sum is stated to be due hereunder (the “</w:t>
      </w:r>
      <w:r>
        <w:rPr>
          <w:rFonts w:ascii="Times New Roman" w:hAnsi="Times New Roman"/>
          <w:b/>
          <w:sz w:val="20"/>
        </w:rPr>
        <w:t>Agreement Currency</w:t>
      </w:r>
      <w:r>
        <w:rPr>
          <w:rFonts w:ascii="Times New Roman" w:hAnsi="Times New Roman"/>
          <w:sz w:val="20"/>
        </w:rPr>
        <w:t xml:space="preserve">”), be discharged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as a separate obligation and notwithstanding any such judgment, agree to indemnify the Applicable Creditor against such loss. The obligations of the Borrower contained in this Section shall survive the termination of this Agreement and the payment of all other amounts owing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Taxes, Increased Costs Protection and Illegality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required by applicable Law, any and all payments by the Borrower or any Guarantor to or for the account of any Agent, Lender or Issuing Bank under any Loan Document shall be made free and clear of and without deduction for any and all present or future taxes, duties, levies, imposts, deductions, assessments, fees, withholdings or similar charges imposed by any Governmental Authority, and all additions to tax, penalties and interest with respect thereto (“</w:t>
      </w:r>
      <w:r>
        <w:rPr>
          <w:rFonts w:ascii="Times New Roman" w:hAnsi="Times New Roman"/>
          <w:b/>
          <w:sz w:val="20"/>
        </w:rPr>
        <w:t>Taxes</w:t>
      </w:r>
      <w:r>
        <w:rPr>
          <w:rFonts w:ascii="Times New Roman" w:hAnsi="Times New Roman"/>
          <w:sz w:val="20"/>
        </w:rPr>
        <w:t xml:space="preserve">”). If an applicable Withholding Agent is required to deduct any Taxes from or in respect of any sum payable under any Loan Document to any Agent, Lender or Issuing Bank, (i) if such Taxes are Indemnified Taxes, the sum payable shall be increased as necessary so that after making all required deductions (including deductions applicable to additional sums payable under this </w:t>
      </w:r>
      <w:r>
        <w:rPr>
          <w:rFonts w:ascii="Times New Roman" w:hAnsi="Times New Roman"/>
          <w:sz w:val="20"/>
          <w:u w:val="single"/>
        </w:rPr>
        <w:t>Section 3.01(a)(i)</w:t>
      </w:r>
      <w:r>
        <w:rPr>
          <w:rFonts w:ascii="Times New Roman" w:hAnsi="Times New Roman"/>
          <w:sz w:val="20"/>
        </w:rPr>
        <w:t xml:space="preserve">), each of such Agent, Lender or Issuing Bank receives an amount equal to the sum it would have received had no such deductions for Indemnified Taxes been made, (ii) the applicable Withholding Agent shall make such deductions, (iii) the applicable Withholding Agent shall pay the full amount deducted to the relevant taxing authority, and (iv) as soon as practicable after any such payment by the Borrower or any Guarantor, the Borrower or applicable Guarantor shall furnish to such Agent, Lender or Issuing Bank (as the case may be) the original or a facsimile copy of a receipt evidencing payment thereof to the extent such a receipt has been made available to the Borrower or applicable Guarantor (or other evidence of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Each Agent, Lender or Issuing Bank (including an Eligible Assignee to which a Lender assigns its interest in accordance with </w:t>
      </w:r>
      <w:r>
        <w:rPr>
          <w:rFonts w:ascii="Times New Roman" w:hAnsi="Times New Roman"/>
          <w:sz w:val="20"/>
          <w:u w:val="single"/>
        </w:rPr>
        <w:t>Section 11.07</w:t>
      </w:r>
      <w:r>
        <w:rPr>
          <w:rFonts w:ascii="Times New Roman" w:hAnsi="Times New Roman"/>
          <w:sz w:val="20"/>
        </w:rPr>
        <w:t xml:space="preserve">, unless such Eligible Assignee is already a Lender hereunder) that is entitled to an exemption from or reduction of withholding Tax with respect to payments made under any Loan Document shall deliver to the Borrower and Administrative Agent, at the time or times reasonably requested by the Borrower and Administrative Agent, such properly completed and executed documentation reasonably requested by the Borrower and Administrative Agent as will permit such payments to be made without withholding or at a reduced rate of withholding. In addition, any such Agent, Lender, Issuing Bank or Eligible Assignee, if reasonably requested by the Borrower and Administrative Agent, shall deliver such other documentation prescribed by applicable law or reasonably requested by the Borrower and Administrative Agent as will enable the Borrower and Administrative Agent to determine whether or not such Lender is subject to backup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Sections 3.01(b)(i)</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below) shall not be required if in such Lender’s, Agent’s, Issuing Bank’s or Eligible Assignee’s reasonable judgment such completion, execution or submission would subject such Agent, Lender, Issuing Bank or Eligible Assignee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 Without limiting the generality of the foregoing, to the extent it is legally able to do so, each Agent, Lender or Issuing Bank (including an Eligible Assignee to which a Lender assigns its interest in accordance with </w:t>
      </w:r>
      <w:r>
        <w:rPr>
          <w:rFonts w:ascii="Times New Roman" w:hAnsi="Times New Roman"/>
          <w:sz w:val="20"/>
          <w:u w:val="single"/>
        </w:rPr>
        <w:t>Section 11.07</w:t>
      </w:r>
      <w:r>
        <w:rPr>
          <w:rFonts w:ascii="Times New Roman" w:hAnsi="Times New Roman"/>
          <w:sz w:val="20"/>
        </w:rPr>
        <w:t xml:space="preserve">, unless such Eligible Assignee is already a Lender hereunder) that is not a “United States person” within the meaning of Section 7701(a)(30) of the Code (each, a “Foreign </w:t>
      </w:r>
      <w:r>
        <w:rPr>
          <w:rFonts w:ascii="Times New Roman" w:hAnsi="Times New Roman"/>
          <w:b/>
          <w:sz w:val="20"/>
        </w:rPr>
        <w:t>Lender”)</w:t>
      </w:r>
      <w:r>
        <w:rPr>
          <w:rFonts w:ascii="Times New Roman" w:hAnsi="Times New Roman"/>
          <w:sz w:val="20"/>
        </w:rPr>
        <w:t xml:space="preserve"> agrees to complete and deliver to the Borrower and the Administrative Agent on or prior to the date on which the Foreign Lender becomes a party hereto (and from time to time thereafter upon the reasonable request of the Borrower or the Administrative Agent), two accurate, complete and duly executed copies of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Foreign Lender claiming the benefits of an income tax treaty to which the United States is a party, (1) with respect to the payments of interest under any Loan Document, IRS Form W-8BEN or Form W-8BEN-E establishing an exemption from, or reduction of, U.S. federal withholding Tax pursuant to the “interest” article of such tax treaty, and (2) with respect to any other applicable payments under any Loan Document, IRS Form W-8BEN or IRS Form W-8BEN-E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(B) IRS Form W-8ECI certifying that the income receivable pursuant to any Loan Document is effectively connected with the conduct of a trade or business in the United States; </w:t>
      </w:r>
    </w:p>
    <w:p>
      <w:pPr>
        <w:pStyle w:val="TextBody"/>
        <w:bidi w:val="0"/>
        <w:spacing w:before="120" w:after="0"/>
        <w:jc w:val="left"/>
        <w:rPr>
          <w:rFonts w:ascii="Times New Roman" w:hAnsi="Times New Roman"/>
          <w:sz w:val="20"/>
        </w:rPr>
      </w:pPr>
      <w:r>
        <w:rPr>
          <w:rFonts w:ascii="Times New Roman" w:hAnsi="Times New Roman"/>
          <w:sz w:val="20"/>
        </w:rPr>
        <w:t>(C) in the case of a Foreign Lender claiming the benefits of the exemption for portfolio interest under Section 881(c) of the Code, (1) a certificate substantially in the form of Exhibit G-1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“U.</w:t>
      </w:r>
      <w:r>
        <w:rPr>
          <w:rFonts w:ascii="Times New Roman" w:hAnsi="Times New Roman"/>
          <w:b/>
          <w:sz w:val="20"/>
        </w:rPr>
        <w:t>S. Tax Compliance Certificate”)</w:t>
      </w:r>
      <w:r>
        <w:rPr>
          <w:rFonts w:ascii="Times New Roman" w:hAnsi="Times New Roman"/>
          <w:sz w:val="20"/>
        </w:rPr>
        <w:t xml:space="preserve"> and (2) an IRS Form W-8BEN or Form W-8BEN-E, certifying that the Foreign Lender is not a United States person;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a Foreign Lender is not the beneficial owner for U.S. federal income tax purposes, IRS Form W-8IMY (or any successor forms) of the Foreign Lender, accompanied by, as and to the extent applicable, an IRS Form W-8BEN, Form W-8BEN-E, Form W-8ECI, a U.S. Tax Compliance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substantially in the form of Exhibit G-2 or Exhibit G-3, Form W-9, Form W-8IMY (or other successor forms) and any other required supporting information from each beneficial owner;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any Foreign Lender shall, to the extent it is legally entitled to do so, deliver to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accurate, complete and duly executed copies of any other form prescribed by applicable requirements of applicable Law as a basis for claiming exemption from or a reduction in U.S. federal withholding Tax, together with such supplementary documentation as may be prescribed by applicable requirements of law to permit the Borrower and the Administrative Agent to determine the withholding or deduction required to be made. </w:t>
      </w:r>
    </w:p>
    <w:p>
      <w:pPr>
        <w:pStyle w:val="TextBody"/>
        <w:bidi w:val="0"/>
        <w:spacing w:before="240" w:after="0"/>
        <w:jc w:val="left"/>
        <w:rPr>
          <w:rFonts w:ascii="Times New Roman" w:hAnsi="Times New Roman"/>
          <w:sz w:val="20"/>
        </w:rPr>
      </w:pPr>
      <w:r>
        <w:rPr>
          <w:rFonts w:ascii="Times New Roman" w:hAnsi="Times New Roman"/>
          <w:sz w:val="20"/>
        </w:rPr>
        <w:t xml:space="preserve">(c) In addition, each Agent, Lender, Issuing Bank or Eligible Assignee shall, to the extent it is legally entitled to do so, (i) promptly submit to the Borrower and the Administrative Agent two accurate, complete and duly executed copies of such other or additional forms or certificates (or such successor forms or certificates as shall be adopted from time to time by the relevant taxing authorities) as may then be applicable or available to secure an exemption from or reduction in the rate of withholding Tax (1) on or before the date that such Agent’s, Lender’s, Issuing Bank’s or Eligible Assignee’s most recently delivered form, certificate or other evidence expires or becomes obsolete or inaccurate in any material respect, (2) after the occurrence of a change in such Agent’s, Lender’s, Issuing Bank’s or Eligible Assignee’s circumstances requiring a change in the most recent form, certificate or evidence previously delivered by it to the Borrower and the Administrative Agent, and (3) from time to time thereafter if reasonably requested by the Borrower or the Administrative Agent, and (ii) promptly notify the Borrower and the Administrative Agent of any change in such Agent’s, Lender’s, Issuing Bank’s or Eligible Assignee’s circumstances that would modify or render invalid any claimed exemption or reduction. This </w:t>
      </w:r>
      <w:r>
        <w:rPr>
          <w:rFonts w:ascii="Times New Roman" w:hAnsi="Times New Roman"/>
          <w:sz w:val="20"/>
          <w:u w:val="single"/>
        </w:rPr>
        <w:t>Section 3.01(c)</w:t>
      </w:r>
      <w:r>
        <w:rPr>
          <w:rFonts w:ascii="Times New Roman" w:hAnsi="Times New Roman"/>
          <w:sz w:val="20"/>
        </w:rPr>
        <w:t xml:space="preserve"> shall not apply to any reporting requirements under FATCA. </w:t>
      </w:r>
    </w:p>
    <w:p>
      <w:pPr>
        <w:pStyle w:val="TextBody"/>
        <w:bidi w:val="0"/>
        <w:spacing w:before="240" w:after="0"/>
        <w:jc w:val="left"/>
        <w:rPr>
          <w:rFonts w:ascii="Times New Roman" w:hAnsi="Times New Roman"/>
          <w:sz w:val="20"/>
        </w:rPr>
      </w:pPr>
      <w:r>
        <w:rPr>
          <w:rFonts w:ascii="Times New Roman" w:hAnsi="Times New Roman"/>
          <w:sz w:val="20"/>
        </w:rPr>
        <w:t xml:space="preserve">(d) 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 the amount to deduct and withhold from such payment. Solely for purposes of this </w:t>
      </w:r>
      <w:r>
        <w:rPr>
          <w:rFonts w:ascii="Times New Roman" w:hAnsi="Times New Roman"/>
          <w:sz w:val="20"/>
          <w:u w:val="single"/>
        </w:rPr>
        <w:t>Section 3.01(d)</w:t>
      </w:r>
      <w:r>
        <w:rPr>
          <w:rFonts w:ascii="Times New Roman" w:hAnsi="Times New Roman"/>
          <w:sz w:val="20"/>
        </w:rPr>
        <w:t xml:space="preserve">, “FATCA” shall include any amendments made to FATCA after the date of this Agreement. Each Lender agrees that if any form or certification it previously delivered expires or becomes obsolete or inaccurate in any respect, it shall update such form or certification or promptly notify Borrower and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generality of </w:t>
      </w:r>
      <w:r>
        <w:rPr>
          <w:rFonts w:ascii="Times New Roman" w:hAnsi="Times New Roman"/>
          <w:sz w:val="20"/>
          <w:u w:val="single"/>
        </w:rPr>
        <w:t>Section 3.01(b)</w:t>
      </w:r>
      <w:r>
        <w:rPr>
          <w:rFonts w:ascii="Times New Roman" w:hAnsi="Times New Roman"/>
          <w:sz w:val="20"/>
        </w:rPr>
        <w:t>, each Lender or Issuing Bank that is a “United States person” (within the meaning of Section 7701(a)(30) of the Code) (each, a “</w:t>
      </w:r>
      <w:r>
        <w:rPr>
          <w:rFonts w:ascii="Times New Roman" w:hAnsi="Times New Roman"/>
          <w:b/>
          <w:sz w:val="20"/>
        </w:rPr>
        <w:t>U.S. Lender”)</w:t>
      </w:r>
      <w:r>
        <w:rPr>
          <w:rFonts w:ascii="Times New Roman" w:hAnsi="Times New Roman"/>
          <w:sz w:val="20"/>
        </w:rPr>
        <w:t xml:space="preserve"> agrees to complete and deliver to the Borrower and the Administrative Agent two copies of accurate, complete and duly executed IRS Form W-9 or successor form certifying that such U.S. Lender is not subject to U.S. federal backup withholding Tax (i) on or prior to the Closing Date (or on or prior to the date it becomes a party to this Agreement), (ii) on or before the date that such form expires or becomes obsolete or inaccurate in any material respect, (iii) after the occurrence of a change in the U.S. Lender’s circumstances requiring a change in the most recent form previously delivered by it to the Borrower and the Administrative Agent, and (iv) from time to time thereafter if reasonably requested by the Borrower or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Without duplication of any amounts payable under Sections 3.01(a) or 3.01(g), the Borrower agrees to pay any and all present or future stamp, court or documentary intangible, recording, filing, mortgage recording or similar Taxes that arise from any payment made under any Loan Document or from the execution, delivery, performance, enforcement or registration of, or otherwise with respect to, any Loan Document excluding, in each case, such amounts that are Other Connection Taxes imposed in connection with an Assignment and Assumption, grant of a participation, transfer or assignment to or designation of a new applicable Lending Office or other office for receiving payments under any Loan Document, except to the extent that any such change is requested in writing by the Borrower (all such Taxes described in this </w:t>
      </w:r>
      <w:r>
        <w:rPr>
          <w:rFonts w:ascii="Times New Roman" w:hAnsi="Times New Roman"/>
          <w:sz w:val="20"/>
          <w:u w:val="single"/>
        </w:rPr>
        <w:t>Section 3.01(f)</w:t>
      </w:r>
      <w:r>
        <w:rPr>
          <w:rFonts w:ascii="Times New Roman" w:hAnsi="Times New Roman"/>
          <w:sz w:val="20"/>
        </w:rPr>
        <w:t>, other than Excluded Taxes, being hereinafter referred to as “</w:t>
      </w:r>
      <w:r>
        <w:rPr>
          <w:rFonts w:ascii="Times New Roman" w:hAnsi="Times New Roman"/>
          <w:b/>
          <w:sz w:val="20"/>
        </w:rPr>
        <w:t>Other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Without duplication of any amounts payable under Sections 3.01(a) or 3.01(f), if any Indemnified Taxes are directly asserted against any Agent, Lender or Issuing Bank with respect to any payment received by such Agent, Lender or Issuing Bank in respect of any Loan Document, such Agent, Lender or Issuing Bank may pay such Indemnified Taxes and the Borrower will promptly indemnify and hold harmless such Agent, Lender or Issuing Bank for the full amount of such Indemnified Taxes imposed on amounts payable under this Section 3.01), and any reasonable expenses arising therefrom or with respect thereto (other than any expenses or penalties determined by a court of competent jurisdiction by a final and nonappealable judgment to have resulted from the gross negligence or willful misconduct of such Recipient), whether or not such Indemnified Taxes were correctly or legally imposed or asserted. Payments under this </w:t>
      </w:r>
      <w:r>
        <w:rPr>
          <w:rFonts w:ascii="Times New Roman" w:hAnsi="Times New Roman"/>
          <w:sz w:val="20"/>
          <w:u w:val="single"/>
        </w:rPr>
        <w:t>Section 3.01(g)</w:t>
      </w:r>
      <w:r>
        <w:rPr>
          <w:rFonts w:ascii="Times New Roman" w:hAnsi="Times New Roman"/>
          <w:sz w:val="20"/>
        </w:rPr>
        <w:t xml:space="preserve"> shall be made within ten days after the date the Borrower receive written demand for payment from such Agent, Lender or Issuing Bank. </w:t>
      </w:r>
    </w:p>
    <w:p>
      <w:pPr>
        <w:pStyle w:val="TextBody"/>
        <w:bidi w:val="0"/>
        <w:spacing w:before="240" w:after="0"/>
        <w:jc w:val="left"/>
        <w:rPr>
          <w:rFonts w:ascii="Times New Roman" w:hAnsi="Times New Roman"/>
          <w:sz w:val="20"/>
        </w:rPr>
      </w:pPr>
      <w:r>
        <w:rPr>
          <w:rFonts w:ascii="Times New Roman" w:hAnsi="Times New Roman"/>
          <w:sz w:val="20"/>
        </w:rPr>
        <w:t xml:space="preserve">(h) A Participant shall comply with the provisions of Sections </w:t>
      </w:r>
      <w:r>
        <w:rPr>
          <w:rFonts w:ascii="Times New Roman" w:hAnsi="Times New Roman"/>
          <w:sz w:val="20"/>
          <w:u w:val="single"/>
        </w:rPr>
        <w:t>3.01(b)</w:t>
      </w:r>
      <w:r>
        <w:rPr>
          <w:rFonts w:ascii="Times New Roman" w:hAnsi="Times New Roman"/>
          <w:sz w:val="20"/>
        </w:rPr>
        <w:t xml:space="preserve">, </w:t>
      </w:r>
      <w:r>
        <w:rPr>
          <w:rFonts w:ascii="Times New Roman" w:hAnsi="Times New Roman"/>
          <w:sz w:val="20"/>
          <w:u w:val="single"/>
        </w:rPr>
        <w:t>3.01(c)</w:t>
      </w:r>
      <w:r>
        <w:rPr>
          <w:rFonts w:ascii="Times New Roman" w:hAnsi="Times New Roman"/>
          <w:sz w:val="20"/>
        </w:rPr>
        <w:t xml:space="preserve">, </w:t>
      </w:r>
      <w:r>
        <w:rPr>
          <w:rFonts w:ascii="Times New Roman" w:hAnsi="Times New Roman"/>
          <w:sz w:val="20"/>
          <w:u w:val="single"/>
        </w:rPr>
        <w:t>3.01(d)</w:t>
      </w:r>
      <w:r>
        <w:rPr>
          <w:rFonts w:ascii="Times New Roman" w:hAnsi="Times New Roman"/>
          <w:sz w:val="20"/>
        </w:rPr>
        <w:t xml:space="preserve"> and 3.01(e) hereof and shall not be entitled to receive any greater payment under this </w:t>
      </w:r>
      <w:r>
        <w:rPr>
          <w:rFonts w:ascii="Times New Roman" w:hAnsi="Times New Roman"/>
          <w:sz w:val="20"/>
          <w:u w:val="single"/>
        </w:rPr>
        <w:t>Section 3.01</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the Borrower’s prior written consent or such entitlement to a greater payment results from a change in law that occurs after the Participant acquired the participation.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any Agent, Lender, Issuing Bank or Participant determines, in its sole discretion, exercised in good faith, that it has received a refund in respect of any Taxes as to which it has been indemnified by the Borrower or any Guarantor, as the case may be, or with respect to which the Borrower or any Guarantor, as the case may be, has paid additional amounts pursuant to this </w:t>
      </w:r>
      <w:r>
        <w:rPr>
          <w:rFonts w:ascii="Times New Roman" w:hAnsi="Times New Roman"/>
          <w:sz w:val="20"/>
          <w:u w:val="single"/>
        </w:rPr>
        <w:t>Section 3.01</w:t>
      </w:r>
      <w:r>
        <w:rPr>
          <w:rFonts w:ascii="Times New Roman" w:hAnsi="Times New Roman"/>
          <w:sz w:val="20"/>
        </w:rPr>
        <w:t xml:space="preserve">, it shall promptly pay to the indemnifying party an amount equal to such refund (but only to the extent of indemnity payments made, or additional amounts paid, by the indemnifying party under this </w:t>
      </w:r>
      <w:r>
        <w:rPr>
          <w:rFonts w:ascii="Times New Roman" w:hAnsi="Times New Roman"/>
          <w:sz w:val="20"/>
          <w:u w:val="single"/>
        </w:rPr>
        <w:t>Section 3.01</w:t>
      </w:r>
      <w:r>
        <w:rPr>
          <w:rFonts w:ascii="Times New Roman" w:hAnsi="Times New Roman"/>
          <w:sz w:val="20"/>
        </w:rPr>
        <w:t xml:space="preserve"> with respect to the Taxes giving rise to such refund), net of all reasonable out-of-pocket expenses incurred by such indemnified party and without interest (other than any interest paid by the relevant Governmental Authority with respect to such refund), </w:t>
      </w:r>
      <w:r>
        <w:rPr>
          <w:rFonts w:ascii="Times New Roman" w:hAnsi="Times New Roman"/>
          <w:i/>
          <w:sz w:val="20"/>
        </w:rPr>
        <w:t xml:space="preserve">provided </w:t>
      </w:r>
      <w:r>
        <w:rPr>
          <w:rFonts w:ascii="Times New Roman" w:hAnsi="Times New Roman"/>
          <w:sz w:val="20"/>
        </w:rPr>
        <w:t>that the Borrower or applicable Guarantor, as the case may be, upon the request of such indemnified party, agrees to repay the amount paid over to the Borrower or applicable Guarantor, as the case may be (</w:t>
      </w:r>
      <w:r>
        <w:rPr>
          <w:rFonts w:ascii="Times New Roman" w:hAnsi="Times New Roman"/>
          <w:i/>
          <w:sz w:val="20"/>
          <w:u w:val="single"/>
        </w:rPr>
        <w:t>plus</w:t>
      </w:r>
      <w:r>
        <w:rPr>
          <w:rFonts w:ascii="Times New Roman" w:hAnsi="Times New Roman"/>
          <w:sz w:val="20"/>
        </w:rPr>
        <w:t xml:space="preserve"> any penalties, interest or other charges imposed by the relevant Governmental Authority) to such indemnified party in the event such indemnified party is required to repay such refund to such Governmental Authority. Notwithstanding anything to the contrary in this </w:t>
      </w:r>
      <w:r>
        <w:rPr>
          <w:rFonts w:ascii="Times New Roman" w:hAnsi="Times New Roman"/>
          <w:sz w:val="20"/>
          <w:u w:val="single"/>
        </w:rPr>
        <w:t>Section 3.01(i)</w:t>
      </w:r>
      <w:r>
        <w:rPr>
          <w:rFonts w:ascii="Times New Roman" w:hAnsi="Times New Roman"/>
          <w:sz w:val="20"/>
        </w:rPr>
        <w:t xml:space="preserve">, in no event will such indemnified party be required to pay any amount to the Borrower or applicable Guarantor pursuant to this </w:t>
      </w:r>
      <w:r>
        <w:rPr>
          <w:rFonts w:ascii="Times New Roman" w:hAnsi="Times New Roman"/>
          <w:sz w:val="20"/>
          <w:u w:val="single"/>
        </w:rPr>
        <w:t>Section 3.01(i)</w:t>
      </w:r>
      <w:r>
        <w:rPr>
          <w:rFonts w:ascii="Times New Roman" w:hAnsi="Times New Roman"/>
          <w:sz w:val="20"/>
        </w:rPr>
        <w:t xml:space="preserve"> the payment of which would place such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Such Agent, Lender or Issuing Bank, as the case may be, shall provide the Borrower upon request with a copy of any notice of assessment or other evidence reasonably available of the requirement to repay such refund received from the relevant Governmental Authority (provided that such Lender, Agent or Issuing Bank may delete any information therein that such Lender, Agent or Issuing Bank deems confidential or not relevant to such refund in its reasonable discretion). This subsection shall not be construed to require any indemnified party to make available its tax returns (or any other information relating to its Taxes that it reasonably deems confidential) to the Borrower, any Guarantor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(j) Each Lender agrees that, upon the occurrence of any event giving rise to the operation of </w:t>
      </w:r>
      <w:r>
        <w:rPr>
          <w:rFonts w:ascii="Times New Roman" w:hAnsi="Times New Roman"/>
          <w:sz w:val="20"/>
          <w:u w:val="single"/>
        </w:rPr>
        <w:t>Section 3.01(a)</w:t>
      </w:r>
      <w:r>
        <w:rPr>
          <w:rFonts w:ascii="Times New Roman" w:hAnsi="Times New Roman"/>
          <w:sz w:val="20"/>
        </w:rPr>
        <w:t xml:space="preserve"> or (g) with respect to such Lender, it will, if requested by the Borrower in writing, use reasonable efforts to mitigate the effect of any such event, including by designating another Lending Office for any Loan affected by such event and by completing and delivering or filing any Tax-related forms that such Lender is legally able to deliver and that would reduce or eliminate any amount of Indemnified Taxes required to be deducted or withheld or paid by the Borrower; </w:t>
      </w:r>
      <w:r>
        <w:rPr>
          <w:rFonts w:ascii="Times New Roman" w:hAnsi="Times New Roman"/>
          <w:i/>
          <w:sz w:val="20"/>
        </w:rPr>
        <w:t xml:space="preserve">provided </w:t>
      </w:r>
      <w:r>
        <w:rPr>
          <w:rFonts w:ascii="Times New Roman" w:hAnsi="Times New Roman"/>
          <w:sz w:val="20"/>
        </w:rPr>
        <w:t xml:space="preserve">that such efforts are made at the Borrower’s expense and are on terms that, in the reasonable judgment of such Lender, do not cause such Lender or any of its Lending Offices to suffer any economic, legal or regulatory disadvantage, and </w:t>
      </w:r>
      <w:r>
        <w:rPr>
          <w:rFonts w:ascii="Times New Roman" w:hAnsi="Times New Roman"/>
          <w:i/>
          <w:sz w:val="20"/>
        </w:rPr>
        <w:t xml:space="preserve">provided further </w:t>
      </w:r>
      <w:r>
        <w:rPr>
          <w:rFonts w:ascii="Times New Roman" w:hAnsi="Times New Roman"/>
          <w:sz w:val="20"/>
        </w:rPr>
        <w:t xml:space="preserve">that nothing in this </w:t>
      </w:r>
      <w:r>
        <w:rPr>
          <w:rFonts w:ascii="Times New Roman" w:hAnsi="Times New Roman"/>
          <w:sz w:val="20"/>
          <w:u w:val="single"/>
        </w:rPr>
        <w:t xml:space="preserve">Section 3.01(j) </w:t>
      </w:r>
      <w:r>
        <w:rPr>
          <w:rFonts w:ascii="Times New Roman" w:hAnsi="Times New Roman"/>
          <w:sz w:val="20"/>
        </w:rPr>
        <w:t xml:space="preserve">shall affect or postpone any of the Obligations of the Borrower or the rights of such Lender pursuant to </w:t>
      </w:r>
      <w:r>
        <w:rPr>
          <w:rFonts w:ascii="Times New Roman" w:hAnsi="Times New Roman"/>
          <w:sz w:val="20"/>
          <w:u w:val="single"/>
        </w:rPr>
        <w:t>Section 3.01(a)</w:t>
      </w:r>
      <w:r>
        <w:rPr>
          <w:rFonts w:ascii="Times New Roman" w:hAnsi="Times New Roman"/>
          <w:sz w:val="20"/>
        </w:rPr>
        <w:t xml:space="preserve"> or (g).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Notwithstanding any other provision of this Agreement, the Borrower and the Administrative Agent may deduct and withhold any Taxes required by any applicable Law to be deducted and withheld from any payment under any of the Loan Documents, subject to the provisions of this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Each Agent or Lender, as applicable, shall severally indemnify the Administrative Agent, within ten days after demand therefor, for (i) any Taxes attributable to such Agent or Lender (but only to the extent that the Borrower have not already indemnified the Administrative Agent for such Taxes and without limiting the obligation of the Borrower to do so), (ii) any Taxes attributable to such Lender’s failure to comply with the provisions of </w:t>
      </w:r>
      <w:r>
        <w:rPr>
          <w:rFonts w:ascii="Times New Roman" w:hAnsi="Times New Roman"/>
          <w:sz w:val="20"/>
          <w:u w:val="single"/>
        </w:rPr>
        <w:t>Section 11.07(e)</w:t>
      </w:r>
      <w:r>
        <w:rPr>
          <w:rFonts w:ascii="Times New Roman" w:hAnsi="Times New Roman"/>
          <w:sz w:val="20"/>
        </w:rPr>
        <w:t xml:space="preserve"> relating to the maintenance of a Participant Register and (iii) any Excluded Taxes attributable to such Agent or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Agent or Lender by the Administrative Agent shall be conclusive absent manifest error. Each Agent and Lender hereby authorizes the Administrative Agent to set off and apply any and all amounts at any time owing to such Agent or Lender under any Loan Document or otherwise payable by the Administrative Agent to such Agent or Lender from any other source against any amount due to the Administrative Agent under this </w:t>
      </w:r>
      <w:r>
        <w:rPr>
          <w:rFonts w:ascii="Times New Roman" w:hAnsi="Times New Roman"/>
          <w:sz w:val="20"/>
          <w:u w:val="single"/>
        </w:rPr>
        <w:t>Section 3.01(l)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The agreements in this </w:t>
      </w:r>
      <w:r>
        <w:rPr>
          <w:rFonts w:ascii="Times New Roman" w:hAnsi="Times New Roman"/>
          <w:sz w:val="20"/>
          <w:u w:val="single"/>
        </w:rPr>
        <w:t>Section 3.01</w:t>
      </w:r>
      <w:r>
        <w:rPr>
          <w:rFonts w:ascii="Times New Roman" w:hAnsi="Times New Roman"/>
          <w:sz w:val="20"/>
        </w:rPr>
        <w:t xml:space="preserve"> shall survive the resignation or replacement of the Administrative Agent, termination of this Agreement and the payment of the Loans and all other amounts payable hereunder and any assignment of rights by, or replacement of, any Lender. </w:t>
      </w:r>
    </w:p>
    <w:p>
      <w:pPr>
        <w:pStyle w:val="TextBody"/>
        <w:bidi w:val="0"/>
        <w:spacing w:before="240" w:after="0"/>
        <w:jc w:val="left"/>
        <w:rPr>
          <w:rFonts w:ascii="Times New Roman" w:hAnsi="Times New Roman"/>
          <w:sz w:val="20"/>
        </w:rPr>
      </w:pPr>
      <w:r>
        <w:rPr>
          <w:rFonts w:ascii="Times New Roman" w:hAnsi="Times New Roman"/>
          <w:sz w:val="20"/>
        </w:rPr>
        <w:t xml:space="preserve">(n) For purposes of this Section, the term “Lender” includes any Issuing Bank and reference to “applicable Law”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Illegality</w:t>
      </w:r>
      <w:r>
        <w:rPr>
          <w:rFonts w:ascii="Times New Roman" w:hAnsi="Times New Roman"/>
          <w:sz w:val="20"/>
        </w:rPr>
        <w:t xml:space="preserve">. If any Lender reasonably determines that any Law has made it unlawful, or that any Governmental Authority has asserted that it is unlawful, for any Lender or its applicable Lending Office to make, maintain or fund Loans whose interest is determined by reference to SOFR, or to determine or charge interest rates based upon SOFR,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SOFR Rate Loans or to convert Base Rate Loans to SOFR Rate Loans, as applicable, shall be suspended, and (ii) if such notice asserts the illegality of such Lender making or maintaining Base Rate Loans the interest rate on which is determined by reference to the SOFR component of the Base Rate, the interest rate on which Base Rate Loans of such Lender shall, if necessary to avoid such illegality, be determined by the Administrative Agent without reference to the SOFR component of the Base Rate in each case until such Lender notifies the Administrative Agent and the Borrower that the circumstances giving rise to such determination no longer exist. Upon receipt of such notice, (A) with respect to Borrowings denominated in Dollars, the Borrower may revoke any pending request for a Borrowing of, conversion to or continuation of SOFR Rate Loans and shall, upon demand from such Lender (with a copy to the Administrative Agent), prepay or, if applicable, convert all SOFR Rate Loans of such Lender to Base Rate Loans (the interest rate on which Base Rate Loans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if necessary to avoid such illegality, be determined by the Administrative Agent without reference to the SOFR component of the Base Rate), either on the last day of the Interest Period therefor, if such Lender may lawfully continue to maintain such SOFR Rate Loans to such day, or immediately, if such Lender may not lawfully continue to maintain such SOFR Rate Loans or (B) if such notice asserts the illegality of such Lender determining or charging interest rates based upon the SOFR component of the Base Rate with respect to any Base Rate Loans, the Administrative Agent shall during the period of such suspension compute the Base Rate applicable to such Lender without reference to the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Inability to Determine Rates</w:t>
      </w:r>
      <w:r>
        <w:rPr>
          <w:rFonts w:ascii="Times New Roman" w:hAnsi="Times New Roman"/>
          <w:sz w:val="20"/>
        </w:rPr>
        <w:t xml:space="preserve">. If the Administrative Agent or the Required Lenders reasonably determine that for any reason in connection with any request for a SOFR Rate Loan or a conversion to or continuation thereof that (a) adequate and reasonable means do not exist for determining SOFR for any requested Interest Period with respect to a proposed SOFR Rate Loan or in connection with an existing or proposed Base Rate Loan or (b) SOFR for any requested Interest Period with respect to a proposed SOFR Rate Loan does not adequately and fairly reflect the cost to such Lenders of funding such Loan, the Administrative Agent will promptly so notify the Borrower and each Lender. Thereafter, (i) the obligation of the Lenders to make or maintain SOFR Rate Loans shall be suspended, and (ii) in the event of a determination described in the preceding sentence: with respect to the SOFR component of the Base Rate, the utilization of the SOFR component in determining the Base Rate shall be suspended until the Administrative Agent (upon the instruction of the Required Lenders) revokes such notice. Upon receipt of such notice, the Borrower may revoke any pending request for a Borrowing of, conversion to or continuation of SOFR Rate Loans or, failing that, will be deemed to have converted such request into a request for a Borrowing of Base Rate Loans, in the case of SOFR Rate Loans in the amount specified therein;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Borrower and the applicable Lenders cannot agree within a reasonable time on an alternative rate for such Loans, the Borrower may, at their discretion, either (x) prepay such Loans or (y) maintain such Loans outstanding, in which case, the interest rate payable to the applicable Lender on such Loans will be the rate determined by the Administrative Agent as its cost of funds to fund a Borrowing of such Loans with maturities comparable to the Interest Period applicable thereto plus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Increased Cost and Reduced Return; Capital Adequacy; Reserves on S Rate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or any Issuing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any Lender or any Issuing Bank to any tax of any kind whatsoever with respect to this Agreement, any Letter of Credit, any participation in a Letter of Credit or any SOFR Rate Loan made by it, or change the basis of taxation of payments to such Lender or Issuing Bank, as applicable, in respect thereof (except, in each case, for (A) Indemnified Taxes, (B) Taxes described in </w:t>
      </w:r>
      <w:r>
        <w:rPr>
          <w:rFonts w:ascii="Times New Roman" w:hAnsi="Times New Roman"/>
          <w:sz w:val="20"/>
          <w:u w:val="single"/>
        </w:rPr>
        <w:t>clauses (ii)</w:t>
      </w:r>
      <w:r>
        <w:rPr>
          <w:rFonts w:ascii="Times New Roman" w:hAnsi="Times New Roman"/>
          <w:sz w:val="20"/>
        </w:rPr>
        <w:t xml:space="preserve"> through (v) of the definition of Excluded Taxes, and (C) Connection Income Taxes);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any Issuing Bank or the London interbank market any other condition, cost or expense affecting this Agreement, any Letter of Credit, any participation in a Letter of Credit or SOFR Rate Loans made by such Lender or any Issuing Bank (other than with respect to Taxes) that is not otherwise accounted for in the definition of SOFR or this </w:t>
      </w:r>
      <w:r>
        <w:rPr>
          <w:rFonts w:ascii="Times New Roman" w:hAnsi="Times New Roman"/>
          <w:sz w:val="20"/>
          <w:u w:val="single"/>
        </w:rPr>
        <w:t>clause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such Issuing Bank of making or maintaining any Loan the interest on which is determined by reference to SOFR or, in the case of a Change in Law with respect to Taxes, making or maintaining any Loan (or of maintaining its obligation to make any such Loan), or to increase the cost to such Lender, such Issuing Bank or such other Lender of participating in, issuing or maintaining any Letter of Credit (or of maintaining its obligation to participate in or to issue any Letter of Credit, or to reduce the amount of any sum received or receivable by such Lender or such Issuing Bank (whether of principal, interest or any other amount)) then, from time to time within ten days after demand by such Lender, such Issuing Bank setting forth in reasonable detail such increased costs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such additional amount or amounts as will compensate such Lender or such Issuing Bank for such additional costs incurred or reduction suffered. No Lender or Issuing Bank or shall request that the Borrower pay any additional amount pursuant to this Section 3.04(a) unless it shall concurrently make similar requests to other borrowers similarly situated and affected by such Change in Law and from whom such Lender or Issuing Bank is entitled to seek similar amounts.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or any Issuing Bank reasonably determines that any Change in Law affecting such Lender or such Issuing Bank or any Lending Office of such Lender or such Issuing Bank or such Lender’s or Issuing Bank’s holding company, if any, regarding liquidity or capital requirements has or would have the effect of reducing the rate of return on such Lender’s or Issuing Bank’s capital or on the capital of such Lender’s or Issuing Bank’s holding company, if any, as a consequence of this Agreement, the Commitments of such Lender or such Issuing Bank or the Loans made by or Letters of Credit issued by it to a level below that which such Lender or such Issuing Bank or such Lender’s or Issuing Bank’s holding company could have achieved but for such Change in Law (taking into consideration such Lender’s or such Issuing Bank’s policies and the policies of such Lender’s or Issuing Bank’s holding company with respect to liquidity or capital adequacy), then from time to time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 of such Lender or such Issuing Bank setting forth in reasonable detail the charge and the calculation of such reduced rate of return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as the case may be, such additional amount or amounts as will compensate such Lender, such Issuing Bank or such Lender’s or Issuing Bank’s holding company for any such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or an Issuing Bank setting forth the amount or amounts necessary to compensate such Lender or such Issuing Bank or their respective holding company, as the case may be, as specified in subsection (a) or (b) of this </w:t>
      </w:r>
      <w:r>
        <w:rPr>
          <w:rFonts w:ascii="Times New Roman" w:hAnsi="Times New Roman"/>
          <w:sz w:val="20"/>
          <w:u w:val="single"/>
        </w:rPr>
        <w:t>Section 3.04</w:t>
      </w:r>
      <w:r>
        <w:rPr>
          <w:rFonts w:ascii="Times New Roman" w:hAnsi="Times New Roman"/>
          <w:sz w:val="20"/>
        </w:rPr>
        <w:t xml:space="preserve"> and delivered to the Borrower shall be conclusive absent manifest error. The Borrower shall pay such Lender, as the case may be, the amount shown as due on any such certificate within ten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or any Issuing Bank to demand compensation pursuant to the foregoing provisions of this </w:t>
      </w:r>
      <w:r>
        <w:rPr>
          <w:rFonts w:ascii="Times New Roman" w:hAnsi="Times New Roman"/>
          <w:sz w:val="20"/>
          <w:u w:val="single"/>
        </w:rPr>
        <w:t>Section 3.04</w:t>
      </w:r>
      <w:r>
        <w:rPr>
          <w:rFonts w:ascii="Times New Roman" w:hAnsi="Times New Roman"/>
          <w:sz w:val="20"/>
        </w:rPr>
        <w:t xml:space="preserve"> shall not constitute a waiver of such Lender’s or such Issuing Bank’s right to demand such compensation, </w:t>
      </w:r>
      <w:r>
        <w:rPr>
          <w:rFonts w:ascii="Times New Roman" w:hAnsi="Times New Roman"/>
          <w:i/>
          <w:sz w:val="20"/>
        </w:rPr>
        <w:t xml:space="preserve">provided </w:t>
      </w:r>
      <w:r>
        <w:rPr>
          <w:rFonts w:ascii="Times New Roman" w:hAnsi="Times New Roman"/>
          <w:sz w:val="20"/>
        </w:rPr>
        <w:t xml:space="preserve">that the Borrower shall not be required to compensate a Lender or an Issuing Bank pursuant to the foregoing provisions of this </w:t>
      </w:r>
      <w:r>
        <w:rPr>
          <w:rFonts w:ascii="Times New Roman" w:hAnsi="Times New Roman"/>
          <w:sz w:val="20"/>
          <w:u w:val="single"/>
        </w:rPr>
        <w:t>Section 3.04</w:t>
      </w:r>
      <w:r>
        <w:rPr>
          <w:rFonts w:ascii="Times New Roman" w:hAnsi="Times New Roman"/>
          <w:sz w:val="20"/>
        </w:rPr>
        <w:t xml:space="preserve"> for any increased costs incurred or reductions suffered more than one hundred and eighty (180) days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Reserves on SOFR Rate Loans</w:t>
      </w:r>
      <w:r>
        <w:rPr>
          <w:rFonts w:ascii="Times New Roman" w:hAnsi="Times New Roman"/>
          <w:sz w:val="20"/>
        </w:rPr>
        <w:t>. The Borrower shall pay to each Lender, as long as such Lender shall be required to maintain reserves with respect to liabilities or assets consisting of or including eurocurrency funds or deposits (currently known as “</w:t>
      </w:r>
      <w:r>
        <w:rPr>
          <w:rFonts w:ascii="Times New Roman" w:hAnsi="Times New Roman"/>
          <w:b/>
          <w:sz w:val="20"/>
        </w:rPr>
        <w:t>Eurocurrency Liabilities</w:t>
      </w:r>
      <w:r>
        <w:rPr>
          <w:rFonts w:ascii="Times New Roman" w:hAnsi="Times New Roman"/>
          <w:sz w:val="20"/>
        </w:rPr>
        <w:t xml:space="preserve">”), additional interest on the unpaid principal amount of each SOFR Rate Loan equal to the actual costs of such reserves allocated to such Loan by such Lender (as determined by such lender in good faith, which determination shall be conclusive), which shall be due and payable on each date on which interest is payable on such Loan made to the Borrower; </w:t>
      </w:r>
      <w:r>
        <w:rPr>
          <w:rFonts w:ascii="Times New Roman" w:hAnsi="Times New Roman"/>
          <w:i/>
          <w:sz w:val="20"/>
        </w:rPr>
        <w:t xml:space="preserve">provided </w:t>
      </w:r>
      <w:r>
        <w:rPr>
          <w:rFonts w:ascii="Times New Roman" w:hAnsi="Times New Roman"/>
          <w:sz w:val="20"/>
        </w:rPr>
        <w:t xml:space="preserve">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Funding Losses</w:t>
      </w:r>
      <w:r>
        <w:rPr>
          <w:rFonts w:ascii="Times New Roman" w:hAnsi="Times New Roman"/>
          <w:sz w:val="20"/>
        </w:rPr>
        <w:t xml:space="preserve">. Upon written demand of any Lender (with a copy to the Administrative Agent) from time to time, which demand shall set forth in reasonable detail the basis for requesting such amount (provided that such calculation will not in an way require disclosure of confidential or price-sensitive information or any other information the disclosure of which is prohibited by law), the Borrower shall promptly compensate such Lender for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 such Lender harmless from any loss, cost, liability or expense (excluding loss of anticipated profits or margin) actually incurred by it as a result of: </w:t>
      </w:r>
    </w:p>
    <w:p>
      <w:pPr>
        <w:pStyle w:val="TextBody"/>
        <w:bidi w:val="0"/>
        <w:spacing w:before="240" w:after="0"/>
        <w:jc w:val="left"/>
        <w:rPr>
          <w:rFonts w:ascii="Times New Roman" w:hAnsi="Times New Roman"/>
          <w:sz w:val="20"/>
        </w:rPr>
      </w:pPr>
      <w:r>
        <w:rPr>
          <w:rFonts w:ascii="Times New Roman" w:hAnsi="Times New Roman"/>
          <w:sz w:val="20"/>
        </w:rPr>
        <w:t xml:space="preserve">(a) any continuation, conversion, payment or prepayment of any Loan other than a Base Rate Loan on a day prior to the last day of the Interest Period for such Loan (whether voluntary, mandatory, automatic, by reason of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any failure by the Borrower (for a reason other than the failure of such Lender to make a Loan) to prepay, borrow, continue or convert any Loan other than a Base Rate Loan on the date or in the amount notified by the Borrower; or </w:t>
      </w:r>
    </w:p>
    <w:p>
      <w:pPr>
        <w:pStyle w:val="TextBody"/>
        <w:bidi w:val="0"/>
        <w:spacing w:before="240" w:after="0"/>
        <w:jc w:val="left"/>
        <w:rPr>
          <w:rFonts w:ascii="Times New Roman" w:hAnsi="Times New Roman"/>
          <w:sz w:val="20"/>
        </w:rPr>
      </w:pPr>
      <w:r>
        <w:rPr>
          <w:rFonts w:ascii="Times New Roman" w:hAnsi="Times New Roman"/>
          <w:sz w:val="20"/>
        </w:rPr>
        <w:t xml:space="preserve">(c) any assignment of a SOFR Rate Loan on a day prior to the last day of the Interest Period therefor as a result of a request by the Borrower pursuant to </w:t>
      </w:r>
      <w:r>
        <w:rPr>
          <w:rFonts w:ascii="Times New Roman" w:hAnsi="Times New Roman"/>
          <w:sz w:val="20"/>
          <w:u w:val="single"/>
        </w:rPr>
        <w:t>Section 3.07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including any loss or expense (excluding loss of anticipated profits or margin) actually incurred by reason of the liquidation or reemployment of funds obtained by it to maintain such Loan or from fees payable to terminate the deposits from which such funds were obtained.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Matters Applicable to All Requests for 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 of a Different Lending Office</w:t>
      </w:r>
      <w:r>
        <w:rPr>
          <w:rFonts w:ascii="Times New Roman" w:hAnsi="Times New Roman"/>
          <w:sz w:val="20"/>
        </w:rPr>
        <w:t xml:space="preserve">. If any Lender requests compensation under Section 3.04, or the Borrower are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or if any Lender gives a notice pursuant to </w:t>
      </w:r>
      <w:r>
        <w:rPr>
          <w:rFonts w:ascii="Times New Roman" w:hAnsi="Times New Roman"/>
          <w:sz w:val="20"/>
          <w:u w:val="single"/>
        </w:rPr>
        <w:t>Section 3.02</w:t>
      </w:r>
      <w:r>
        <w:rPr>
          <w:rFonts w:ascii="Times New Roman" w:hAnsi="Times New Roman"/>
          <w:sz w:val="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20"/>
          <w:u w:val="single"/>
        </w:rPr>
        <w:t>Section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as the case may be, in the future, or eliminate the need for the notice pursuant to </w:t>
      </w:r>
      <w:r>
        <w:rPr>
          <w:rFonts w:ascii="Times New Roman" w:hAnsi="Times New Roman"/>
          <w:sz w:val="20"/>
          <w:u w:val="single"/>
        </w:rPr>
        <w:t>Section 3.02</w:t>
      </w:r>
      <w:r>
        <w:rPr>
          <w:rFonts w:ascii="Times New Roman" w:hAnsi="Times New Roman"/>
          <w:sz w:val="20"/>
        </w:rPr>
        <w:t xml:space="preserve">, as applicable, and (ii) in each case, would not subject such Lender to any unreimbursed cost or expense and would not otherwise be disadvantageous to such Lender in any material economic, legal or regulatory respect.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Lender Obligations</w:t>
      </w:r>
      <w:r>
        <w:rPr>
          <w:rFonts w:ascii="Times New Roman" w:hAnsi="Times New Roman"/>
          <w:sz w:val="20"/>
        </w:rPr>
        <w:t xml:space="preserve">. If any Lender requests compensation by the Borrower under </w:t>
      </w:r>
      <w:r>
        <w:rPr>
          <w:rFonts w:ascii="Times New Roman" w:hAnsi="Times New Roman"/>
          <w:sz w:val="20"/>
          <w:u w:val="single"/>
        </w:rPr>
        <w:t>Section 3.04</w:t>
      </w:r>
      <w:r>
        <w:rPr>
          <w:rFonts w:ascii="Times New Roman" w:hAnsi="Times New Roman"/>
          <w:sz w:val="20"/>
        </w:rPr>
        <w:t xml:space="preserve">, the Borrower may, by notice to such Lender (with a copy to the Administrative Agent), suspend the obligation of such Lender to make or continue SOFR Rate Loans from one Interest Period to another Interest Period, or to convert Base Rate Loans into SOFR Rate Loans, until the event or condition giving rise to such request ceases to be in effect (in which case the provisions of </w:t>
      </w:r>
      <w:r>
        <w:rPr>
          <w:rFonts w:ascii="Times New Roman" w:hAnsi="Times New Roman"/>
          <w:sz w:val="20"/>
          <w:u w:val="single"/>
        </w:rPr>
        <w:t>Section 3.06(c)</w:t>
      </w:r>
      <w:r>
        <w:rPr>
          <w:rFonts w:ascii="Times New Roman" w:hAnsi="Times New Roman"/>
          <w:sz w:val="20"/>
        </w:rPr>
        <w:t xml:space="preserve"> shall be applicable); </w:t>
      </w:r>
      <w:r>
        <w:rPr>
          <w:rFonts w:ascii="Times New Roman" w:hAnsi="Times New Roman"/>
          <w:i/>
          <w:sz w:val="20"/>
        </w:rPr>
        <w:t xml:space="preserve">provided </w:t>
      </w:r>
      <w:r>
        <w:rPr>
          <w:rFonts w:ascii="Times New Roman" w:hAnsi="Times New Roman"/>
          <w:sz w:val="20"/>
        </w:rPr>
        <w:t xml:space="preserve">that such suspension shall not affect the right of such Lender to receive the compensation so requested.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Conversion of SOFR Rate Loans</w:t>
      </w:r>
      <w:r>
        <w:rPr>
          <w:rFonts w:ascii="Times New Roman" w:hAnsi="Times New Roman"/>
          <w:sz w:val="20"/>
        </w:rPr>
        <w:t xml:space="preserve">. If any Lender gives notice to the Borrower (with a copy to the Administrative Agent) that the circumstances specified in </w:t>
      </w:r>
      <w:r>
        <w:rPr>
          <w:rFonts w:ascii="Times New Roman" w:hAnsi="Times New Roman"/>
          <w:sz w:val="20"/>
          <w:u w:val="single"/>
        </w:rPr>
        <w:t>Section 3.02</w:t>
      </w:r>
      <w:r>
        <w:rPr>
          <w:rFonts w:ascii="Times New Roman" w:hAnsi="Times New Roman"/>
          <w:sz w:val="20"/>
        </w:rPr>
        <w:t xml:space="preserve">, </w:t>
      </w:r>
      <w:r>
        <w:rPr>
          <w:rFonts w:ascii="Times New Roman" w:hAnsi="Times New Roman"/>
          <w:sz w:val="20"/>
          <w:u w:val="single"/>
        </w:rPr>
        <w:t>3.03</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hereof that gave rise to the conversion of such Lender’s SOFR Rate Loans no longer exist (which such Lender agrees to do promptly upon such circumstances ceasing to exist) at a time when SOFR Rate Loans made by other Lenders are outstanding, such Lender’s Base Rate Loans shall be automatically converted, on the first day(s) of the next succeeding Interest Period(s) for such outstanding SOFR Rate Loans, to the extent necessary so that, after giving effect thereto, all Loans of a given Class held by the Lenders of such Class holding SOFR Rate Loans and by such Lender are held pro rata (as to principal amounts, interest rate basis, and Interest Periods) in accordance with their respective Pro Rata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Replacement of Lenders Under Certain Circumstances</w:t>
      </w:r>
      <w:r>
        <w:rPr>
          <w:rFonts w:ascii="Times New Roman" w:hAnsi="Times New Roman"/>
          <w:sz w:val="20"/>
        </w:rPr>
        <w:t xml:space="preserve">. If (i) any Lender requests compensation under Section 3.04 or ceases to make SOFR Rate Loans as a result of any condition described in </w:t>
      </w:r>
      <w:r>
        <w:rPr>
          <w:rFonts w:ascii="Times New Roman" w:hAnsi="Times New Roman"/>
          <w:sz w:val="20"/>
          <w:u w:val="single"/>
        </w:rPr>
        <w:t>Section 3.02</w:t>
      </w:r>
      <w:r>
        <w:rPr>
          <w:rFonts w:ascii="Times New Roman" w:hAnsi="Times New Roman"/>
          <w:sz w:val="20"/>
        </w:rPr>
        <w:t xml:space="preserve"> or </w:t>
      </w:r>
      <w:r>
        <w:rPr>
          <w:rFonts w:ascii="Times New Roman" w:hAnsi="Times New Roman"/>
          <w:sz w:val="20"/>
          <w:u w:val="single"/>
        </w:rPr>
        <w:t>Section 3.04</w:t>
      </w:r>
      <w:r>
        <w:rPr>
          <w:rFonts w:ascii="Times New Roman" w:hAnsi="Times New Roman"/>
          <w:sz w:val="20"/>
        </w:rPr>
        <w:t xml:space="preserve">, (ii) the Borrower is required to pay any Taxes or additional amounts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and such Lender has declined or is unable to designate a different Lending Office in accordance with </w:t>
      </w:r>
      <w:r>
        <w:rPr>
          <w:rFonts w:ascii="Times New Roman" w:hAnsi="Times New Roman"/>
          <w:sz w:val="20"/>
          <w:u w:val="single"/>
        </w:rPr>
        <w:t>Section 3.01(j)</w:t>
      </w:r>
      <w:r>
        <w:rPr>
          <w:rFonts w:ascii="Times New Roman" w:hAnsi="Times New Roman"/>
          <w:sz w:val="20"/>
        </w:rPr>
        <w:t xml:space="preserve">, (iii) any Lender is a Non-Consenting Lender, (iv) any Lender does not accept an Extension Offer or Refinancing Amendment, (v) any Lender does not consent to the incurrence of any Incremental Facility pursuant to Section 2.16 or the incurrence of any Incremental Equivalent Debt, or (vi) (A) any Lender shall become and continue to be a Defaulting Lender and (B) such Defaulting Lender shall fail to cure the default pursuant to </w:t>
      </w:r>
      <w:r>
        <w:rPr>
          <w:rFonts w:ascii="Times New Roman" w:hAnsi="Times New Roman"/>
          <w:sz w:val="20"/>
          <w:u w:val="single"/>
        </w:rPr>
        <w:t>Section 2.20(b)</w:t>
      </w:r>
      <w:r>
        <w:rPr>
          <w:rFonts w:ascii="Times New Roman" w:hAnsi="Times New Roman"/>
          <w:sz w:val="20"/>
        </w:rPr>
        <w:t xml:space="preserve"> within five Business Days after the Borrower’s request that it cure such default, or (vi) any other circumstance exists hereunder that gives the Borrower the right to replace a Lender (other than a Disqualified Lender) as a party hereto, then the Borrower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sz w:val="20"/>
          <w:u w:val="single"/>
        </w:rPr>
        <w:t>Section 11.07</w:t>
      </w:r>
      <w:r>
        <w:rPr>
          <w:rFonts w:ascii="Times New Roman" w:hAnsi="Times New Roman"/>
          <w:sz w:val="20"/>
        </w:rPr>
        <w:t xml:space="preserve">), all of its interests, rights and obligations under this Agreement and the related Loan Documents (other than its existing rights to payments pursuant to </w:t>
      </w:r>
      <w:r>
        <w:rPr>
          <w:rFonts w:ascii="Times New Roman" w:hAnsi="Times New Roman"/>
          <w:sz w:val="20"/>
          <w:u w:val="single"/>
        </w:rPr>
        <w:t>Section 3.01</w:t>
      </w:r>
      <w:r>
        <w:rPr>
          <w:rFonts w:ascii="Times New Roman" w:hAnsi="Times New Roman"/>
          <w:sz w:val="20"/>
        </w:rPr>
        <w:t xml:space="preserve"> or </w:t>
      </w:r>
      <w:r>
        <w:rPr>
          <w:rFonts w:ascii="Times New Roman" w:hAnsi="Times New Roman"/>
          <w:sz w:val="20"/>
          <w:u w:val="single"/>
        </w:rPr>
        <w:t>Section 3.04</w:t>
      </w:r>
      <w:r>
        <w:rPr>
          <w:rFonts w:ascii="Times New Roman" w:hAnsi="Times New Roman"/>
          <w:sz w:val="20"/>
        </w:rPr>
        <w:t xml:space="preserve">) to one or more Eligible Assignees that shall assume such obligations (any of which assignee may be another Lender, if a Lender accepts such assignment),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have paid to the Administrative Agent the assignment fee specified in </w:t>
      </w:r>
      <w:r>
        <w:rPr>
          <w:rFonts w:ascii="Times New Roman" w:hAnsi="Times New Roman"/>
          <w:sz w:val="20"/>
          <w:u w:val="single"/>
        </w:rPr>
        <w:t>Section 11.07(b)(iv)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such Lender shall have received payment of an amount equal to the outstanding principal of its Loans and participations in Letters of Credit, accrued interest thereon, accrued fees and all other amounts payable to it hereunder and under the other Loan Documents (including any amounts payable under </w:t>
      </w:r>
      <w:r>
        <w:rPr>
          <w:rFonts w:ascii="Times New Roman" w:hAnsi="Times New Roman"/>
          <w:sz w:val="20"/>
          <w:u w:val="single"/>
        </w:rPr>
        <w:t>Section 3.05</w:t>
      </w:r>
      <w:r>
        <w:rPr>
          <w:rFonts w:ascii="Times New Roman" w:hAnsi="Times New Roman"/>
          <w:sz w:val="20"/>
        </w:rPr>
        <w:t xml:space="preserve">) from the assignee (to the extent of such outstanding principal and accrued interest and fees) or the Borrower (in the case of all other amounts); </w:t>
      </w:r>
    </w:p>
    <w:p>
      <w:pPr>
        <w:pStyle w:val="TextBody"/>
        <w:bidi w:val="0"/>
        <w:spacing w:before="240" w:after="0"/>
        <w:jc w:val="left"/>
        <w:rPr>
          <w:rFonts w:ascii="Times New Roman" w:hAnsi="Times New Roman"/>
          <w:sz w:val="20"/>
        </w:rPr>
      </w:pPr>
      <w:r>
        <w:rPr>
          <w:rFonts w:ascii="Times New Roman" w:hAnsi="Times New Roman"/>
          <w:sz w:val="20"/>
        </w:rPr>
        <w:t xml:space="preserve">(c) such Lender being replaced pursuant to this </w:t>
      </w:r>
      <w:r>
        <w:rPr>
          <w:rFonts w:ascii="Times New Roman" w:hAnsi="Times New Roman"/>
          <w:sz w:val="20"/>
          <w:u w:val="single"/>
        </w:rPr>
        <w:t>Section 3.07</w:t>
      </w:r>
      <w:r>
        <w:rPr>
          <w:rFonts w:ascii="Times New Roman" w:hAnsi="Times New Roman"/>
          <w:sz w:val="20"/>
        </w:rPr>
        <w:t xml:space="preserve"> shall (i) execute and deliver an Assignment and Assumption with respect to such Lender’s Commitment and outstanding Loans and participations in Letters of Credit, and (ii) deliver any Revolving Loan Notes evidencing such Loans to the Borrower or Administrative Agent (or a lost or destroyed note indemnity in lieu thereof); </w:t>
      </w:r>
      <w:r>
        <w:rPr>
          <w:rFonts w:ascii="Times New Roman" w:hAnsi="Times New Roman"/>
          <w:i/>
          <w:sz w:val="20"/>
        </w:rPr>
        <w:t xml:space="preserve">provided </w:t>
      </w:r>
      <w:r>
        <w:rPr>
          <w:rFonts w:ascii="Times New Roman" w:hAnsi="Times New Roman"/>
          <w:sz w:val="20"/>
        </w:rPr>
        <w:t xml:space="preserve">that the failure of any such Lender to execute an Assignment and Assumption or deliver such Revolving Loan Notes evidencing such Loans shall not render such sale and purchase (and the corresponding assignment) invalid and such assignment shall be recorded in the Register and the Revolving Loan Notes evidencing such Loans shall be deemed to be canceled upon such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w:t>
      </w:r>
    </w:p>
    <w:p>
      <w:pPr>
        <w:pStyle w:val="TextBody"/>
        <w:bidi w:val="0"/>
        <w:spacing w:before="240" w:after="0"/>
        <w:jc w:val="left"/>
        <w:rPr>
          <w:rFonts w:ascii="Times New Roman" w:hAnsi="Times New Roman"/>
          <w:sz w:val="20"/>
        </w:rPr>
      </w:pPr>
      <w:r>
        <w:rPr>
          <w:rFonts w:ascii="Times New Roman" w:hAnsi="Times New Roman"/>
          <w:sz w:val="20"/>
        </w:rPr>
        <w:t xml:space="preserve">(e) in the case of any such assignment resulting from a claim for compensation under Section 3.04 or payments required to be made pursuant to </w:t>
      </w:r>
      <w:r>
        <w:rPr>
          <w:rFonts w:ascii="Times New Roman" w:hAnsi="Times New Roman"/>
          <w:sz w:val="20"/>
          <w:u w:val="single"/>
        </w:rPr>
        <w:t>Section 3.01</w:t>
      </w:r>
      <w:r>
        <w:rPr>
          <w:rFonts w:ascii="Times New Roman" w:hAnsi="Times New Roman"/>
          <w:sz w:val="20"/>
        </w:rPr>
        <w:t xml:space="preserve">, such assignment will result in a reduction in such compensation or payments thereafter; </w:t>
      </w:r>
    </w:p>
    <w:p>
      <w:pPr>
        <w:pStyle w:val="TextBody"/>
        <w:bidi w:val="0"/>
        <w:spacing w:before="240" w:after="0"/>
        <w:jc w:val="left"/>
        <w:rPr>
          <w:rFonts w:ascii="Times New Roman" w:hAnsi="Times New Roman"/>
          <w:sz w:val="20"/>
        </w:rPr>
      </w:pPr>
      <w:r>
        <w:rPr>
          <w:rFonts w:ascii="Times New Roman" w:hAnsi="Times New Roman"/>
          <w:sz w:val="20"/>
        </w:rPr>
        <w:t xml:space="preserve">(f) in the case of any such assignment resulting from a Lender being a Non-Consenting Lender, the Eligible Assignee shall consent, at the time of such assignment, to each matter in respect of which such Lender being replaced was a Non-Consenting Lender; and </w:t>
      </w:r>
    </w:p>
    <w:p>
      <w:pPr>
        <w:pStyle w:val="TextBody"/>
        <w:bidi w:val="0"/>
        <w:spacing w:before="240" w:after="0"/>
        <w:jc w:val="left"/>
        <w:rPr>
          <w:rFonts w:ascii="Times New Roman" w:hAnsi="Times New Roman"/>
          <w:sz w:val="20"/>
        </w:rPr>
      </w:pPr>
      <w:r>
        <w:rPr>
          <w:rFonts w:ascii="Times New Roman" w:hAnsi="Times New Roman"/>
          <w:sz w:val="20"/>
        </w:rPr>
        <w:t xml:space="preserve">(g) such assignment does not conflict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above, any Lender that acts as an Issuing Bank may not be replaced hereunder at any time that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(i) the Borrower or the Administrative Agent has requested that the Lenders consent to a departure or waiver of any provisions of the Loan Documents or agree to any amendment thereto (including, without limitation, the incurrence of any Incremental Facility or any Incremental Equivalent Debt), (ii) the consent, waiver or amendment in question requires the agreement of each Lender, all affected Lenders or all the Lenders or all affected Lenders with respect to a certain Class or Classes of the Loans and (iii) the Required Lenders have agreed to such consent, waiver or amendment, then any Lender who does not agree to such consent, waiver or amendment shall be deemed a “Non-Consenting </w:t>
      </w:r>
      <w:r>
        <w:rPr>
          <w:rFonts w:ascii="Times New Roman" w:hAnsi="Times New Roman"/>
          <w:b/>
          <w:sz w:val="20"/>
        </w:rPr>
        <w:t>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Lender shall not be required to make any such assignment or delegation if, prior thereto, as a result of a waiver by such Lender or otherwise, the circumstances entitling the Borrower to require such assignment and delegation cease to apply.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Survival</w:t>
      </w:r>
      <w:r>
        <w:rPr>
          <w:rFonts w:ascii="Times New Roman" w:hAnsi="Times New Roman"/>
          <w:sz w:val="20"/>
        </w:rPr>
        <w:t xml:space="preserve">. All of the Borrower’s obligations under this Article III shall survive termination of the Aggregate Commitments, repayment of all other Obligations hereunder and resignation of the Administrative Agent or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Successor Benchmark Rates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w:t>
      </w:r>
      <w:r>
        <w:rPr>
          <w:rFonts w:ascii="Times New Roman" w:hAnsi="Times New Roman"/>
          <w:sz w:val="20"/>
        </w:rPr>
        <w:t xml:space="preserve">.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hAnsi="Times New Roman"/>
          <w:sz w:val="20"/>
          <w:u w:val="single"/>
        </w:rPr>
        <w:t>clause (3)</w:t>
      </w:r>
      <w:r>
        <w:rPr>
          <w:rFonts w:ascii="Times New Roman" w:hAnsi="Times New Roman"/>
          <w:sz w:val="20"/>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 affected thereby. 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hAnsi="Times New Roman"/>
          <w:i/>
          <w:sz w:val="20"/>
        </w:rPr>
        <w:t xml:space="preserve">provided </w:t>
      </w:r>
      <w:r>
        <w:rPr>
          <w:rFonts w:ascii="Times New Roman" w:hAnsi="Times New Roman"/>
          <w:sz w:val="20"/>
        </w:rPr>
        <w:t xml:space="preserve">that, this sentence 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Benchmark Replacement Conforming Changes</w:t>
      </w:r>
      <w:r>
        <w:rPr>
          <w:rFonts w:ascii="Times New Roman" w:hAnsi="Times New Roman"/>
          <w:sz w:val="20"/>
        </w:rPr>
        <w:t xml:space="preserve">. In connection with the implementation of a Benchmark Replacement,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Notwithstanding anything to the contrary in this </w:t>
      </w:r>
      <w:r>
        <w:rPr>
          <w:rFonts w:ascii="Times New Roman" w:hAnsi="Times New Roman"/>
          <w:sz w:val="20"/>
          <w:u w:val="single"/>
        </w:rPr>
        <w:t>Section 3.09</w:t>
      </w:r>
      <w:r>
        <w:rPr>
          <w:rFonts w:ascii="Times New Roman" w:hAnsi="Times New Roman"/>
          <w:sz w:val="20"/>
        </w:rPr>
        <w:t xml:space="preserve">, the Administrative Agent and the Lenders shall use commercially reasonable efforts to satisfy Section 1.1001-6 of the United States Treasury Regulations and/or any similar or related IRS guidance to the effect that the implementation of any Benchmark Replacement (together with any Benchmark Replacement Conforming Changes) will not result in a “significant modification” for purposes of Section 1.1001-3 of the United States Treasury Regulations of any obligation of any party under any debt instrument.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 Standards for Decisions and Determinations</w:t>
      </w:r>
      <w:r>
        <w:rPr>
          <w:rFonts w:ascii="Times New Roman" w:hAnsi="Times New Roman"/>
          <w:sz w:val="20"/>
        </w:rPr>
        <w:t>. The Administrative Agent will promptly notify the Borrower and the Lenders of (i) any occurrence of a Benchmark Transition Event, a Term SOFR Transition Event and its related Benchmark Replacement Date, (ii) the implementation of any Benchmark Replacement, (iii) the effectiveness of any Benchmark Replacement Conforming Changes, (iv) the removal or reinstatement of any tenor of a Benchmark pursuant to</w:t>
      </w:r>
      <w:r>
        <w:rPr>
          <w:rFonts w:ascii="Times New Roman" w:hAnsi="Times New Roman"/>
          <w:sz w:val="20"/>
          <w:u w:val="single"/>
        </w:rPr>
        <w:t xml:space="preserve"> clause (e)</w:t>
      </w:r>
      <w:r>
        <w:rPr>
          <w:rFonts w:ascii="Times New Roman" w:hAnsi="Times New Roman"/>
          <w:sz w:val="20"/>
        </w:rPr>
        <w:t xml:space="preserve"> below and (v) the commencement or conclusion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Benchmark Unavailability Period. Any determination, decision or election that may be made by the Administrative Agent or, if applicable, any Lender (or group of Lenders) pursuant to this </w:t>
      </w:r>
      <w:r>
        <w:rPr>
          <w:rFonts w:ascii="Times New Roman" w:hAnsi="Times New Roman"/>
          <w:sz w:val="20"/>
          <w:u w:val="single"/>
        </w:rPr>
        <w:t>Section 3.09</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sz w:val="20"/>
          <w:u w:val="single"/>
        </w:rPr>
        <w:t>Section 3.09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Tenor</w:t>
      </w:r>
      <w:r>
        <w:rPr>
          <w:rFonts w:ascii="Times New Roman" w:hAnsi="Times New Roman"/>
          <w:sz w:val="20"/>
        </w:rPr>
        <w:t xml:space="preserve">. Notwithstanding anything to the contrary herein or in any other Loan Document, at any time (including in connection with the implementation of a Benchmark Replacement), (i) if the then-current Benchmark is a term rate (including Adjusted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hAnsi="Times New Roman"/>
          <w:sz w:val="20"/>
          <w:u w:val="single"/>
        </w:rPr>
        <w:t>clause (i)</w:t>
      </w:r>
      <w:r>
        <w:rPr>
          <w:rFonts w:ascii="Times New Roman" w:hAnsi="Times New Roman"/>
          <w:sz w:val="20"/>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the Borrower may revoke any request for a Borrowing of, conversion to or continuation of SOFR Rate Loans to be made, converted or continued during any Benchmark Unavailability Period and, failing that the Borrower will be deemed to have converted any request for a Borrowing of SOFR Rate Loans into a request for a Borrowing of or conversion to Base Rate Loans. During any Benchmark Unavailability Period or at any time that a tenor for the then-current Benchmark is not an Available Tenor, </w:t>
      </w:r>
      <w:r>
        <w:rPr>
          <w:rFonts w:ascii="Times New Roman" w:hAnsi="Times New Roman"/>
          <w:sz w:val="20"/>
          <w:u w:val="single"/>
        </w:rPr>
        <w:t>clause (c)</w:t>
      </w:r>
      <w:r>
        <w:rPr>
          <w:rFonts w:ascii="Times New Roman" w:hAnsi="Times New Roman"/>
          <w:sz w:val="20"/>
        </w:rPr>
        <w:t xml:space="preserve"> of the definition of “Base Rate” based upon SOFR (i.e., the then-current Benchmark or such tenor for such Benchmark, as applicable) will not be used in any determination of Base Rate. Furthermore, if any SOFR Rate Loan is outstanding on the date of the Borrower’s receipt of notice of the commencement of a Benchmark Unavailability Period with respect to the SOFR applicable to such SOFR Rate Loan, then on the last day of the Interest Period applicable to such Loan (or the next succeeding Business Day, if such day is not a Business Day), such Loan shall be converted by the Administrative Agent to, and shall constitute, a Base Rate Loan on such day.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Amendmen</w:t>
      </w:r>
      <w:r>
        <w:rPr>
          <w:rFonts w:ascii="Times New Roman" w:hAnsi="Times New Roman"/>
          <w:sz w:val="20"/>
        </w:rPr>
        <w:t xml:space="preserve">t. The provisions of this </w:t>
      </w:r>
      <w:r>
        <w:rPr>
          <w:rFonts w:ascii="Times New Roman" w:hAnsi="Times New Roman"/>
          <w:sz w:val="20"/>
          <w:u w:val="single"/>
        </w:rPr>
        <w:t>Section 3.09</w:t>
      </w:r>
      <w:r>
        <w:rPr>
          <w:rFonts w:ascii="Times New Roman" w:hAnsi="Times New Roman"/>
          <w:sz w:val="20"/>
        </w:rPr>
        <w:t xml:space="preserve"> shall, solely with respect to implementation of a Benchmark Replacement and Benchmark Replacement Conforming Changes as expressly set forth herein, supersede any contrary provision of </w:t>
      </w:r>
      <w:r>
        <w:rPr>
          <w:rFonts w:ascii="Times New Roman" w:hAnsi="Times New Roman"/>
          <w:sz w:val="20"/>
          <w:u w:val="single"/>
        </w:rPr>
        <w:t>Section 11.01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Conditions Precedent to the Closing Date, Borrowings and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Conditions to the Closing Date</w:t>
      </w:r>
      <w:r>
        <w:rPr>
          <w:rFonts w:ascii="Times New Roman" w:hAnsi="Times New Roman"/>
          <w:sz w:val="20"/>
        </w:rPr>
        <w:t xml:space="preserve">. This Agreement shall become effective on the date on which each of the following conditions is satisfied or waived in accordance with Section 11.01: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receipt of the following, each of which shall be originals or copies in .pdf format, unless otherwise specified: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duly executed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(iii) the Collateral Agreement (pursuant to which the Administrative Agent is authorized to file customary “all asset” UCC-1 financing statements) duly executed by the Borrower and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(A) certificates of good standing from the secretary of state or other applicable office of the state of organization or formation or provincial or territorial corporate registry of the Borrower and each other Loan Party, (B) organizational documents of each Loan Party, certified by the secretary (or equivalent officer) of such Loan Party, (C) resolutions or other applicable action of each Loan Party, as certified by the secretary (or equivalent officer) of such Loan Party, (D) an incumbency certificate and/or other certificate of Responsible Officers of each Loan Party, in each case evidencing the identity, authority and capacity of each Responsible Officer thereof authorized to act as a Responsible Officer in connection with this Agreement and the other Loan Documents to which it is a party or is to be a party on the Closing Date, and (E) a certificate of a Responsible Officer of the Borrower that the conditions specified in </w:t>
      </w:r>
      <w:r>
        <w:rPr>
          <w:rFonts w:ascii="Times New Roman" w:hAnsi="Times New Roman"/>
          <w:sz w:val="20"/>
          <w:u w:val="single"/>
        </w:rPr>
        <w:t>clause (c)</w:t>
      </w:r>
      <w:r>
        <w:rPr>
          <w:rFonts w:ascii="Times New Roman" w:hAnsi="Times New Roman"/>
          <w:sz w:val="20"/>
        </w:rPr>
        <w:t xml:space="preserve">, below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(vi) an opinion from Kirkland &amp; Ellis LLP, counsel to the Loan Parties, with respect to matters of New York law and certain aspects of Delaware law; and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from the chief financial officer or other officer with equivalent duties of the Borrower as to the Solvency (after giving effect to the Transactions on the Closing Date) of the Borrower and their Subsidiaries substantially in the form attached hereto as </w:t>
      </w:r>
      <w:r>
        <w:rPr>
          <w:rFonts w:ascii="Times New Roman" w:hAnsi="Times New Roman"/>
          <w:sz w:val="20"/>
          <w:u w:val="single"/>
        </w:rPr>
        <w:t>Exhibit I</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the following Loan Documents required to be entered into pursuant to the terms of this Agreement: (A) a joinder to the Existing Junior Lien Intercreditor Agreement by and among the Administrative Agent, the Collateral Agent, (B) the Revolving Loan Notes, if any, (C) the Agency Fee Letter, (D) the Collateral Agency Fee Letter and (F) the Fee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Agent’s receipt of certificates or abstracts of title, as applicable, in .pdf format, issued by the relevant Approved Flag Jurisdiction demonstrating that Vessel Collateral is registered in the name of the relevant Loan Party under the relevant Approved Flag Jurisdiction, free of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(e) The Lenders shall have received at least three Business Days prior to the Closing Date (i) all documentation and other information about the Loan Parties in order to comply with applicable “know your customer” and anti-money laundering rules and regulations, including the USA PATRIOT Act, and (ii) to the extent the Borrower qualifies as a “legal entity customer” a customary FinCEN beneficial ownership certificate, that in each case has been requested in writing at least ten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The Administrative Agent shall have received appraisals evidencing the Vessel Collateral Value Amount, as determined by VesselsValueTM, such valuations to be dated within thirty (30) days of the Closing Date, which evidence demonstrates that on a pro forma basis that upon the Closing Date (giving effect to the loans under the Second Lien Credit Agreement and any Loans under this Agreement requested on the Closing Date), the Collateral Coverage Ratio shall not be less than 1.50:1.00. </w:t>
      </w:r>
    </w:p>
    <w:p>
      <w:pPr>
        <w:pStyle w:val="TextBody"/>
        <w:bidi w:val="0"/>
        <w:spacing w:before="240" w:after="0"/>
        <w:jc w:val="left"/>
        <w:rPr>
          <w:rFonts w:ascii="Times New Roman" w:hAnsi="Times New Roman"/>
          <w:sz w:val="20"/>
        </w:rPr>
      </w:pPr>
      <w:r>
        <w:rPr>
          <w:rFonts w:ascii="Times New Roman" w:hAnsi="Times New Roman"/>
          <w:sz w:val="20"/>
        </w:rPr>
        <w:t xml:space="preserve">(g) The Administrative Agent shall have received financing statement searches under the Uniform Commercial Code in such jurisdictions as it may reasonably require relating to the Borrower and the Restricted Subsidiaries, demonstrating that the Collateral is (or will be on the Closing Date) free of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(h) The Administrative Agent and the Lenders shall have received (i) an audited balance sheet and related statements of income (or operations) and cash flows of the Borrower and its Subsidiaries as of and for the year ended December 31, 2023, (ii) consolidated budget of the Borrower and its Subsidiaries for the fiscal year ending December 31, 2024 in form and substance consistent with the budget customarily prepared by management for internal use, (iii) the unaudited financial statements of the Borrower and its Subsidiaries for the fiscal quarter ended March 31, 2024 and (iv) a duly completed compliance certificate in form and substance satisfactory to the Administrative Agent and the Lenders demonstrating compliance with the Financial Covenants on a proforma basis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The Lenders shall have received at least three Business Days prior to the Closing Date (i) all documentation and other information about the Loan Parties in order to comply with applicable “know your customer” and anti-money laundering rules and regulations, including the USA PATRIOT Act, and (ii) to the extent the Borrower qualifies as a “legal entity customer” a customary FinCEN beneficial ownership certificate, that in each case has been requested in writing at least ten Business Days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limiting the generality of the provisions of the last paragraph of </w:t>
      </w:r>
      <w:r>
        <w:rPr>
          <w:rFonts w:ascii="Times New Roman" w:hAnsi="Times New Roman"/>
          <w:sz w:val="20"/>
          <w:u w:val="single"/>
        </w:rPr>
        <w:t>Section 11.01</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4.01</w:t>
      </w:r>
      <w:r>
        <w:rPr>
          <w:rFonts w:ascii="Times New Roman" w:hAnsi="Times New Roman"/>
          <w:sz w:val="20"/>
        </w:rPr>
        <w:t xml:space="preserve">, each Lender that has signed this Agreement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Closing Date specifying its objection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Conditions to the Initial Funding Date</w:t>
      </w:r>
      <w:r>
        <w:rPr>
          <w:rFonts w:ascii="Times New Roman" w:hAnsi="Times New Roman"/>
          <w:sz w:val="20"/>
        </w:rPr>
        <w:t xml:space="preserve">. The obligation of each Lender to extend the Initial Revolving Loans to the Borrower and of each Issuing Bank to issue Letters of Credit hereunder is subject to the satisfaction, or waiver in accordance with Section </w:t>
      </w:r>
      <w:r>
        <w:rPr>
          <w:rFonts w:ascii="Times New Roman" w:hAnsi="Times New Roman"/>
          <w:sz w:val="20"/>
          <w:u w:val="single"/>
        </w:rPr>
        <w:t>11.01</w:t>
      </w:r>
      <w:r>
        <w:rPr>
          <w:rFonts w:ascii="Times New Roman" w:hAnsi="Times New Roman"/>
          <w:sz w:val="20"/>
        </w:rPr>
        <w:t xml:space="preserve">, of each of the following conditions precedent, except as otherwise agreed between the Borrower and the Required Lenders or as set forth herein (such date, the “Initial Funding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Administrative Agent’s receipt of the following, each of which shall be originals or copies in .pdf format, unless otherwise specified: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a Committed Loan Notice duly executed by the Borrower, in accordance with the requirements hereof; </w:t>
      </w:r>
    </w:p>
    <w:p>
      <w:pPr>
        <w:pStyle w:val="TextBody"/>
        <w:bidi w:val="0"/>
        <w:spacing w:before="120" w:after="0"/>
        <w:jc w:val="left"/>
        <w:rPr>
          <w:rFonts w:ascii="Times New Roman" w:hAnsi="Times New Roman"/>
          <w:sz w:val="20"/>
        </w:rPr>
      </w:pPr>
      <w:r>
        <w:rPr>
          <w:rFonts w:ascii="Times New Roman" w:hAnsi="Times New Roman"/>
          <w:sz w:val="20"/>
        </w:rPr>
        <w:t xml:space="preserve">(ii) other than with respect to Excluded Accounts, Control Agreements covering any Deposit Accounts or Securities Accounts of any Loan Party existing as of the Initial Funding Date (or such longer period (including after the Initial Funding Date) as the Administrative Agent may consent to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(iii) each Vessel Mortgage in recordable form, together with documentary evidence that each Vessel Mortgage has been duly filed for recordation as a valid first preferred or priority ship mortgage (subject to Permitted Liens) with respect to each Vessel constituting Vessel Collateral as of the Initial Funding Date, in accordance with the laws of the Approved Flag Jurisdiction on which the Vessel Collateral is registered; </w:t>
      </w:r>
    </w:p>
    <w:p>
      <w:pPr>
        <w:pStyle w:val="TextBody"/>
        <w:bidi w:val="0"/>
        <w:spacing w:before="120" w:after="0"/>
        <w:jc w:val="left"/>
        <w:rPr>
          <w:rFonts w:ascii="Times New Roman" w:hAnsi="Times New Roman"/>
          <w:sz w:val="20"/>
        </w:rPr>
      </w:pPr>
      <w:r>
        <w:rPr>
          <w:rFonts w:ascii="Times New Roman" w:hAnsi="Times New Roman"/>
          <w:sz w:val="20"/>
        </w:rPr>
        <w:t xml:space="preserve">(iv) a certificate from the chief financial officer or other officer with equivalent duties of the Borrower as to the Solvency (after giving effect to the Transactions on the Closing Date) of the Borrower and its Subsidiaries substantially in the form attached hereto as Exhibit I; </w:t>
      </w:r>
    </w:p>
    <w:p>
      <w:pPr>
        <w:pStyle w:val="TextBody"/>
        <w:bidi w:val="0"/>
        <w:spacing w:before="120" w:after="0"/>
        <w:jc w:val="left"/>
        <w:rPr>
          <w:rFonts w:ascii="Times New Roman" w:hAnsi="Times New Roman"/>
          <w:sz w:val="20"/>
        </w:rPr>
      </w:pPr>
      <w:r>
        <w:rPr>
          <w:rFonts w:ascii="Times New Roman" w:hAnsi="Times New Roman"/>
          <w:sz w:val="20"/>
        </w:rPr>
        <w:t xml:space="preserve">(v) certification from a Responsible Officer of the Borrower that each Vessel constituting Vessel Collateral (other than any Stacked Vessels) is insured in accordance with the requirements of Section 6.19(k) and the other Loan Documents, with the relevant loss payee endorsements required under the Collateral Agreement; </w:t>
      </w:r>
    </w:p>
    <w:p>
      <w:pPr>
        <w:pStyle w:val="TextBody"/>
        <w:bidi w:val="0"/>
        <w:spacing w:before="120" w:after="0"/>
        <w:jc w:val="left"/>
        <w:rPr>
          <w:rFonts w:ascii="Times New Roman" w:hAnsi="Times New Roman"/>
          <w:sz w:val="20"/>
        </w:rPr>
      </w:pPr>
      <w:r>
        <w:rPr>
          <w:rFonts w:ascii="Times New Roman" w:hAnsi="Times New Roman"/>
          <w:sz w:val="20"/>
        </w:rPr>
        <w:t xml:space="preserve">(vi) evidence that each Vessel constituting Vessel Collateral (excluding any Stacked Vessels) maintains the highest class for a vessel of its type with its classification society, free of any overdue recommendations or conditions affecting class, which status shall be established by a confirmation of class certificate or functional equivalent printout issued by the classification society and dated a date no earlier than thirty (30) days prior to the Initial Funding Date (or such longer period as the Administrative Agent may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 report from a firm of independent marine insurance consultant in respect of the insurances on the Vessel Collateral, in form and substance reasonably satisfactory to the Administrative Agent, with the cost of such report to be reimbursed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(viii) Certificates of insurance coverage of the Loan Parties evidencing that the Loan Parties are carrying insurance in accordance with </w:t>
      </w:r>
      <w:r>
        <w:rPr>
          <w:rFonts w:ascii="Times New Roman" w:hAnsi="Times New Roman"/>
          <w:sz w:val="20"/>
          <w:u w:val="single"/>
        </w:rPr>
        <w:t>Section 6.07(b)</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(ix) to the extent constituting Collateral, certificates, if any, representing the Pledged Equity of the Borrower and the Subsidiaries of the Borrower, in each case, accompanied by undated stock powers executed in blank.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any specific time periods described in this clause (a) may be modified as consented to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All fees and expenses required to be paid hereunder on the Initial Funding Date (and all fees and expenses required to be paid under the Fee Letter on the Closing Date) and, with respect to expenses and legal fees, to the extent invoiced in reasonable detail at least two Business Days before the Initial Funding Date (except as otherwise reasonably agreed to by the Borrower) shall have been paid in full in cash (or, with respect to amounts due on the Initial Funding Date, will have been paid on the Initial Funding Date from the proceeds of the Revolving Loans).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provisions of the last paragraph of </w:t>
      </w:r>
      <w:r>
        <w:rPr>
          <w:rFonts w:ascii="Times New Roman" w:hAnsi="Times New Roman"/>
          <w:sz w:val="20"/>
          <w:u w:val="single"/>
        </w:rPr>
        <w:t>Section 11.01</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4.02</w:t>
      </w:r>
      <w:r>
        <w:rPr>
          <w:rFonts w:ascii="Times New Roman" w:hAnsi="Times New Roman"/>
          <w:sz w:val="20"/>
        </w:rPr>
        <w:t xml:space="preserve">, each Lender that has funded Loans hereunder on the Initial Funding Date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Initial Funding Date specifying its objection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Conditions to All Borrowings After the Closing Date</w:t>
      </w:r>
      <w:r>
        <w:rPr>
          <w:rFonts w:ascii="Times New Roman" w:hAnsi="Times New Roman"/>
          <w:sz w:val="20"/>
        </w:rPr>
        <w:t xml:space="preserve">. Except as set forth herein with respect to Incremental Loans (other than any revolving Incremental Loans borrowed after the establishment of the relevant commitments), the obligation of each Lender to honor a Committed Loan Notice and of each Issuing Bank to issue, amend, renew or extend any Letter of Credit, is subject to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of the Borrower and each other Loan Party contained in </w:t>
      </w:r>
      <w:r>
        <w:rPr>
          <w:rFonts w:ascii="Times New Roman" w:hAnsi="Times New Roman"/>
          <w:sz w:val="20"/>
          <w:u w:val="single"/>
        </w:rPr>
        <w:t>Article V</w:t>
      </w:r>
      <w:r>
        <w:rPr>
          <w:rFonts w:ascii="Times New Roman" w:hAnsi="Times New Roman"/>
          <w:sz w:val="20"/>
        </w:rPr>
        <w:t xml:space="preserve"> or any other Loan Document shall be true and correct in all material respects on and as of the date of such Borrowing or issuance, amendment, renewal or extension of any Letter of Credit; </w:t>
      </w:r>
      <w:r>
        <w:rPr>
          <w:rFonts w:ascii="Times New Roman" w:hAnsi="Times New Roman"/>
          <w:i/>
          <w:sz w:val="20"/>
        </w:rPr>
        <w:t xml:space="preserve">provided </w:t>
      </w:r>
      <w:r>
        <w:rPr>
          <w:rFonts w:ascii="Times New Roman" w:hAnsi="Times New Roman"/>
          <w:sz w:val="20"/>
        </w:rPr>
        <w:t xml:space="preserve">that, to the extent that such representations and warranties specifically refer to an earlier date, they shall be true and correct in all material respects as of such earlier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on such respective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of the date of such Borrowing or the date of any issuance, amendment, renewal or extension of any Letter of Credit, no Default or Event of Default shall have occurred and be continuing on such date (immediately prior to giving effect to the extensions of credit requested to be made) or would result after giving effect to the extensions of credit requested to be made on such date.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have received a Committed Loan Notice in accordance with the requirements hereof and, if applicable, the applicable Issuing Bank shall have received an Issuance Notice in accordance with the requirements hereof, which Committed Loan Notice or Issuance Notice, as applicable, shall include a representation from the Borrower that immediately prior to, and after giving effect to the extensions of credit requested to be made on such date, on a Pro Forma Basis, the Borrower will be in compliance with the Financial Covenants (based on the last delivered appraisals in the case of the Collateral Coverage Ratio and the RCF Collateral Coverage Ratio, and based on the financial statements in the most recently delivered Compliance Certificate, in the case of the Revolving Credit Facility Net Leverage Ratio); </w:t>
      </w:r>
      <w:r>
        <w:rPr>
          <w:rFonts w:ascii="Times New Roman" w:hAnsi="Times New Roman"/>
          <w:i/>
          <w:sz w:val="20"/>
        </w:rPr>
        <w:t>provided however</w:t>
      </w:r>
      <w:r>
        <w:rPr>
          <w:rFonts w:ascii="Times New Roman" w:hAnsi="Times New Roman"/>
          <w:sz w:val="20"/>
        </w:rPr>
        <w:t xml:space="preserve"> if a Financial Covenant Blocking Event has occurred prior to such Borrowing without the Borrower subsequently delivering a Compliance Certificate evidencing compliance with the Financial Covenants, the Borrower shall provide calculations reasonably satisfactory to the Administrative Agent evidencing such compliance with the Financial Covenants on a Pro Forma Basis.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such Borrowing or the date of any issuance, amendment, renewal or extension of any Letter of Credit, the audited financial statements most recently delivered pursuant to </w:t>
      </w:r>
      <w:r>
        <w:rPr>
          <w:rFonts w:ascii="Times New Roman" w:hAnsi="Times New Roman"/>
          <w:sz w:val="20"/>
          <w:u w:val="single"/>
        </w:rPr>
        <w:t>Section 6.01(a)</w:t>
      </w:r>
      <w:r>
        <w:rPr>
          <w:rFonts w:ascii="Times New Roman" w:hAnsi="Times New Roman"/>
          <w:sz w:val="20"/>
        </w:rPr>
        <w:t xml:space="preserve"> shall not have been subject to any “going concern” qualification (excluding any “emphasis of matter” paragraph or any explanatory statement), other than any such statement, qualification or exception resulting from or relating to (i) an anticipated breach of a Financial Covenant (provided that if such statement is included, the Borrower shall demonstrate in detail reasonably satisfactory to the Administrative Agent its compliance with the Financial Covenants as represented by the Borrower under paragraph (c) above), (ii) an upcoming maturity date or (iii) activities, operations, financial results or liabilities of any Person other than the Loan Parties and the Restricted Subsidiaries (unless waived by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such Borrowing or the date of any issuance, amendment, renewal or extension of any Letter of Credit, no Blocking Event shall have occurred and be continuing on such date (immediately prior to giving effect to the extensions of credit requested to be made) or would result after giving effect to the extensions of credit requested to be made on such date.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1.08(g)</w:t>
      </w:r>
      <w:r>
        <w:rPr>
          <w:rFonts w:ascii="Times New Roman" w:hAnsi="Times New Roman"/>
          <w:sz w:val="20"/>
        </w:rPr>
        <w:t xml:space="preserve">, each Committed Loan Notice (other than a Committed Loan Notice requesting only a conversion of Loans to another Type or a continuation of SOFR Rate Loans) and each Issuance Notice submitted by the Borrower shall be deemed to be a representation and warranty that the condition specified in Sections 4.03(a) and (b) has been satisfied on and as of the date of the applicable Borrowing or issuance, amendment, renewal or extension of a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Borrower represents and warrants with respect to each of the following to the Lenders, the Issuing Banks, the Administrative Agent and the Collateral Agent, in each case, to the extent and, unless otherwise specifically agreed by the Borrower, only on the dates required by </w:t>
      </w:r>
      <w:r>
        <w:rPr>
          <w:rFonts w:ascii="Times New Roman" w:hAnsi="Times New Roman"/>
          <w:sz w:val="20"/>
          <w:u w:val="single"/>
        </w:rPr>
        <w:t>Section 2.16</w:t>
      </w:r>
      <w:r>
        <w:rPr>
          <w:rFonts w:ascii="Times New Roman" w:hAnsi="Times New Roman"/>
          <w:sz w:val="20"/>
        </w:rPr>
        <w:t xml:space="preserve">, </w:t>
      </w:r>
      <w:r>
        <w:rPr>
          <w:rFonts w:ascii="Times New Roman" w:hAnsi="Times New Roman"/>
          <w:sz w:val="20"/>
          <w:u w:val="single"/>
        </w:rPr>
        <w:t>4.01</w:t>
      </w:r>
      <w:r>
        <w:rPr>
          <w:rFonts w:ascii="Times New Roman" w:hAnsi="Times New Roman"/>
          <w:sz w:val="20"/>
        </w:rPr>
        <w:t xml:space="preserve">, </w:t>
      </w:r>
      <w:r>
        <w:rPr>
          <w:rFonts w:ascii="Times New Roman" w:hAnsi="Times New Roman"/>
          <w:sz w:val="20"/>
          <w:u w:val="single"/>
        </w:rPr>
        <w:t>4.02</w:t>
      </w:r>
      <w:r>
        <w:rPr>
          <w:rFonts w:ascii="Times New Roman" w:hAnsi="Times New Roman"/>
          <w:sz w:val="20"/>
        </w:rPr>
        <w:t xml:space="preserve"> or </w:t>
      </w:r>
      <w:r>
        <w:rPr>
          <w:rFonts w:ascii="Times New Roman" w:hAnsi="Times New Roman"/>
          <w:sz w:val="20"/>
          <w:u w:val="single"/>
        </w:rPr>
        <w:t>4.03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Existence, Qualification and Power; Compliance with Laws</w:t>
      </w:r>
      <w:r>
        <w:rPr>
          <w:rFonts w:ascii="Times New Roman" w:hAnsi="Times New Roman"/>
          <w:sz w:val="20"/>
        </w:rPr>
        <w:t xml:space="preserve">. Each Loan Party and each Restricted Subsidiary that is not an Immaterial Subsidiary, </w:t>
      </w:r>
    </w:p>
    <w:p>
      <w:pPr>
        <w:pStyle w:val="TextBody"/>
        <w:bidi w:val="0"/>
        <w:spacing w:before="240" w:after="0"/>
        <w:jc w:val="left"/>
        <w:rPr>
          <w:rFonts w:ascii="Times New Roman" w:hAnsi="Times New Roman"/>
          <w:sz w:val="20"/>
        </w:rPr>
      </w:pPr>
      <w:r>
        <w:rPr>
          <w:rFonts w:ascii="Times New Roman" w:hAnsi="Times New Roman"/>
          <w:sz w:val="20"/>
        </w:rPr>
        <w:t xml:space="preserve">(a) is duly organized or formed, validly existing and in good standing under the Laws of the jurisdiction of its incorporation or organization (to the extent such concepts exist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has all corporate or other organizational power and authority to (i) own its assets and carry on its business as currently conducted and (ii) in the case of the Loan Parties, execute, deliver and perform its obligations under the Loan Documents to which it is a party and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is duly qualified and in good standing (to the extent such concepts exist in such jurisdiction) under the Laws of each jurisdiction where its ownership, lease or operation of properties or the conduct of its business requires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(d) is in compliance with all applicable Laws; and </w:t>
      </w:r>
    </w:p>
    <w:p>
      <w:pPr>
        <w:pStyle w:val="TextBody"/>
        <w:bidi w:val="0"/>
        <w:spacing w:before="240" w:after="0"/>
        <w:jc w:val="left"/>
        <w:rPr>
          <w:rFonts w:ascii="Times New Roman" w:hAnsi="Times New Roman"/>
          <w:sz w:val="20"/>
        </w:rPr>
      </w:pPr>
      <w:r>
        <w:rPr>
          <w:rFonts w:ascii="Times New Roman" w:hAnsi="Times New Roman"/>
          <w:sz w:val="20"/>
        </w:rPr>
        <w:t xml:space="preserve">(e) has all requisite governmental licenses, authorizations, consents and approvals to operate its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except in each case referred to in </w:t>
      </w:r>
      <w:r>
        <w:rPr>
          <w:rFonts w:ascii="Times New Roman" w:hAnsi="Times New Roman"/>
          <w:sz w:val="20"/>
          <w:u w:val="single"/>
        </w:rPr>
        <w:t>clauses (a)</w:t>
      </w:r>
      <w:r>
        <w:rPr>
          <w:rFonts w:ascii="Times New Roman" w:hAnsi="Times New Roman"/>
          <w:sz w:val="20"/>
        </w:rPr>
        <w:t xml:space="preserve"> (other than with respect to the Borrower),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or</w:t>
      </w:r>
      <w:r>
        <w:rPr>
          <w:rFonts w:ascii="Times New Roman" w:hAnsi="Times New Roman"/>
          <w:sz w:val="20"/>
          <w:u w:val="single"/>
        </w:rPr>
        <w:t xml:space="preserve"> (e)</w:t>
      </w:r>
      <w:r>
        <w:rPr>
          <w:rFonts w:ascii="Times New Roman" w:hAnsi="Times New Roman"/>
          <w:sz w:val="20"/>
        </w:rPr>
        <w:t xml:space="preserve">, to the extent that failure to do so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Authorization; No Contravention.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delivery and performance by each Loan Party of each Loan Document to which it is a party has been duly authorized by all necessary corporate or other organizational action. </w:t>
      </w:r>
    </w:p>
    <w:p>
      <w:pPr>
        <w:pStyle w:val="TextBody"/>
        <w:bidi w:val="0"/>
        <w:spacing w:before="240" w:after="0"/>
        <w:jc w:val="left"/>
        <w:rPr>
          <w:rFonts w:ascii="Times New Roman" w:hAnsi="Times New Roman"/>
          <w:sz w:val="20"/>
        </w:rPr>
      </w:pPr>
      <w:r>
        <w:rPr>
          <w:rFonts w:ascii="Times New Roman" w:hAnsi="Times New Roman"/>
          <w:sz w:val="20"/>
        </w:rPr>
        <w:t xml:space="preserve">(b) Neither the execution, delivery and performance by each Loan Party of each Loan Document to which it is a party nor the consummation of the Transactions will, </w:t>
      </w:r>
    </w:p>
    <w:p>
      <w:pPr>
        <w:pStyle w:val="TextBody"/>
        <w:bidi w:val="0"/>
        <w:spacing w:before="240" w:after="0"/>
        <w:jc w:val="left"/>
        <w:rPr>
          <w:rFonts w:ascii="Times New Roman" w:hAnsi="Times New Roman"/>
          <w:sz w:val="20"/>
        </w:rPr>
      </w:pPr>
      <w:r>
        <w:rPr>
          <w:rFonts w:ascii="Times New Roman" w:hAnsi="Times New Roman"/>
          <w:sz w:val="20"/>
        </w:rPr>
        <w:t xml:space="preserve">(i) contravene the terms of any of its Organization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(ii) result in any breach or contravention of, or the creation of any Lien (other than a Permitted Lien) upon any of the property or assets of such Loan Party or any of the Restricted Subsidiaries under (A) any contractual obligation relating to Material Indebtedness or (B) any order, injunction, writ or decree of any Governmental Authority or any arbitral award to which such Loan Party or its property is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violate any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(iv) require any approval of stockholders, members or partners or any approval or consent of any Person under any contractual obligation relating to Material Indebtedness, except for such approvals or consents which will be obtained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except with respect to any breach, contravention or violation (but not creation of Liens) referred to in </w:t>
      </w:r>
      <w:r>
        <w:rPr>
          <w:rFonts w:ascii="Times New Roman" w:hAnsi="Times New Roman"/>
          <w:sz w:val="20"/>
          <w:u w:val="single"/>
        </w:rPr>
        <w:t>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to the extent that such breach, contravention or violation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Governmental Authorization</w:t>
      </w:r>
      <w:r>
        <w:rPr>
          <w:rFonts w:ascii="Times New Roman" w:hAnsi="Times New Roman"/>
          <w:sz w:val="20"/>
        </w:rPr>
        <w:t xml:space="preserve">. No material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except for, </w:t>
      </w:r>
    </w:p>
    <w:p>
      <w:pPr>
        <w:pStyle w:val="TextBody"/>
        <w:bidi w:val="0"/>
        <w:spacing w:before="240" w:after="0"/>
        <w:jc w:val="left"/>
        <w:rPr>
          <w:rFonts w:ascii="Times New Roman" w:hAnsi="Times New Roman"/>
          <w:sz w:val="20"/>
        </w:rPr>
      </w:pPr>
      <w:r>
        <w:rPr>
          <w:rFonts w:ascii="Times New Roman" w:hAnsi="Times New Roman"/>
          <w:sz w:val="20"/>
        </w:rPr>
        <w:t xml:space="preserve">(a) filings necessary to perfect the Liens on the Collateral granted by the Loan Parties in favor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 </w:t>
      </w:r>
    </w:p>
    <w:p>
      <w:pPr>
        <w:pStyle w:val="TextBody"/>
        <w:bidi w:val="0"/>
        <w:spacing w:before="240" w:after="0"/>
        <w:jc w:val="left"/>
        <w:rPr>
          <w:rFonts w:ascii="Times New Roman" w:hAnsi="Times New Roman"/>
          <w:sz w:val="20"/>
        </w:rPr>
      </w:pPr>
      <w:r>
        <w:rPr>
          <w:rFonts w:ascii="Times New Roman" w:hAnsi="Times New Roman"/>
          <w:sz w:val="20"/>
        </w:rPr>
        <w:t xml:space="preserve">(c) those approvals, consents, exemptions, authorizations or other actions, notices or filings, the failure of which to obtain or make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Binding Effect</w:t>
      </w:r>
      <w:r>
        <w:rPr>
          <w:rFonts w:ascii="Times New Roman" w:hAnsi="Times New Roman"/>
          <w:sz w:val="20"/>
        </w:rPr>
        <w:t xml:space="preserve">. This Agreement and each other Loan Document has been duly executed and delivered by each Loan Party that is party hereto and thereto. This Agreement and each other Loan Document constitutes a legal, valid and binding obligation of each Loan Party, enforceable against each Loan Party that is party thereto in accordance with its terms, except as such enforceability may be limited by Debtor Relief Laws and by general principles of equity and principles of good faith and fair dealing.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Financial Statements; No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Financial Statements fairly present in all material respects the financial condition of the Borrower and its Subsidiaries as of the dates thereof and their results of operations for the period covered thereby in accordance with GAAP (as in effect on the Closing Date (or the date of preparation)) consistently applied throughout the periods covered thereby, except as otherwise expressly noted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Since the Closing Date, there has been no event or circumstance, either individually or in the aggregate, that has resulted in, and is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forecasts of consolidated balance sheets and statements of comprehensive income (loss) of the Borrower and its Subsidiaries which have been furnished to the Administrative Agent prior to the Closing Date, when taken as a whole, have been prepared in good faith on the basis of the assumptions stated therein, which assumptions were believed to be reasonable at the time made and at the time the forecasts are delivered, it being understood that (i) no forecasts are to be viewed as facts, (ii) any forecasts are subject to significant uncertainties and contingencies, many of which are beyond the control of the Loan Parties or the Sponsors, (iii) no assurance can be given that any particular forecasts will be realized and (iv) actual results may differ and such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Litigation</w:t>
      </w:r>
      <w:r>
        <w:rPr>
          <w:rFonts w:ascii="Times New Roman" w:hAnsi="Times New Roman"/>
          <w:sz w:val="20"/>
        </w:rPr>
        <w:t xml:space="preserve">. Except as set forth in </w:t>
      </w:r>
      <w:r>
        <w:rPr>
          <w:rFonts w:ascii="Times New Roman" w:hAnsi="Times New Roman"/>
          <w:sz w:val="20"/>
          <w:u w:val="single"/>
        </w:rPr>
        <w:t>Schedule 5.06</w:t>
      </w:r>
      <w:r>
        <w:rPr>
          <w:rFonts w:ascii="Times New Roman" w:hAnsi="Times New Roman"/>
          <w:sz w:val="20"/>
        </w:rPr>
        <w:t xml:space="preserve">, there are no actions, suits, proceedings, claims or disputes pending or, to the knowledge of the Borrower, overtly threatened in writing, at law, in equity, in arbitration or before any Governmental Authority, by or against the Borrower or any of the Restricted Subsidiaries that has resulted in or if determined adversely would reasonably be expected, individually or in the aggregate, to result in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Labor Matters</w:t>
      </w:r>
      <w:r>
        <w:rPr>
          <w:rFonts w:ascii="Times New Roman" w:hAnsi="Times New Roman"/>
          <w:sz w:val="20"/>
        </w:rPr>
        <w:t xml:space="preserve">. Except as set forth on </w:t>
      </w:r>
      <w:r>
        <w:rPr>
          <w:rFonts w:ascii="Times New Roman" w:hAnsi="Times New Roman"/>
          <w:sz w:val="20"/>
          <w:u w:val="single"/>
        </w:rPr>
        <w:t>Schedule 5.07</w:t>
      </w:r>
      <w:r>
        <w:rPr>
          <w:rFonts w:ascii="Times New Roman" w:hAnsi="Times New Roman"/>
          <w:sz w:val="20"/>
        </w:rPr>
        <w:t xml:space="preserve"> or except as has not resulted in, or is not reasonably expected, individually or in the aggregate, to result in a Material Adverse Effect: (a) there are no strikes or other labor disputes against any of the Borrower or the Restricted Subsidiaries pending or, to the knowledge of the Borrower, threatened and (b) hours worked by and payment made based on hours worked to employees of the Borrower or a Restricted Subsidiary have not been in material violation of the Fair Labor Standards Act or any other applicable Laws dealing with wage and hour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Ownership of Property</w:t>
      </w:r>
      <w:r>
        <w:rPr>
          <w:rFonts w:ascii="Times New Roman" w:hAnsi="Times New Roman"/>
          <w:sz w:val="20"/>
        </w:rPr>
        <w:t xml:space="preserve">; Liens. Each Loan Party and each Restricted Subsidiary has good and valid record title in fee simple to, or valid leasehold interests in, or easements or other limited property interests in, all real property necessary in the ordinary conduct of its business, free and clear of all Liens except for Permitted Liens and except where the failure to have such title or other interest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resulted in, or is not reasonably expected, individually or in the aggregate, to result in a Material Adverse Effect, (i) the Loan Parties and the Restricted Subsidiaries are in compliance with all applicable Environmental Laws (including having obtained all Environmental Permits) and (ii) none of the Loan Parties or any of the Restricted Subsidiaries is subject to any pending, or to the knowledge of the Loan Parties, threatened Environmental Claim or any other Environmental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None of the Loan Parties or any of the Restricted Subsidiaries has used, released, treated, stored, transported or disposed of Hazardous Materials, at or from any currently or formerly owned or operated real estate or facility relating to its business, in violation of Environmental Law and in a manner that has resulted in, or is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5.10 Taxes. Except as has not resulted in, or is not reasonably expected, individually or in the aggregate, to result in a Material Adverse Effect, the Borrower and the Restricted Subsidiaries have timely filed all tax returns and reports required to be filed, and have paid all foreign, U.S. federal and state, and other Taxes, assessments, fees and other governmental charges levied or imposed on their properties, income or assets or otherwise due and payable, except those which are being contested in good faith by appropriate actions diligently conducted and for which adequate reserves have been provided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ERISA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Schedule 5.11(a)</w:t>
      </w:r>
      <w:r>
        <w:rPr>
          <w:rFonts w:ascii="Times New Roman" w:hAnsi="Times New Roman"/>
          <w:sz w:val="20"/>
        </w:rPr>
        <w:t xml:space="preserve"> or has not resulted in, or would not reasonably be expected, individually or in the aggregate, to result in a Material Adverse Effect, each Plan is in compliance with the terms of such Plan and applicable provisions of ERISA, the Code and other applicable Laws. </w:t>
      </w:r>
    </w:p>
    <w:p>
      <w:pPr>
        <w:pStyle w:val="TextBody"/>
        <w:bidi w:val="0"/>
        <w:spacing w:before="240" w:after="0"/>
        <w:jc w:val="left"/>
        <w:rPr>
          <w:rFonts w:ascii="Times New Roman" w:hAnsi="Times New Roman"/>
          <w:sz w:val="20"/>
        </w:rPr>
      </w:pPr>
      <w:r>
        <w:rPr>
          <w:rFonts w:ascii="Times New Roman" w:hAnsi="Times New Roman"/>
          <w:sz w:val="20"/>
        </w:rPr>
        <w:t>(b) Except, as set forth in</w:t>
      </w:r>
      <w:r>
        <w:rPr>
          <w:rFonts w:ascii="Times New Roman" w:hAnsi="Times New Roman"/>
          <w:sz w:val="20"/>
          <w:u w:val="single"/>
        </w:rPr>
        <w:t xml:space="preserve"> Schedule 5.11(b) </w:t>
      </w:r>
      <w:r>
        <w:rPr>
          <w:rFonts w:ascii="Times New Roman" w:hAnsi="Times New Roman"/>
          <w:sz w:val="20"/>
        </w:rPr>
        <w:t xml:space="preserve">or, with respect to each of the below clauses of this </w:t>
      </w:r>
      <w:r>
        <w:rPr>
          <w:rFonts w:ascii="Times New Roman" w:hAnsi="Times New Roman"/>
          <w:sz w:val="20"/>
          <w:u w:val="single"/>
        </w:rPr>
        <w:t>Section 5.11(b)</w:t>
      </w:r>
      <w:r>
        <w:rPr>
          <w:rFonts w:ascii="Times New Roman" w:hAnsi="Times New Roman"/>
          <w:sz w:val="20"/>
        </w:rPr>
        <w:t xml:space="preserve">, as has not resulted in, or would not reasonably be expected, individually or in the aggregate,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no ERISA Event or Foreign Plan Event has occurred; </w:t>
      </w:r>
    </w:p>
    <w:p>
      <w:pPr>
        <w:pStyle w:val="TextBody"/>
        <w:bidi w:val="0"/>
        <w:spacing w:before="120" w:after="0"/>
        <w:jc w:val="left"/>
        <w:rPr>
          <w:rFonts w:ascii="Times New Roman" w:hAnsi="Times New Roman"/>
          <w:sz w:val="20"/>
        </w:rPr>
      </w:pPr>
      <w:r>
        <w:rPr>
          <w:rFonts w:ascii="Times New Roman" w:hAnsi="Times New Roman"/>
          <w:sz w:val="20"/>
        </w:rPr>
        <w:t xml:space="preserve">(ii) no Pension Plan has failed to satisfy the minimum funding standards (within the meaning of Section 412 of the Code or Section 302 of ERISA) applicable to such Pension Plan; </w:t>
      </w:r>
    </w:p>
    <w:p>
      <w:pPr>
        <w:pStyle w:val="TextBody"/>
        <w:bidi w:val="0"/>
        <w:spacing w:before="120" w:after="0"/>
        <w:jc w:val="left"/>
        <w:rPr>
          <w:rFonts w:ascii="Times New Roman" w:hAnsi="Times New Roman"/>
          <w:sz w:val="20"/>
        </w:rPr>
      </w:pPr>
      <w:r>
        <w:rPr>
          <w:rFonts w:ascii="Times New Roman" w:hAnsi="Times New Roman"/>
          <w:sz w:val="20"/>
        </w:rPr>
        <w:t xml:space="preserve">(iii) neither the Borrower, nor any Guarantor nor any of their respective ERISA Affiliates has incurred, or would reasonably be expected to incur, any liability (and no event has occurred which, with the giving of notice under Section 4219 of ERISA, would result in such liability) under Sections 4201 et seq. of ERISA with respect to a Multiemployer Plan; </w:t>
      </w:r>
    </w:p>
    <w:p>
      <w:pPr>
        <w:pStyle w:val="TextBody"/>
        <w:bidi w:val="0"/>
        <w:spacing w:before="120" w:after="0"/>
        <w:jc w:val="left"/>
        <w:rPr>
          <w:rFonts w:ascii="Times New Roman" w:hAnsi="Times New Roman"/>
          <w:sz w:val="20"/>
        </w:rPr>
      </w:pPr>
      <w:r>
        <w:rPr>
          <w:rFonts w:ascii="Times New Roman" w:hAnsi="Times New Roman"/>
          <w:sz w:val="20"/>
        </w:rPr>
        <w:t xml:space="preserve">(iv) neither the Borrower, nor any Guarantor nor any of their respective ERISA Affiliates has engaged in a transaction that is subject to Sections 4069 or 4212(c) of ERISA; and </w:t>
      </w:r>
    </w:p>
    <w:p>
      <w:pPr>
        <w:pStyle w:val="TextBody"/>
        <w:bidi w:val="0"/>
        <w:spacing w:before="120" w:after="0"/>
        <w:jc w:val="left"/>
        <w:rPr>
          <w:rFonts w:ascii="Times New Roman" w:hAnsi="Times New Roman"/>
          <w:sz w:val="20"/>
        </w:rPr>
      </w:pPr>
      <w:r>
        <w:rPr>
          <w:rFonts w:ascii="Times New Roman" w:hAnsi="Times New Roman"/>
          <w:sz w:val="20"/>
        </w:rPr>
        <w:t xml:space="preserve">(v) neither the Borrower, nor any Guarantor nor any ERISA Affiliate has been notified in writing that a Multiemployer Plan is insolvent (within the meaning of Section 4245 of ERISA) or has been determined to be in “endangered” or “critical” status (within the meaning of Section 432 of the Code or Section 305 of ERISA) and no such Multiemployer Plan is expected to be insolvent or in endangered or critical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Subsidiaries</w:t>
      </w:r>
      <w:r>
        <w:rPr>
          <w:rFonts w:ascii="Times New Roman" w:hAnsi="Times New Roman"/>
          <w:sz w:val="20"/>
        </w:rPr>
        <w:t xml:space="preserve">. As of the Closing Date, all of the outstanding Equity Interests in the Borrower and each Restricted Subsidiary have been validly issued and are fully paid and (if applicable) non-assessable, and all Equity Interests owned by the Borrower or any Guarantor in any of their respective direct Material Subsidiaries are owned free and clear of all Liens (other than Permitted Liens) of any Person. As of the Closing Date, </w:t>
      </w:r>
      <w:r>
        <w:rPr>
          <w:rFonts w:ascii="Times New Roman" w:hAnsi="Times New Roman"/>
          <w:sz w:val="20"/>
          <w:u w:val="single"/>
        </w:rPr>
        <w:t>Schedule 5.12 (i)</w:t>
      </w:r>
      <w:r>
        <w:rPr>
          <w:rFonts w:ascii="Times New Roman" w:hAnsi="Times New Roman"/>
          <w:sz w:val="20"/>
        </w:rPr>
        <w:t xml:space="preserve"> sets forth the name and jurisdiction of each Subsidiary, (ii) sets forth the ownership interest of the Borrower and each Subsidiary in each Subsidiary, including the percentage of such ownership and (iii) identifies each Subsidiary that is a Subsidiary the Equity Interests of which are required to be pledged on the Closing Date pursuant to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Margin Regulations; 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Closing Date, none of the Collateral is Margin Stock. 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issuance of, or drawings under, any Letter of Credit will be used for any purpose that violates Regulation U. </w:t>
      </w:r>
    </w:p>
    <w:p>
      <w:pPr>
        <w:pStyle w:val="TextBody"/>
        <w:bidi w:val="0"/>
        <w:spacing w:before="240" w:after="0"/>
        <w:jc w:val="left"/>
        <w:rPr>
          <w:rFonts w:ascii="Times New Roman" w:hAnsi="Times New Roman"/>
          <w:sz w:val="20"/>
        </w:rPr>
      </w:pPr>
      <w:r>
        <w:rPr>
          <w:rFonts w:ascii="Times New Roman" w:hAnsi="Times New Roman"/>
          <w:sz w:val="20"/>
        </w:rPr>
        <w:t xml:space="preserve">(b) Neither the Borrower nor any Guarantor is an “investment company” under the Investment Company Act of 1940.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Disclosure</w:t>
      </w:r>
      <w:r>
        <w:rPr>
          <w:rFonts w:ascii="Times New Roman" w:hAnsi="Times New Roman"/>
          <w:sz w:val="20"/>
        </w:rPr>
        <w:t xml:space="preserve">. As of the Closing Date, none of the written information and written data heretofore or contemporaneously furnished in writing by or on behalf of the Borrower or any Guarantor to any Agent or any Lender on or prior to the Closing Date in connection with the transactions contemplated hereby and the negotiation of this Agreement or delivered hereunder or any other Loan Document on or prior to the Closing Date,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it being understood that for purposes of this </w:t>
      </w:r>
      <w:r>
        <w:rPr>
          <w:rFonts w:ascii="Times New Roman" w:hAnsi="Times New Roman"/>
          <w:sz w:val="20"/>
          <w:u w:val="single"/>
        </w:rPr>
        <w:t>Section 5.14</w:t>
      </w:r>
      <w:r>
        <w:rPr>
          <w:rFonts w:ascii="Times New Roman" w:hAnsi="Times New Roman"/>
          <w:sz w:val="20"/>
        </w:rPr>
        <w:t xml:space="preserve">, such written information and written data shall not include projections, </w:t>
      </w:r>
      <w:r>
        <w:rPr>
          <w:rFonts w:ascii="Times New Roman" w:hAnsi="Times New Roman"/>
          <w:i/>
          <w:sz w:val="20"/>
        </w:rPr>
        <w:t xml:space="preserve">pro forma </w:t>
      </w:r>
      <w:r>
        <w:rPr>
          <w:rFonts w:ascii="Times New Roman" w:hAnsi="Times New Roman"/>
          <w:sz w:val="20"/>
        </w:rPr>
        <w:t xml:space="preserve">financial information, financial estimates, forecasts and forward-looking information or information of a general economic or general industry nature.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Properties; Titles,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relevant Loan Parties have good title to all of the Vessel Collateral, free and clear of all Liens except (i) Liens pursuant to the Loan Documents and the Junior Lien Debt (if any), (ii) Permitted Liens of the type permitted under </w:t>
      </w:r>
      <w:r>
        <w:rPr>
          <w:rFonts w:ascii="Times New Roman" w:hAnsi="Times New Roman"/>
          <w:sz w:val="20"/>
          <w:u w:val="single"/>
        </w:rPr>
        <w:t>clauses (a)</w:t>
      </w:r>
      <w:r>
        <w:rPr>
          <w:rFonts w:ascii="Times New Roman" w:hAnsi="Times New Roman"/>
          <w:sz w:val="20"/>
        </w:rPr>
        <w:t xml:space="preserve">, (d) and (oo) of </w:t>
      </w:r>
      <w:r>
        <w:rPr>
          <w:rFonts w:ascii="Times New Roman" w:hAnsi="Times New Roman"/>
          <w:sz w:val="20"/>
          <w:u w:val="single"/>
        </w:rPr>
        <w:t>Section 7.01</w:t>
      </w:r>
      <w:r>
        <w:rPr>
          <w:rFonts w:ascii="Times New Roman" w:hAnsi="Times New Roman"/>
          <w:sz w:val="20"/>
        </w:rPr>
        <w:t xml:space="preserve"> and (iii) Liens being released on the Closing Date. Set forth on </w:t>
      </w:r>
      <w:r>
        <w:rPr>
          <w:rFonts w:ascii="Times New Roman" w:hAnsi="Times New Roman"/>
          <w:sz w:val="20"/>
          <w:u w:val="single"/>
        </w:rPr>
        <w:t>Schedule 5.15</w:t>
      </w:r>
      <w:r>
        <w:rPr>
          <w:rFonts w:ascii="Times New Roman" w:hAnsi="Times New Roman"/>
          <w:sz w:val="20"/>
        </w:rPr>
        <w:t xml:space="preserve"> hereto is a complete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accurate list of all Vessel Collateral owned by each Loan Party as of the Closing Date and to be subject to the Vessel Mortgage on the Closing Date; as of the Closing Date all Vessel Collateral is duly documented in the name of the applicable Loan Party as shipowner under the laws and flag of the United States and, except as set forth on </w:t>
      </w:r>
      <w:r>
        <w:rPr>
          <w:rFonts w:ascii="Times New Roman" w:hAnsi="Times New Roman"/>
          <w:sz w:val="20"/>
          <w:u w:val="single"/>
        </w:rPr>
        <w:t>Schedule 5.15</w:t>
      </w:r>
      <w:r>
        <w:rPr>
          <w:rFonts w:ascii="Times New Roman" w:hAnsi="Times New Roman"/>
          <w:sz w:val="20"/>
        </w:rPr>
        <w:t xml:space="preserve">, eligible to operate in the coastwise trade of the United States. Each Loan Party that owns Vessel Collateral is (i) if such Vessel Collateral is one or more Vessels registered under the laws and flag of the United States, a citizen of the United States within the meaning of Section 2(c) of the Shipping Act, 1916, as amended (46 U.S.C. § 50501), eligible to own and operate vessels in the coastwise trade of the United States, or (ii) eligible to own and operate vessels in whatever jurisdiction and trade the Vessel Collateral is qualified,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under the Loan Documents including the last sentence of this </w:t>
      </w:r>
      <w:r>
        <w:rPr>
          <w:rFonts w:ascii="Times New Roman" w:hAnsi="Times New Roman"/>
          <w:sz w:val="20"/>
          <w:u w:val="single"/>
        </w:rPr>
        <w:t>Section 5.15(b)</w:t>
      </w:r>
      <w:r>
        <w:rPr>
          <w:rFonts w:ascii="Times New Roman" w:hAnsi="Times New Roman"/>
          <w:sz w:val="20"/>
        </w:rPr>
        <w:t xml:space="preserve">, all filings and other actions on behalf of the Borrower or, as applicable, any Restricted Subsidiary of the Borrower necessary or desirable to perfect and protect the security interest in the Vessel Collateral created under the Vessel Mortgages have been duly made or taken (or arrangements reasonably satisfactory to the Lenders with respect thereto have been made) and such security interests are in full force and effect, and the Vessel Mortgages create in favor of the Collateral Agent or trustee/mortgagee, as the case may be, for the benefit of the Secured Parties a valid and, together with such filings, recordations and other actions, when effected, perfected first priority security interest (except for Permitted Liens of the type permitted under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(tt)</w:t>
      </w:r>
      <w:r>
        <w:rPr>
          <w:rFonts w:ascii="Times New Roman" w:hAnsi="Times New Roman"/>
          <w:sz w:val="20"/>
        </w:rPr>
        <w:t xml:space="preserve"> of the </w:t>
      </w:r>
      <w:r>
        <w:rPr>
          <w:rFonts w:ascii="Times New Roman" w:hAnsi="Times New Roman"/>
          <w:sz w:val="20"/>
          <w:u w:val="single"/>
        </w:rPr>
        <w:t>Section 7.01)</w:t>
      </w:r>
      <w:r>
        <w:rPr>
          <w:rFonts w:ascii="Times New Roman" w:hAnsi="Times New Roman"/>
          <w:sz w:val="20"/>
        </w:rPr>
        <w:t xml:space="preserve"> in the Vessel Collateral, securing the payment of the Indebtedness. To the extent that the Vessel Collateral is registered under the laws and flag of the United States, the Vessel Mortgage, executed and delivered, creates in favor of the Collateral Agent, as trustee/mortgagee, a legal, valid, and enforceable first preferred mortgage lien over the whole of the Vessel Collateral therein named and when duly recorded shall constitute a perfected first “preferred mortgage” within the meaning of Section 31301(6)(B) of Title 46 of the United States Code, entitled to the benefits accorded to a first preferred mortgage on a vessel registered under the laws and flag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All of the material properties of the Borrower and its Restricted Subsidiaries that are reasonably necessary for the operation of their businesses (other than Excluded Stacked Vessels) are in good working condition, ordinary wear and tear excepted, and are maintained in accordance with reasonable commercial business standards, except (i) as set forth in </w:t>
      </w:r>
      <w:r>
        <w:rPr>
          <w:rFonts w:ascii="Times New Roman" w:hAnsi="Times New Roman"/>
          <w:sz w:val="20"/>
          <w:u w:val="single"/>
        </w:rPr>
        <w:t>Schedule 5.15</w:t>
      </w:r>
      <w:r>
        <w:rPr>
          <w:rFonts w:ascii="Times New Roman" w:hAnsi="Times New Roman"/>
          <w:sz w:val="20"/>
        </w:rPr>
        <w:t xml:space="preserve"> or (ii) where the failure to be in such condition or maintain such property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Solvency</w:t>
      </w:r>
      <w:r>
        <w:rPr>
          <w:rFonts w:ascii="Times New Roman" w:hAnsi="Times New Roman"/>
          <w:sz w:val="20"/>
        </w:rPr>
        <w:t xml:space="preserve">. On the Closing Date after giving effect to the Transactions, the Borrower and its Subsidiaries, on a consolidated basis, are Solvent.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Compliance with Anti-Corruption Laws and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Relevant Person is: </w:t>
      </w:r>
    </w:p>
    <w:p>
      <w:pPr>
        <w:pStyle w:val="TextBody"/>
        <w:bidi w:val="0"/>
        <w:spacing w:before="120" w:after="0"/>
        <w:jc w:val="left"/>
        <w:rPr>
          <w:rFonts w:ascii="Times New Roman" w:hAnsi="Times New Roman"/>
          <w:sz w:val="20"/>
        </w:rPr>
      </w:pPr>
      <w:r>
        <w:rPr>
          <w:rFonts w:ascii="Times New Roman" w:hAnsi="Times New Roman"/>
          <w:sz w:val="20"/>
        </w:rPr>
        <w:t xml:space="preserve">(i) a Restricted Party;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its knowledge the subject of any claim, proceeding, formal notice, investigation or other action by any regulatory or enforcement authority concerning any alleged violation of Sanctions.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has implemented and maintains in effect policies and procedures designed to ensure compliance by the Borrower, its Subsidiaries and their respective directors, officers, employees and agents with applicable Anti-Corruption Laws and Sanctions, and the Borrower, its Subsidiaries and their respective officers and directors and to the knowledge of the Borrower its employees and agents, are in compliance with applicable Anti-Corruption Laws and Sanctions in all material respects and are not knowingly engaged in any activity that would reasonably be expected to result in the Borrower being designated as a Sanctioned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Collateral Documents</w:t>
      </w:r>
      <w:r>
        <w:rPr>
          <w:rFonts w:ascii="Times New Roman" w:hAnsi="Times New Roman"/>
          <w:sz w:val="20"/>
        </w:rPr>
        <w:t xml:space="preserve">.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the Collateral Agent of any Pledged Collateral required to be delivered pursuant to the applicable Collateral Documents), are effective to create in favor of the Collateral Agent for the benefit of the Secured Parties a legal, valid and enforceable perfected Lien (subject to Permitted Liens) with the applicable priority contemplated herein or in the other Loan Documents on all right, title and interest of the Borrower and the applicable Guarantors, respectively, in the Collateral described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Use of Proceeds.</w:t>
      </w:r>
      <w:r>
        <w:rPr>
          <w:rFonts w:ascii="Times New Roman" w:hAnsi="Times New Roman"/>
          <w:sz w:val="20"/>
        </w:rPr>
        <w:t xml:space="preserve"> The Borrower has used the proceeds of the Loans and the Letters of Credit issued hereunder only in compliance (and not in contravention of) applicable Laws and each Loan Document.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u w:val="single"/>
        </w:rPr>
        <w:t>Affirmative Covenants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Termination Conditions have not been satisfied, the Borrower shall, and shall (except in the case of the covenants set forth in </w:t>
      </w:r>
      <w:r>
        <w:rPr>
          <w:rFonts w:ascii="Times New Roman" w:hAnsi="Times New Roman"/>
          <w:sz w:val="20"/>
          <w:u w:val="single"/>
        </w:rPr>
        <w:t>Sections 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and </w:t>
      </w:r>
      <w:r>
        <w:rPr>
          <w:rFonts w:ascii="Times New Roman" w:hAnsi="Times New Roman"/>
          <w:sz w:val="20"/>
          <w:u w:val="single"/>
        </w:rPr>
        <w:t>6.05</w:t>
      </w:r>
      <w:r>
        <w:rPr>
          <w:rFonts w:ascii="Times New Roman" w:hAnsi="Times New Roman"/>
          <w:sz w:val="20"/>
        </w:rPr>
        <w:t xml:space="preserve">) cause each of the Restricted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Financial Statements</w:t>
      </w:r>
      <w:r>
        <w:rPr>
          <w:rFonts w:ascii="Times New Roman" w:hAnsi="Times New Roman"/>
          <w:sz w:val="20"/>
        </w:rPr>
        <w:t xml:space="preserve">. Deliver to the Administrative Agent for prompt further distribution by the Administrative Agent to each Lender each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Audited Annual Financial Statements</w:t>
      </w:r>
      <w:r>
        <w:rPr>
          <w:rFonts w:ascii="Times New Roman" w:hAnsi="Times New Roman"/>
          <w:sz w:val="20"/>
        </w:rPr>
        <w:t xml:space="preserve">. Within one hundred twenty (120) days after the end of each fiscal year (commencing with the fiscal year ending December 31, 2024) of the Borrower, a consolidated balance sheet of the Borrower and its Subsidiaries as at the end of such fiscal year, and the related consolidated statements of comprehensive income (loss), stockholders’ equity and cash flows for such fiscal year together with related notes thereto, setting forth in each case in comparative form the figures for the previous fiscal year (if ending after the Closing Date), prepared in accordance with GAAP, audited and accompanied by a report and opinion of the Borrower’s auditor on the Closing Date or any other accounting firm of nationally or regionally recognized standing or another accounting firm reasonably acceptable to the Administrative Agent, which report and opinion shall be prepared in accordance with generally accepted auditing standards and which financial statements shall be accompanied by management’s discussion and analysis describing results of operations in the form customarily prepared by management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Quarterly Financial Statements</w:t>
      </w:r>
      <w:r>
        <w:rPr>
          <w:rFonts w:ascii="Times New Roman" w:hAnsi="Times New Roman"/>
          <w:sz w:val="20"/>
        </w:rPr>
        <w:t xml:space="preserve">. As soon as available, but in any event within sixty (60) days after the end of each of the first three fiscal quarters of each fiscal year of the Borrower (commencing with the fiscal quarter ended September 30, 2024), (i) an unaudited consolidated balance sheet of the Borrower and its Subsidiaries as at the end of such fiscal quarter, (ii) the related unaudited consolidated statements of comprehensive income (loss) for such fiscal quarter and for the portion of the fiscal year then ended and (iii) the related unaudited consolidated statement of cash flows for the portion of the fiscal year then ended, setting forth, in each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in comparative form, the figures for the corresponding fiscal quarter of the previous fiscal year and the corresponding portion of the previous fiscal year, in each case if ended after the Closing Date, certified by a Responsible Officer of the Borrower as fairly presenting in all material respects the financial condition, results of operations and cash flows of the Borrower and its Subsidiaries in material compliance with GAAP, subject to year-end adjustments and the absence of footnotes, which financial statements, to the extent the Borrower (or Parent Entity or Qualified Reporting Subsidiary) is not required to file a 10-Q, shall be accompanied by management’s discussion and analysis describing results of operations in the form customarily prepared by management of the Borrower. Notwithstanding the foregoing, the Borrower shall deliver to the Administrative Agent, when available, the financial statements described in this paragraph (b) in respect of the fiscal quarter ended June 30, 2024; </w:t>
      </w:r>
      <w:r>
        <w:rPr>
          <w:rFonts w:ascii="Times New Roman" w:hAnsi="Times New Roman"/>
          <w:i/>
          <w:sz w:val="20"/>
        </w:rPr>
        <w:t>provided</w:t>
      </w:r>
      <w:r>
        <w:rPr>
          <w:rFonts w:ascii="Times New Roman" w:hAnsi="Times New Roman"/>
          <w:sz w:val="20"/>
        </w:rPr>
        <w:t xml:space="preserve"> that no Compliance Certificate shall be required to be delivered in connection with or in respect of such financial statements pursuant to </w:t>
      </w:r>
      <w:r>
        <w:rPr>
          <w:rFonts w:ascii="Times New Roman" w:hAnsi="Times New Roman"/>
          <w:sz w:val="20"/>
          <w:u w:val="single"/>
        </w:rPr>
        <w:t>Section 6.02(a)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Budget; Projections</w:t>
      </w:r>
      <w:r>
        <w:rPr>
          <w:rFonts w:ascii="Times New Roman" w:hAnsi="Times New Roman"/>
          <w:sz w:val="20"/>
        </w:rPr>
        <w:t xml:space="preserve">. On or prior to the date financial statements are required to be delivered pursuant to </w:t>
      </w:r>
      <w:r>
        <w:rPr>
          <w:rFonts w:ascii="Times New Roman" w:hAnsi="Times New Roman"/>
          <w:sz w:val="20"/>
          <w:u w:val="single"/>
        </w:rPr>
        <w:t xml:space="preserve">Section 6.01(a) </w:t>
      </w:r>
      <w:r>
        <w:rPr>
          <w:rFonts w:ascii="Times New Roman" w:hAnsi="Times New Roman"/>
          <w:sz w:val="20"/>
        </w:rPr>
        <w:t xml:space="preserve">(commencing with the first fiscal year ending after the Closing Date), a consolidated budget for the following fiscal year on a quarterly basis in form and substance consistent with the budget customarily prepared by management of the Borrower for their internal use.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Unrestricted Subsidiarie</w:t>
      </w:r>
      <w:r>
        <w:rPr>
          <w:rFonts w:ascii="Times New Roman" w:hAnsi="Times New Roman"/>
          <w:sz w:val="20"/>
        </w:rPr>
        <w:t xml:space="preserve">s. Simultaneously with the delivery of each set of consolidated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above, such supplemental financial information (which need not be audited) as is necessary to eliminate the accounts of Unrestricted Subsidiaries (if any) from such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paragraphs (a) and (b) of this </w:t>
      </w:r>
      <w:r>
        <w:rPr>
          <w:rFonts w:ascii="Times New Roman" w:hAnsi="Times New Roman"/>
          <w:sz w:val="20"/>
          <w:u w:val="single"/>
        </w:rPr>
        <w:t>Section 6.01</w:t>
      </w:r>
      <w:r>
        <w:rPr>
          <w:rFonts w:ascii="Times New Roman" w:hAnsi="Times New Roman"/>
          <w:sz w:val="20"/>
        </w:rPr>
        <w:t xml:space="preserve"> may be satisfied by furnishing, at the Borrower’s option, (i) the applicable financial statements of (1) any wholly-owned Restricted Subsidiary of the Borrower that, together with its combined and consolidated Restricted Subsidiaries, constitutes substantially all of the assets of the Borrower and its combined consolidated Subsidiaries (a “</w:t>
      </w:r>
      <w:r>
        <w:rPr>
          <w:rFonts w:ascii="Times New Roman" w:hAnsi="Times New Roman"/>
          <w:b/>
          <w:sz w:val="20"/>
        </w:rPr>
        <w:t>Qualified</w:t>
      </w:r>
      <w:r>
        <w:rPr>
          <w:rFonts w:ascii="Times New Roman" w:hAnsi="Times New Roman"/>
          <w:sz w:val="20"/>
        </w:rPr>
        <w:t xml:space="preserve"> </w:t>
      </w:r>
      <w:r>
        <w:rPr>
          <w:rFonts w:ascii="Times New Roman" w:hAnsi="Times New Roman"/>
          <w:b/>
          <w:sz w:val="20"/>
        </w:rPr>
        <w:t xml:space="preserve">Reporting Subsidiary”) </w:t>
      </w:r>
      <w:r>
        <w:rPr>
          <w:rFonts w:ascii="Times New Roman" w:hAnsi="Times New Roman"/>
          <w:sz w:val="20"/>
        </w:rPr>
        <w:t>or (2) any Person of which the Borrower is a Subsidiary (such Person, a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Entity”)</w:t>
      </w:r>
      <w:r>
        <w:rPr>
          <w:rFonts w:ascii="Times New Roman" w:hAnsi="Times New Roman"/>
          <w:sz w:val="20"/>
        </w:rPr>
        <w:t xml:space="preserve"> or (ii) the Borrower or a Qualified Reporting Subsidiary’s or Parent Entity’s Form 10-K or 10-Q, as applicable, filed with the SEC (or equivalent form whether or not filed with the SEC consistent with the Borrower’s practice as of the Closing Date); </w:t>
      </w:r>
      <w:r>
        <w:rPr>
          <w:rFonts w:ascii="Times New Roman" w:hAnsi="Times New Roman"/>
          <w:i/>
          <w:sz w:val="20"/>
        </w:rPr>
        <w:t xml:space="preserve">provided </w:t>
      </w:r>
      <w:r>
        <w:rPr>
          <w:rFonts w:ascii="Times New Roman" w:hAnsi="Times New Roman"/>
          <w:sz w:val="20"/>
        </w:rPr>
        <w:t xml:space="preserve">that with respect to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 to the extent such information relates to a Qualified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Subsidiary, or a Parent Entity, such information is accompanied by customary consolidating information (which need not be audited) that explains in reasonable detail the material differences between the information relating to such Qualified Reporting Subsidiary or Parent Entity, on the one hand, and the information relating to the Borrower and its Subsidiaries, on the other hand; (B) (i) in the event that the Borrower (or any Qualified Reporting Subsidiary or Parent Entity) delivers to the Administrative Agent a Form 10K for any fiscal year (or similar filing in the Applicable Jurisdiction), as filed with the SEC or in such form as would have been suitable for filing with the SEC (or similar governing body in the Applicable Jurisdiction, in each case), within the time frames set forth in </w:t>
      </w:r>
      <w:r>
        <w:rPr>
          <w:rFonts w:ascii="Times New Roman" w:hAnsi="Times New Roman"/>
          <w:sz w:val="20"/>
          <w:u w:val="single"/>
        </w:rPr>
        <w:t>paragraph (a</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such Form 10-K shall satisfy all requirements of </w:t>
      </w:r>
      <w:r>
        <w:rPr>
          <w:rFonts w:ascii="Times New Roman" w:hAnsi="Times New Roman"/>
          <w:sz w:val="20"/>
          <w:u w:val="single"/>
        </w:rPr>
        <w:t>paragraph (a)</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with respect to such fiscal year to the extent that it contains the information and report and opinion required by such </w:t>
      </w:r>
      <w:r>
        <w:rPr>
          <w:rFonts w:ascii="Times New Roman" w:hAnsi="Times New Roman"/>
          <w:sz w:val="20"/>
          <w:u w:val="single"/>
        </w:rPr>
        <w:t>paragraph (a</w:t>
      </w:r>
      <w:r>
        <w:rPr>
          <w:rFonts w:ascii="Times New Roman" w:hAnsi="Times New Roman"/>
          <w:sz w:val="20"/>
        </w:rPr>
        <w:t xml:space="preserve">) and (ii) in the event that the Borrower (or any Qualified Reporting Subsidiary or Parent Entity) delivers to the Administrative Agent a Quarterly Report on Form 10-Q for any fiscal quarter (or similar filing in the Applicable Jurisdiction), as filed with the SEC or in such form as would have been suitable for filing with the SEC (or similar governing body in the Applicable Jurisdiction, in each case), within the time frames set forth in </w:t>
      </w:r>
      <w:r>
        <w:rPr>
          <w:rFonts w:ascii="Times New Roman" w:hAnsi="Times New Roman"/>
          <w:sz w:val="20"/>
          <w:u w:val="single"/>
        </w:rPr>
        <w:t>paragraph (b)</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such Form 10-Q shall satisfy all requirements of </w:t>
      </w:r>
      <w:r>
        <w:rPr>
          <w:rFonts w:ascii="Times New Roman" w:hAnsi="Times New Roman"/>
          <w:sz w:val="20"/>
          <w:u w:val="single"/>
        </w:rPr>
        <w:t>paragraph (b)</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with respect to such fiscal quarter to the extent that it contains the information required by such </w:t>
      </w:r>
      <w:r>
        <w:rPr>
          <w:rFonts w:ascii="Times New Roman" w:hAnsi="Times New Roman"/>
          <w:sz w:val="20"/>
          <w:u w:val="single"/>
        </w:rPr>
        <w:t>paragraph (b),</w:t>
      </w:r>
      <w:r>
        <w:rPr>
          <w:rFonts w:ascii="Times New Roman" w:hAnsi="Times New Roman"/>
          <w:sz w:val="20"/>
        </w:rPr>
        <w:t xml:space="preserve"> (C) any financial statements required to be delivered pursuant to this </w:t>
      </w:r>
      <w:r>
        <w:rPr>
          <w:rFonts w:ascii="Times New Roman" w:hAnsi="Times New Roman"/>
          <w:sz w:val="20"/>
          <w:u w:val="single"/>
        </w:rPr>
        <w:t>Section 6.01</w:t>
      </w:r>
      <w:r>
        <w:rPr>
          <w:rFonts w:ascii="Times New Roman" w:hAnsi="Times New Roman"/>
          <w:sz w:val="20"/>
        </w:rPr>
        <w:t xml:space="preserve"> shall not be required to contain purchase accounting adjustments and (D) following the consummation of an acquisition in the applicable period or the period thereafter, the obligations in paragraphs (a) and (b) of this </w:t>
      </w:r>
      <w:r>
        <w:rPr>
          <w:rFonts w:ascii="Times New Roman" w:hAnsi="Times New Roman"/>
          <w:sz w:val="20"/>
          <w:u w:val="single"/>
        </w:rPr>
        <w:t>Section 6.01</w:t>
      </w:r>
      <w:r>
        <w:rPr>
          <w:rFonts w:ascii="Times New Roman" w:hAnsi="Times New Roman"/>
          <w:sz w:val="20"/>
        </w:rPr>
        <w:t xml:space="preserve"> with respect to the target of such acquisition may be satisfied by, at the option of the Borrower, (1) furnishing management accounts for the target of such acquisition or (2) omitting the target of such acquisition from the required financial statements of the Borrower and its Subsidiaries for the applicable period and period thereafter.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upon the request of the Borrower in connection with any material Permitted Investment or other acquisition permitted hereunder, the Administrative Agent may consent to a thirty-day extension to the deadlines in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Certificates; Other Information</w:t>
      </w:r>
      <w:r>
        <w:rPr>
          <w:rFonts w:ascii="Times New Roman" w:hAnsi="Times New Roman"/>
          <w:sz w:val="20"/>
        </w:rPr>
        <w:t xml:space="preserve">. Deliver to the Administrative Agent for prompt further distribution by the Administrative Agent to each Lender each of the following: </w:t>
      </w:r>
    </w:p>
    <w:p>
      <w:pPr>
        <w:pStyle w:val="TextBody"/>
        <w:bidi w:val="0"/>
        <w:spacing w:before="240" w:after="0"/>
        <w:jc w:val="left"/>
        <w:rPr>
          <w:rFonts w:ascii="Times New Roman" w:hAnsi="Times New Roman"/>
          <w:sz w:val="20"/>
        </w:rPr>
      </w:pPr>
      <w:r>
        <w:rPr>
          <w:rFonts w:ascii="Times New Roman" w:hAnsi="Times New Roman"/>
          <w:sz w:val="20"/>
        </w:rPr>
        <w:t>(a)</w:t>
      </w:r>
      <w:r>
        <w:rPr>
          <w:rFonts w:ascii="Times New Roman" w:hAnsi="Times New Roman"/>
          <w:sz w:val="20"/>
          <w:u w:val="single"/>
        </w:rPr>
        <w:t xml:space="preserve"> Compliance Certificate</w:t>
      </w:r>
      <w:r>
        <w:rPr>
          <w:rFonts w:ascii="Times New Roman" w:hAnsi="Times New Roman"/>
          <w:sz w:val="20"/>
        </w:rPr>
        <w:t xml:space="preserve">. No later than fifteen (15) Business Days after the delivery of the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a duly completed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VesselsValueTM Statemen</w:t>
      </w:r>
      <w:r>
        <w:rPr>
          <w:rFonts w:ascii="Times New Roman" w:hAnsi="Times New Roman"/>
          <w:sz w:val="20"/>
        </w:rPr>
        <w:t xml:space="preserve">t. Provided that VesselsValueTM (or any successor thereof) exists at the time such written request is received by the Borrower, within thirty (30) days of the reasonable written request of the Administrative Agent (or by such later date as the Administrative Agent may agree), a statement of the fair market value of each Vessel that is Collateral, as determined by VesselsValueTM (or any successor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 Filings</w:t>
      </w:r>
      <w:r>
        <w:rPr>
          <w:rFonts w:ascii="Times New Roman" w:hAnsi="Times New Roman"/>
          <w:sz w:val="20"/>
        </w:rPr>
        <w:t xml:space="preserve">. Concurrently with each Compliance Certificate, copies of all annual, regular, periodic and special reports, proxy statements and registration statements which the Borrower or any Restricted Subsidiary has filed with the SEC subsequent to the delivery of the immediately preceding Compliance Certificate (or, if prior to the delivery of the first Compliance Certificate, subsequent to the Closing Date)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Times New Roman" w:hAnsi="Times New Roman"/>
          <w:sz w:val="20"/>
          <w:u w:val="single"/>
        </w:rPr>
        <w:t>Section 6.02</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notwithstanding the foregoing, the obligations in this </w:t>
      </w:r>
      <w:r>
        <w:rPr>
          <w:rFonts w:ascii="Times New Roman" w:hAnsi="Times New Roman"/>
          <w:sz w:val="20"/>
          <w:u w:val="single"/>
        </w:rPr>
        <w:t>Section 6.02(b)</w:t>
      </w:r>
      <w:r>
        <w:rPr>
          <w:rFonts w:ascii="Times New Roman" w:hAnsi="Times New Roman"/>
          <w:sz w:val="20"/>
        </w:rPr>
        <w:t xml:space="preserve"> may be satisfied by causing such information to be publicly available on the SEC’s EDGAR website, another publicly available reporting service or the applicable regulator’s website.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Information Regarding Collateral</w:t>
      </w:r>
      <w:r>
        <w:rPr>
          <w:rFonts w:ascii="Times New Roman" w:hAnsi="Times New Roman"/>
          <w:sz w:val="20"/>
        </w:rPr>
        <w:t xml:space="preserve">. The Borrower will furnish to the Administrative Agent concurrently with each Compliance Certificate or by such later date as reasonably agreed to by the Administrative Agent, written notice of any change (i) in any Loan Party’s legal name (as set forth in its certificate of organization or like document) or (ii) in the location of any Loan Party’s chief executive office or the jurisdiction of incorporation or organization of any Loan Party or in the form of its organization, in each case, occurring subsequent to the delivery of the immediately preceding Compliance Certificate (or, if prior to the delivery of the first Compliance Certificate, subsequent to the Closing Date), in each case to the extent such information is necessary to enable the Collateral Agent to perfect or maintain the perfection or priority of its security interest in the Collateral of the relevant Loan Party.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Lender Calls</w:t>
      </w:r>
      <w:r>
        <w:rPr>
          <w:rFonts w:ascii="Times New Roman" w:hAnsi="Times New Roman"/>
          <w:sz w:val="20"/>
        </w:rPr>
        <w:t xml:space="preserve">. Upon the reasonable request of the Administrative Agent, following delivery of the financial statements pursuant to Sections 6.01(a) and (b) above, the Borrower shall promptly hold a conference call (at a time selected by the Borrower and reasonably acceptable to the Administrative Agent) with all Lenders (including both “public” and “private” side lenders) who choose to attend such conference call, at which call shall be reviewed the financial information presented in such financial statements; </w:t>
      </w:r>
      <w:r>
        <w:rPr>
          <w:rFonts w:ascii="Times New Roman" w:hAnsi="Times New Roman"/>
          <w:i/>
          <w:sz w:val="20"/>
        </w:rPr>
        <w:t xml:space="preserve">provided </w:t>
      </w:r>
      <w:r>
        <w:rPr>
          <w:rFonts w:ascii="Times New Roman" w:hAnsi="Times New Roman"/>
          <w:sz w:val="20"/>
        </w:rPr>
        <w:t xml:space="preserve">that in no event shall more than one such conference call be requested in any fiscal quarter; </w:t>
      </w:r>
      <w:r>
        <w:rPr>
          <w:rFonts w:ascii="Times New Roman" w:hAnsi="Times New Roman"/>
          <w:i/>
          <w:sz w:val="20"/>
        </w:rPr>
        <w:t>provided, further,</w:t>
      </w:r>
      <w:r>
        <w:rPr>
          <w:rFonts w:ascii="Times New Roman" w:hAnsi="Times New Roman"/>
          <w:sz w:val="20"/>
        </w:rPr>
        <w:t xml:space="preserve"> that the obligations of this </w:t>
      </w:r>
      <w:r>
        <w:rPr>
          <w:rFonts w:ascii="Times New Roman" w:hAnsi="Times New Roman"/>
          <w:sz w:val="20"/>
          <w:u w:val="single"/>
        </w:rPr>
        <w:t>Section 6.02</w:t>
      </w:r>
      <w:r>
        <w:rPr>
          <w:rFonts w:ascii="Times New Roman" w:hAnsi="Times New Roman"/>
          <w:sz w:val="20"/>
        </w:rPr>
        <w:t xml:space="preserve">(e) may be satisfied by (i) the Borrower holding a public earnings call in respect of such fiscal quarter or (ii) the Borrower inviting the Lenders to attend a conference call for such fiscal quarter with other holders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Other Information</w:t>
      </w:r>
      <w:r>
        <w:rPr>
          <w:rFonts w:ascii="Times New Roman" w:hAnsi="Times New Roman"/>
          <w:sz w:val="20"/>
        </w:rPr>
        <w:t xml:space="preserve">. Such additional information (a) regarding the business operations of any Loan Party or any Restricted Subsidiary as the Administrative Agent may from time to time on its own behalf or on behalf of the Required Lenders reasonably request and (b) as may be reasonably requested by the Administrative Agent or any Lender through the Administrative Agent for purposes of compliance with applicable “know your customer” and anti-money laundering rules and regulations, including the USA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6.01</w:t>
      </w:r>
      <w:r>
        <w:rPr>
          <w:rFonts w:ascii="Times New Roman" w:hAnsi="Times New Roman"/>
          <w:sz w:val="20"/>
        </w:rPr>
        <w:t xml:space="preserve"> or </w:t>
      </w:r>
      <w:r>
        <w:rPr>
          <w:rFonts w:ascii="Times New Roman" w:hAnsi="Times New Roman"/>
          <w:sz w:val="20"/>
          <w:u w:val="single"/>
        </w:rPr>
        <w:t>Section 6.02</w:t>
      </w:r>
      <w:r>
        <w:rPr>
          <w:rFonts w:ascii="Times New Roman" w:hAnsi="Times New Roman"/>
          <w:sz w:val="20"/>
        </w:rPr>
        <w:t xml:space="preserve"> may be delivered electronically and if so delivered, shall be deemed to have been delivered on the date (i) on which the Borrower (or any Qualified Reporting Subsidiary or Parent Entity) posts such documents, or provides a link thereto, on the Borrower’s (or any Qualified Reporting Subsidiary’s or Parent Entity’s) website on the Internet, or (ii) on which such documents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posted on the Borrower’s behalf on Syndtrak or another relevant website, if any, to which each Lender and the Administrative Agent have access (whether a commercial, third-party website or whether sponsored by the Administrative Agent). Each Lender shall be solely responsible for timely accessing posted documents or requesting delivery of paper copies of such documents from the Administrative Agent and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The Borrower hereby acknowledges that (a) the Administrative Agent and/or the Lead Arranger will make available to the Lenders materials and/or information provided by or on behalf of the Borrower hereunder (collectively, “</w:t>
      </w:r>
      <w:r>
        <w:rPr>
          <w:rFonts w:ascii="Times New Roman" w:hAnsi="Times New Roman"/>
          <w:b/>
          <w:sz w:val="20"/>
        </w:rPr>
        <w:t>Borrower Materials”)</w:t>
      </w:r>
      <w:r>
        <w:rPr>
          <w:rFonts w:ascii="Times New Roman" w:hAnsi="Times New Roman"/>
          <w:sz w:val="20"/>
        </w:rPr>
        <w:t xml:space="preserve"> by posting the Borrower Materials on Syndtrak or another similar electronic system (the “</w:t>
      </w:r>
      <w:r>
        <w:rPr>
          <w:rFonts w:ascii="Times New Roman" w:hAnsi="Times New Roman"/>
          <w:b/>
          <w:sz w:val="20"/>
        </w:rPr>
        <w:t>Platform</w:t>
      </w:r>
      <w:r>
        <w:rPr>
          <w:rFonts w:ascii="Times New Roman" w:hAnsi="Times New Roman"/>
          <w:sz w:val="20"/>
        </w:rPr>
        <w:t>”) and (b) certain of the Lenders may have personnel who do not wish to receive any information with respect to the Borrower or its Subsidiaries, or the respective securities of any of the foregoing, that is not Public-Side Information, and who may be engaged in investment and other market-related activities with respect to such Person’s securities. The Borrower hereby agrees that (i) all Borrower Materials that are to be made available to Public Lenders shall be clearly and conspicuously marked “PUBLIC” which, at a minimum, shall mean that the word “PUBLIC” shall appear prominently on the first page thereof (and by doing so shall be deemed to have represented that such information contains only Public-Side Information); (ii) by marking Borrower Materials “PUBLIC,” the Borrower shall be deemed to have authorized the Administrative Agent, the Lead Arranger and the Lenders to treat such Borrower Materials as containing only Public-Side Information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such Borrower Materials constitute Information, they shall be treated as set forth in </w:t>
      </w:r>
      <w:r>
        <w:rPr>
          <w:rFonts w:ascii="Times New Roman" w:hAnsi="Times New Roman"/>
          <w:sz w:val="20"/>
          <w:u w:val="single"/>
        </w:rPr>
        <w:t>Section 11.08</w:t>
      </w:r>
      <w:r>
        <w:rPr>
          <w:rFonts w:ascii="Times New Roman" w:hAnsi="Times New Roman"/>
          <w:sz w:val="20"/>
        </w:rPr>
        <w:t xml:space="preserve">); (iii) all Borrower Materials marked “PUBLIC” are permitted to be made available through a portion of the Platform designated “Public-Side Information”; and (iv) the Administrative Agent and the Lead Arranger shall treat any Borrower Materials that are not marked “PUBLIC” as being suitable only for posting on a portion of the Platform not designated “Public-Side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foregoing shall be subject to the provisions of </w:t>
      </w:r>
      <w:r>
        <w:rPr>
          <w:rFonts w:ascii="Times New Roman" w:hAnsi="Times New Roman"/>
          <w:sz w:val="20"/>
          <w:u w:val="single"/>
        </w:rPr>
        <w:t>Section 11.08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Notices</w:t>
      </w:r>
      <w:r>
        <w:rPr>
          <w:rFonts w:ascii="Times New Roman" w:hAnsi="Times New Roman"/>
          <w:sz w:val="20"/>
        </w:rPr>
        <w:t xml:space="preserve">. Promptly after a Responsible Officer obtains actual knowledge thereof, notify the Administrative Agent for prompt further notification by the Administrative Agent to each Lender of: </w:t>
      </w:r>
    </w:p>
    <w:p>
      <w:pPr>
        <w:pStyle w:val="TextBody"/>
        <w:bidi w:val="0"/>
        <w:spacing w:before="240" w:after="0"/>
        <w:jc w:val="left"/>
        <w:rPr>
          <w:rFonts w:ascii="Times New Roman" w:hAnsi="Times New Roman"/>
          <w:sz w:val="20"/>
        </w:rPr>
      </w:pPr>
      <w:r>
        <w:rPr>
          <w:rFonts w:ascii="Times New Roman" w:hAnsi="Times New Roman"/>
          <w:sz w:val="20"/>
        </w:rPr>
        <w:t xml:space="preserve">(a) the occurrence and continuation of any Default or Event of Default; and </w:t>
      </w:r>
    </w:p>
    <w:p>
      <w:pPr>
        <w:pStyle w:val="TextBody"/>
        <w:bidi w:val="0"/>
        <w:spacing w:before="240" w:after="0"/>
        <w:jc w:val="left"/>
        <w:rPr>
          <w:rFonts w:ascii="Times New Roman" w:hAnsi="Times New Roman"/>
          <w:sz w:val="20"/>
        </w:rPr>
      </w:pPr>
      <w:r>
        <w:rPr>
          <w:rFonts w:ascii="Times New Roman" w:hAnsi="Times New Roman"/>
          <w:sz w:val="20"/>
        </w:rPr>
        <w:t xml:space="preserve">(b) (i) any dispute, litigation, investigation or proceeding between the Borrower or any Restricted Subsidiary and any arbitrator or Governmental Authority or (ii) the filing or commencement of, or any material development in, any litigation or proceeding affecting the Borrower or any Restricted Subsidiary, or (iii) the occurrence of any ERISA Event or Foreign Plan Event that, in any such case referred to in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 xml:space="preserve">(ii) </w:t>
      </w:r>
      <w:r>
        <w:rPr>
          <w:rFonts w:ascii="Times New Roman" w:hAnsi="Times New Roman"/>
          <w:sz w:val="20"/>
        </w:rPr>
        <w:t xml:space="preserve">or </w:t>
      </w:r>
      <w:r>
        <w:rPr>
          <w:rFonts w:ascii="Times New Roman" w:hAnsi="Times New Roman"/>
          <w:sz w:val="20"/>
          <w:u w:val="single"/>
        </w:rPr>
        <w:t>(iii)</w:t>
      </w:r>
      <w:r>
        <w:rPr>
          <w:rFonts w:ascii="Times New Roman" w:hAnsi="Times New Roman"/>
          <w:sz w:val="20"/>
        </w:rPr>
        <w:t xml:space="preserve"> has resulted, or has a reasonable probability of being determined adversely and could reasonably be expected, individually or in the aggregate,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notice pursuant to this </w:t>
      </w:r>
      <w:r>
        <w:rPr>
          <w:rFonts w:ascii="Times New Roman" w:hAnsi="Times New Roman"/>
          <w:sz w:val="20"/>
          <w:u w:val="single"/>
        </w:rPr>
        <w:t>Section 6.03</w:t>
      </w:r>
      <w:r>
        <w:rPr>
          <w:rFonts w:ascii="Times New Roman" w:hAnsi="Times New Roman"/>
          <w:sz w:val="20"/>
        </w:rPr>
        <w:t xml:space="preserve"> shall be accompanied by a written statement of a Responsible Officer of the Borrower setting forth a summary description of the occurrence referred to therein and stating what action the Borrower has taken and proposes to take with respect thereto. For the avoidance of doubt, the foregoing shall be subject to the provisions of </w:t>
      </w:r>
      <w:r>
        <w:rPr>
          <w:rFonts w:ascii="Times New Roman" w:hAnsi="Times New Roman"/>
          <w:sz w:val="20"/>
          <w:u w:val="single"/>
        </w:rPr>
        <w:t>Section 11.08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Payment of Certain Taxes</w:t>
      </w:r>
      <w:r>
        <w:rPr>
          <w:rFonts w:ascii="Times New Roman" w:hAnsi="Times New Roman"/>
          <w:sz w:val="20"/>
        </w:rPr>
        <w:t xml:space="preserve">. Pay, discharge or otherwise satisfy, as the same shall become due and payable, all obligations and liabilities in respect of Taxes imposed upon it or upon its income or profits or in respect of its property, except, in each case, to the extent (a) any such Tax, assessment, charge or levy is being contested in good faith and by appropriate actions diligently conducted and for which appropriate reserves have been established in accordance with GAAP or (b) the failure to pay, discharge or otherwise satisfy the same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Preservation of Existence of the Borrower</w:t>
      </w:r>
      <w:r>
        <w:rPr>
          <w:rFonts w:ascii="Times New Roman" w:hAnsi="Times New Roman"/>
          <w:sz w:val="20"/>
        </w:rPr>
        <w:t xml:space="preserve">. Preserve, renew and maintain in full force and effect its legal existence under the Laws of the jurisdiction of its incorporation or organization, except as otherwise expressly permitted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Maintenance of Propertie</w:t>
      </w:r>
      <w:r>
        <w:rPr>
          <w:rFonts w:ascii="Times New Roman" w:hAnsi="Times New Roman"/>
          <w:sz w:val="20"/>
        </w:rPr>
        <w:t xml:space="preserve">s. Maintain, preserve and protect all of its material properties and equipment used in the operation of its business in good working order, repair and condition (ordinary wear and tear excepted and casualty or condemnation excepted), except to the extent the failure to do so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Maintenance of Insuranc</w:t>
      </w:r>
      <w:r>
        <w:rPr>
          <w:rFonts w:ascii="Times New Roman" w:hAnsi="Times New Roman"/>
          <w:sz w:val="20"/>
        </w:rPr>
        <w:t xml:space="preserve">e. </w:t>
      </w:r>
    </w:p>
    <w:p>
      <w:pPr>
        <w:pStyle w:val="TextBody"/>
        <w:bidi w:val="0"/>
        <w:spacing w:before="120" w:after="0"/>
        <w:jc w:val="left"/>
        <w:rPr>
          <w:rFonts w:ascii="Times New Roman" w:hAnsi="Times New Roman"/>
          <w:sz w:val="20"/>
        </w:rPr>
      </w:pPr>
      <w:r>
        <w:rPr>
          <w:rFonts w:ascii="Times New Roman" w:hAnsi="Times New Roman"/>
          <w:sz w:val="20"/>
        </w:rPr>
        <w:t xml:space="preserve">(a) Maintain or cause to be maintained with insurance companies that the Borrower believe (in the good faith judgment of their management) are financially sound and reputable at the time the relevant coverage is placed or renewed or with a Captive Insurance Subsidiary, insurance with respect to its properties and business against loss or damage of the kinds customarily insured against by Persons engaged in the same or similar business and of such types and in such amounts (after giving effect to any self-insurance) as are customarily carried under similar circumstances by such other Persons, and furnish to the Administrative Agent, which, absent a continuing Event of Default, shall not be made more than once in any twelve month period, upon reasonable written request from the Administrative Agent, information presented in reasonable detail as to the insurance so carried. </w:t>
      </w:r>
      <w:r>
        <w:rPr>
          <w:rFonts w:ascii="Times New Roman" w:hAnsi="Times New Roman"/>
          <w:sz w:val="20"/>
          <w:u w:val="single"/>
        </w:rPr>
        <w:t>Schedule 6.07</w:t>
      </w:r>
      <w:r>
        <w:rPr>
          <w:rFonts w:ascii="Times New Roman" w:hAnsi="Times New Roman"/>
          <w:sz w:val="20"/>
        </w:rPr>
        <w:t xml:space="preserve"> sets forth a true, complete and accurate description of all material insurance maintained by or on behalf of the Borrower or the other Loan Parties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Following the Initial Funding Date, the Borrower shall use commercially reasonable efforts such that each such policy of insurance (as appropriate and is customary and with respect to jurisdictions outside the United States, to the extent available in such jurisdiction without undue cost or expense), </w:t>
      </w:r>
    </w:p>
    <w:p>
      <w:pPr>
        <w:pStyle w:val="TextBody"/>
        <w:bidi w:val="0"/>
        <w:spacing w:before="120" w:after="0"/>
        <w:jc w:val="left"/>
        <w:rPr>
          <w:rFonts w:ascii="Times New Roman" w:hAnsi="Times New Roman"/>
          <w:sz w:val="20"/>
        </w:rPr>
      </w:pPr>
      <w:r>
        <w:rPr>
          <w:rFonts w:ascii="Times New Roman" w:hAnsi="Times New Roman"/>
          <w:sz w:val="20"/>
        </w:rPr>
        <w:t xml:space="preserve">(i) (A) names the Collateral Agent and the Administrative Agent, on behalf of the Secured Parties, as an additional insured thereunder (with respect to liability insurance) and/or (B) to the extent covering Collateral in the case of property insurance, contains a loss payable clause or endorsement that names the Collateral Agent and the Administrative Agent, on behalf of the Secured Parties, as the loss payee thereunder;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provides that it shall not be cancelled, modified (such modification, to the extent causing a material impairment or otherwise adverse effect on the interests of the Lenders) or not renewed (x) by reason of nonpayment of premium except upon not less than 10 days’ prior written notice thereof by the insurer to the Administrative Agent (giving the Administrative Agent the right to cure defaults in the payment of premiums) or (y) for any other reason except upon not less than thirty (30) days’ prior written notice thereof by the insurer to the Administrative Agent. The Borrower shall deliver to the Administrative Agent, prior to the cancellation, modification (such modification, to the extent causing a material impairment or otherwise adverse effect on the interests of the Lenders) or non-renewal of any such policy of insurance, a copy of a renewal or replacement policy (or other evidence of renewal of a policy previously delivered to the Administrative Agent, including an insurance binder) together with evidence reasonably satisfactory to the Administrative Agent of payment of the premium therefor;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(A) absent a Specified Event of Default that is continuing, any proceeds of any insurance shall be delivered by the insurer(s) to the Borrower or one of their Subsidiaries and applied in accordance with this Agreement and (B) this </w:t>
      </w:r>
      <w:r>
        <w:rPr>
          <w:rFonts w:ascii="Times New Roman" w:hAnsi="Times New Roman"/>
          <w:sz w:val="20"/>
          <w:u w:val="single"/>
        </w:rPr>
        <w:t>Section 6.07(b)</w:t>
      </w:r>
      <w:r>
        <w:rPr>
          <w:rFonts w:ascii="Times New Roman" w:hAnsi="Times New Roman"/>
          <w:sz w:val="20"/>
        </w:rPr>
        <w:t xml:space="preserve"> shall not be applicable to (1) business interruption insurance, workers’ compensation policies, employee liability policies, fiduciary policies, directors and officers policies and certain other policies as agreed between the Borrower and the Administrative Agent or (2) the extent unavailable from the relevant insurer after the Borrower’s use of their commercially reasonable efforts.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Compliance with Laws</w:t>
      </w:r>
      <w:r>
        <w:rPr>
          <w:rFonts w:ascii="Times New Roman" w:hAnsi="Times New Roman"/>
          <w:sz w:val="20"/>
        </w:rPr>
        <w:t xml:space="preserve">. Comply with the requirements of all Laws (including applicable ERISA-related laws and all Environmental Laws) and all orders, writs, injunctions and decrees of any Governmental Authority applicable to it or to its business or property, except to the extent the failure to comply therewith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SECTION 6.09</w:t>
      </w:r>
      <w:r>
        <w:rPr>
          <w:rFonts w:ascii="Times New Roman" w:hAnsi="Times New Roman"/>
          <w:sz w:val="20"/>
          <w:u w:val="single"/>
        </w:rPr>
        <w:t xml:space="preserve"> Books and Records</w:t>
      </w:r>
      <w:r>
        <w:rPr>
          <w:rFonts w:ascii="Times New Roman" w:hAnsi="Times New Roman"/>
          <w:sz w:val="20"/>
        </w:rPr>
        <w:t xml:space="preserve">. Maintain proper books of record and account in which entries that are full, true and correct in all material respects shall be made of all material financial transactions and material matters involving the assets and business of the Borrower or such Restricted Subsidiary, as the case may be (it being understood and agreed that Foreign Subsidiaries may maintain individual books and records in conformity with generally accepted accounting principles in their respective countries of organization or operations and that such maintenance shall not constitute a breach of the representations, warranties or covenants hereunder), in each case, to the extent necessary to prepare the financial statements described in Sections 6.01(a) and 6.01(b).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Inspection Rights</w:t>
      </w:r>
      <w:r>
        <w:rPr>
          <w:rFonts w:ascii="Times New Roman" w:hAnsi="Times New Roman"/>
          <w:sz w:val="20"/>
        </w:rPr>
        <w:t xml:space="preserve">. Subject to </w:t>
      </w:r>
      <w:r>
        <w:rPr>
          <w:rFonts w:ascii="Times New Roman" w:hAnsi="Times New Roman"/>
          <w:sz w:val="20"/>
          <w:u w:val="single"/>
        </w:rPr>
        <w:t>Section 6.19(h)</w:t>
      </w:r>
      <w:r>
        <w:rPr>
          <w:rFonts w:ascii="Times New Roman" w:hAnsi="Times New Roman"/>
          <w:sz w:val="20"/>
        </w:rPr>
        <w:t xml:space="preserve"> in respect of Vessels, permit representatives of the Administrative Agent and the Required Lenders to visit and inspect any of their properties (subject to the rights of lessees or sublessees thereof and subject to any restrictions or limitations in the applicable lease, sublease or other written occupancy arrangement pursuant to which any such Subsidiary party), to examine its corporate,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operating records, and make copies thereof or abstracts therefrom and to discuss its affairs, finances and accounts with its directors, officers, and independent public accountants (subject to such accountants’ policies and procedures), all at the reasonable expense of the Borrower and at such reasonable times during normal business hours and as often as may be reasonably desired, upon reasonable advance written notice to the Borrower; </w:t>
      </w:r>
      <w:r>
        <w:rPr>
          <w:rFonts w:ascii="Times New Roman" w:hAnsi="Times New Roman"/>
          <w:i/>
          <w:sz w:val="20"/>
        </w:rPr>
        <w:t xml:space="preserve">provided </w:t>
      </w:r>
      <w:r>
        <w:rPr>
          <w:rFonts w:ascii="Times New Roman" w:hAnsi="Times New Roman"/>
          <w:sz w:val="20"/>
        </w:rPr>
        <w:t xml:space="preserve">that, (a) excluding any such visits and inspections during the continuation of an Event of Default, only the Administrative Agent on behalf of the Lenders may exercise rights under this </w:t>
      </w:r>
      <w:r>
        <w:rPr>
          <w:rFonts w:ascii="Times New Roman" w:hAnsi="Times New Roman"/>
          <w:sz w:val="20"/>
          <w:u w:val="single"/>
        </w:rPr>
        <w:t>Section 6.10</w:t>
      </w:r>
      <w:r>
        <w:rPr>
          <w:rFonts w:ascii="Times New Roman" w:hAnsi="Times New Roman"/>
          <w:sz w:val="20"/>
        </w:rPr>
        <w:t xml:space="preserve"> and the Administrative Agent shall not exercise such rights more often than two times during any calendar year absent the continuation of an Event of Default and one such time shall be at the Borrower’s expense and (b) when an Event of Default is continuing, the Administrative Agent or the Required Lenders (or any of their respective representatives) may do any of the foregoing at the expense of the Borrower at any time during normal business hours and upon reasonable advance written notice. Notwithstanding anything to the contrary in this </w:t>
      </w:r>
      <w:r>
        <w:rPr>
          <w:rFonts w:ascii="Times New Roman" w:hAnsi="Times New Roman"/>
          <w:sz w:val="20"/>
          <w:u w:val="single"/>
        </w:rPr>
        <w:t>Section 6.10</w:t>
      </w:r>
      <w:r>
        <w:rPr>
          <w:rFonts w:ascii="Times New Roman" w:hAnsi="Times New Roman"/>
          <w:sz w:val="20"/>
        </w:rPr>
        <w:t xml:space="preserve">, none of the Loan Parties or their Restricted Subsidiaries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The Administrative Agent shall give the Borrower the opportunity to participate in any discussions with the Borrower’s independent public accountants. For the avoidance of doubt, the foregoing shall be subject to the provisions of </w:t>
      </w:r>
      <w:r>
        <w:rPr>
          <w:rFonts w:ascii="Times New Roman" w:hAnsi="Times New Roman"/>
          <w:sz w:val="20"/>
          <w:u w:val="single"/>
        </w:rPr>
        <w:t>Section 11.08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Covenant to Guarantee Obligations and Give Security</w:t>
      </w:r>
      <w:r>
        <w:rPr>
          <w:rFonts w:ascii="Times New Roman" w:hAnsi="Times New Roman"/>
          <w:sz w:val="20"/>
        </w:rPr>
        <w:t xml:space="preserve">. At the Borrower’s expense, subject to any applicable limitation in any Loan Document (including </w:t>
      </w:r>
      <w:r>
        <w:rPr>
          <w:rFonts w:ascii="Times New Roman" w:hAnsi="Times New Roman"/>
          <w:sz w:val="20"/>
          <w:u w:val="single"/>
        </w:rPr>
        <w:t>Section 6.12</w:t>
      </w:r>
      <w:r>
        <w:rPr>
          <w:rFonts w:ascii="Times New Roman" w:hAnsi="Times New Roman"/>
          <w:sz w:val="20"/>
        </w:rPr>
        <w:t xml:space="preserve">), take the following actions: </w:t>
      </w:r>
    </w:p>
    <w:p>
      <w:pPr>
        <w:pStyle w:val="TextBody"/>
        <w:bidi w:val="0"/>
        <w:spacing w:before="240" w:after="0"/>
        <w:jc w:val="left"/>
        <w:rPr>
          <w:rFonts w:ascii="Times New Roman" w:hAnsi="Times New Roman"/>
          <w:sz w:val="20"/>
        </w:rPr>
      </w:pPr>
      <w:r>
        <w:rPr>
          <w:rFonts w:ascii="Times New Roman" w:hAnsi="Times New Roman"/>
          <w:sz w:val="20"/>
        </w:rPr>
        <w:t xml:space="preserve">(a) within forty-five (45) days of the occurrence of any Grant Event (or such longer period as the Administrative Agent may agree in its reasonable discretion), </w:t>
      </w:r>
    </w:p>
    <w:p>
      <w:pPr>
        <w:pStyle w:val="TextBody"/>
        <w:bidi w:val="0"/>
        <w:spacing w:before="120" w:after="0"/>
        <w:jc w:val="left"/>
        <w:rPr>
          <w:rFonts w:ascii="Times New Roman" w:hAnsi="Times New Roman"/>
          <w:sz w:val="20"/>
        </w:rPr>
      </w:pPr>
      <w:r>
        <w:rPr>
          <w:rFonts w:ascii="Times New Roman" w:hAnsi="Times New Roman"/>
          <w:sz w:val="20"/>
        </w:rPr>
        <w:t xml:space="preserve">(i) cause the Restricted Subsidiary subject of the Grant Event to execute and deliver the Guaranty (or a joinder thereto); </w:t>
      </w:r>
    </w:p>
    <w:p>
      <w:pPr>
        <w:pStyle w:val="TextBody"/>
        <w:bidi w:val="0"/>
        <w:spacing w:before="120" w:after="0"/>
        <w:jc w:val="left"/>
        <w:rPr>
          <w:rFonts w:ascii="Times New Roman" w:hAnsi="Times New Roman"/>
          <w:sz w:val="20"/>
        </w:rPr>
      </w:pPr>
      <w:r>
        <w:rPr>
          <w:rFonts w:ascii="Times New Roman" w:hAnsi="Times New Roman"/>
          <w:sz w:val="20"/>
        </w:rPr>
        <w:t xml:space="preserve">(ii) cause the Restricted Subsidiary subject of the Grant Event to execute and deliver the Collateral Agreement (or a supplement thereto, including a Collateral Agreement Supplement); </w:t>
      </w:r>
    </w:p>
    <w:p>
      <w:pPr>
        <w:pStyle w:val="TextBody"/>
        <w:bidi w:val="0"/>
        <w:spacing w:before="120" w:after="0"/>
        <w:jc w:val="left"/>
        <w:rPr>
          <w:rFonts w:ascii="Times New Roman" w:hAnsi="Times New Roman"/>
          <w:sz w:val="20"/>
        </w:rPr>
      </w:pPr>
      <w:r>
        <w:rPr>
          <w:rFonts w:ascii="Times New Roman" w:hAnsi="Times New Roman"/>
          <w:sz w:val="20"/>
        </w:rPr>
        <w:t xml:space="preserve">(iii) cause the Restricted Subsidiary subject of the Grant Event to execute and deliver, to the extent applicable, the Vessel Mortgage;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cause the Restricted Subsidiary subject of the Grant Event (and any Loan Party of which such Restricted Subsidiary is a direct Subsidiary) to (A) if such Restricted Subsidiary has “opted into” Article 8 of the Uniform Commercial Code, deliver any and all certificates representing its Equity Interests (to the extent certificated) that constitute Collateral and are required to be pledged pursuant to the Collateral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accompanied by undated stock powers or other appropriate instruments of transfer executed in blank (or any other documents customary under local law), (B) [reserved] and (C) deliver all instruments evidencing Indebtedness held by such Restricted Subsidiary that constitute Collateral and are required to be pledged pursuant to the Collateral Agreement, endorsed in blank, to the Collateral Agent; and </w:t>
      </w:r>
    </w:p>
    <w:p>
      <w:pPr>
        <w:pStyle w:val="TextBody"/>
        <w:bidi w:val="0"/>
        <w:spacing w:before="120" w:after="0"/>
        <w:jc w:val="left"/>
        <w:rPr>
          <w:rFonts w:ascii="Times New Roman" w:hAnsi="Times New Roman"/>
          <w:sz w:val="20"/>
        </w:rPr>
      </w:pPr>
      <w:r>
        <w:rPr>
          <w:rFonts w:ascii="Times New Roman" w:hAnsi="Times New Roman"/>
          <w:sz w:val="20"/>
        </w:rPr>
        <w:t xml:space="preserve">(vi) upon the reasonable request of the Administrative Agent, take and cause the Restricted Subsidiary the subject of the Grant Event and each direct or indirect parent of such Restricted Subsidiary that is required to become a Guarantor pursuant to the Collateral Agreement that holds Equity Interests in such Restricted Subsidiary to take such customary actions as may be necessary in the reasonable opinion of the Administrative Agent to vest in the Collateral Agent (or in any representative of the Collateral Agent designated by it) perfected Liens (subject to Permitted Liens) in the Equity Interests of such Restricted Subsidiary and the personal property of such Restricted Subsidiary to the extent required by the Loan Documents, enforceable against all third parties in accordance with their terms, except as such enforceability may be limited by Debtor Relief Laws and by general principles of equity (regardless of whether enforcement is sought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Control Agreements</w:t>
      </w:r>
      <w:r>
        <w:rPr>
          <w:rFonts w:ascii="Times New Roman" w:hAnsi="Times New Roman"/>
          <w:sz w:val="20"/>
        </w:rPr>
        <w:t xml:space="preserve">. Subject to </w:t>
      </w:r>
      <w:r>
        <w:rPr>
          <w:rFonts w:ascii="Times New Roman" w:hAnsi="Times New Roman"/>
          <w:sz w:val="20"/>
          <w:u w:val="single"/>
        </w:rPr>
        <w:t>Section 6.15</w:t>
      </w:r>
      <w:r>
        <w:rPr>
          <w:rFonts w:ascii="Times New Roman" w:hAnsi="Times New Roman"/>
          <w:sz w:val="20"/>
        </w:rPr>
        <w:t xml:space="preserve"> and other than with respect to Excluded Accounts, maintain at all times all cash and Cash Equivalents of the Borrower and any Loan Parties in Deposit Accounts or Securities Accounts with either (i) any financial institution that is a Lender or an Affiliate of a Lender or (ii) any financial institution that has entered into a Control Agreement; </w:t>
      </w:r>
      <w:r>
        <w:rPr>
          <w:rFonts w:ascii="Times New Roman" w:hAnsi="Times New Roman"/>
          <w:i/>
          <w:sz w:val="20"/>
        </w:rPr>
        <w:t>provided, however,</w:t>
      </w:r>
      <w:r>
        <w:rPr>
          <w:rFonts w:ascii="Times New Roman" w:hAnsi="Times New Roman"/>
          <w:sz w:val="20"/>
        </w:rPr>
        <w:t xml:space="preserve"> this </w:t>
      </w:r>
      <w:r>
        <w:rPr>
          <w:rFonts w:ascii="Times New Roman" w:hAnsi="Times New Roman"/>
          <w:sz w:val="20"/>
          <w:u w:val="single"/>
        </w:rPr>
        <w:t>clause (c)</w:t>
      </w:r>
      <w:r>
        <w:rPr>
          <w:rFonts w:ascii="Times New Roman" w:hAnsi="Times New Roman"/>
          <w:sz w:val="20"/>
        </w:rPr>
        <w:t> shall not apply with respect to any Deposit Accounts or Securities Accounts of any Loan Party existing as of the Initial Funding Date (or such longer period as the Administrative Agent may consent to in its sole discretion) and, in respect of any other Deposit Account or Securities Account opened or acquired after the Closing Date, for a period of sixty (60) days after the date of opening or acquisition thereof and, in respect of any Deposit Accounts or Securities Account of any Loan Party that cease to be held with a Lender or an Affiliate of a Lender on account of the applicable Lender ceasing to be a Lender, within sixty (60) days after the Borrower receives written notice that such Lender has ceased to be a Lender hereunder (each such bank account, a “</w:t>
      </w:r>
      <w:r>
        <w:rPr>
          <w:rFonts w:ascii="Times New Roman" w:hAnsi="Times New Roman"/>
          <w:b/>
          <w:sz w:val="20"/>
        </w:rPr>
        <w:t>Blocked Account”)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Vessel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Within thirty (30) days of the acquisition (including by way of construction or through a Permitted Asset Swap) (or by such later date as the Administrative Agent may agree to in its sole discretion) by the Borrower or any Restricted Subsidiary of any Vessel (excluding any Excluded Vessel) the Borrower or such Restricted Subsidiary shall mortgage, substantially on terms and conditions set forth in the Vessel Mortgage (or the applicable foreign law equivalent in form and substance reasonably acceptable to the Borrower, the Administrative Agent and Collateral Agent), such Vessel so as to grant to the Collateral Agent, for the ratable benefit of the Secured Parties, Vessel Mortgage Liens (or the foreign equivalent in form and substance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acceptable to the Borrower, the Administrative Agent and Collateral Agent) thereon and first priority (subject to Permitted Liens) security interests (or the foreign equivalent in form and substance reasonably acceptable to the Borrower, the Administrative Agent and Collateral Agent) in all related property; </w:t>
      </w:r>
      <w:r>
        <w:rPr>
          <w:rFonts w:ascii="Times New Roman" w:hAnsi="Times New Roman"/>
          <w:i/>
          <w:sz w:val="20"/>
        </w:rPr>
        <w:t>provided,</w:t>
      </w:r>
      <w:r>
        <w:rPr>
          <w:rFonts w:ascii="Times New Roman" w:hAnsi="Times New Roman"/>
          <w:sz w:val="20"/>
        </w:rPr>
        <w:t xml:space="preserve"> that notwithstanding anything to the contrary in </w:t>
      </w:r>
      <w:r>
        <w:rPr>
          <w:rFonts w:ascii="Times New Roman" w:hAnsi="Times New Roman"/>
          <w:sz w:val="20"/>
          <w:u w:val="single"/>
        </w:rPr>
        <w:t>Section 6.11(a)</w:t>
      </w:r>
      <w:r>
        <w:rPr>
          <w:rFonts w:ascii="Times New Roman" w:hAnsi="Times New Roman"/>
          <w:sz w:val="20"/>
        </w:rPr>
        <w:t xml:space="preserve">, if the Restricted Subsidiary that has acquired any such Vessel that is required to become Collateral is not already a Guarantor, such Restricted Subsidiary of the Borrower shall become a Guarantor. No Loan Party shall be required to grant a Lien in any Excluded Vessel to the Collateral Agent for the benefit of the Secured Parties; provided, however, any Loan Party or Restricted Subsidiary may elect to grant a Lien in any Excluded Vessel to the Collateral Agent for the benefit of the Secured Parties, including for purposes of including any such Vessel in the calculation of the Collateral Coverage Ratio and the RCF Collateral Coverage Ratio. In the event any Loan Party or Restricted Subsidiary makes such election, such Loan Party or Restricted Subsidiary shall satisfy the requirements of this </w:t>
      </w:r>
      <w:r>
        <w:rPr>
          <w:rFonts w:ascii="Times New Roman" w:hAnsi="Times New Roman"/>
          <w:sz w:val="20"/>
          <w:u w:val="single"/>
        </w:rPr>
        <w:t>Section 6.11(d)</w:t>
      </w:r>
      <w:r>
        <w:rPr>
          <w:rFonts w:ascii="Times New Roman" w:hAnsi="Times New Roman"/>
          <w:sz w:val="20"/>
        </w:rPr>
        <w:t xml:space="preserve"> in respect of such Vessels (assuming, for such purpose, that such Vessel does not constitute an Excluded Vessel).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Further Assurances</w:t>
      </w:r>
      <w:r>
        <w:rPr>
          <w:rFonts w:ascii="Times New Roman" w:hAnsi="Times New Roman"/>
          <w:sz w:val="20"/>
        </w:rPr>
        <w:t xml:space="preserve">. Subject to </w:t>
      </w:r>
      <w:r>
        <w:rPr>
          <w:rFonts w:ascii="Times New Roman" w:hAnsi="Times New Roman"/>
          <w:sz w:val="20"/>
          <w:u w:val="single"/>
        </w:rPr>
        <w:t>Section 6.11</w:t>
      </w:r>
      <w:r>
        <w:rPr>
          <w:rFonts w:ascii="Times New Roman" w:hAnsi="Times New Roman"/>
          <w:sz w:val="20"/>
        </w:rPr>
        <w:t xml:space="preserve"> and any applicable limitations in any Loan Document, and in each case at the expense of the Borrower, promptly upon the reasonable request by the Administrative Agent or Collateral Agent (a) correct any material defect or error that may be discovered in the execution, acknowledgment, filing, publication or recordation of any Collateral Document or other document or instrument relating to any Collateral and (b) do, execute, acknowledge, deliver, record, re-record, file, re-file, register, re-register, publish and re-publish any and all such further acts, deeds, certificates, assurances and other instruments as the Administrative Agent or Collateral Agent may reasonably request from time to time in order to carry out more effectively the purposes of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any Loan Document, unless otherwise expressly elected by the Borrower, none of the Borrower nor any Restricted Subsidiary will be required to, nor will the Administrative Agent or the Collateral Agent be authorized, </w:t>
      </w:r>
    </w:p>
    <w:p>
      <w:pPr>
        <w:pStyle w:val="TextBody"/>
        <w:bidi w:val="0"/>
        <w:spacing w:before="120" w:after="0"/>
        <w:jc w:val="left"/>
        <w:rPr>
          <w:rFonts w:ascii="Times New Roman" w:hAnsi="Times New Roman"/>
          <w:sz w:val="20"/>
        </w:rPr>
      </w:pPr>
      <w:r>
        <w:rPr>
          <w:rFonts w:ascii="Times New Roman" w:hAnsi="Times New Roman"/>
          <w:sz w:val="20"/>
        </w:rPr>
        <w:t xml:space="preserve">(a) to perfect security interests in the Collateral other than by, </w:t>
      </w:r>
    </w:p>
    <w:p>
      <w:pPr>
        <w:pStyle w:val="TextBody"/>
        <w:bidi w:val="0"/>
        <w:spacing w:before="120" w:after="0"/>
        <w:jc w:val="left"/>
        <w:rPr>
          <w:rFonts w:ascii="Times New Roman" w:hAnsi="Times New Roman"/>
          <w:sz w:val="20"/>
        </w:rPr>
      </w:pPr>
      <w:r>
        <w:rPr>
          <w:rFonts w:ascii="Times New Roman" w:hAnsi="Times New Roman"/>
          <w:sz w:val="20"/>
        </w:rPr>
        <w:t xml:space="preserve">(i) “all asset” filings pursuant to the Uniform Commercial Code in the office of the secretary of state (or similar central filing office) of the relevant state(s) and filing and filings in the applicable real estate records with respect to any applicable real property pursuant to </w:t>
      </w:r>
      <w:r>
        <w:rPr>
          <w:rFonts w:ascii="Times New Roman" w:hAnsi="Times New Roman"/>
          <w:sz w:val="20"/>
          <w:u w:val="single"/>
        </w:rPr>
        <w:t>Section 6.11(b)</w:t>
      </w:r>
      <w:r>
        <w:rPr>
          <w:rFonts w:ascii="Times New Roman" w:hAnsi="Times New Roman"/>
          <w:sz w:val="20"/>
        </w:rPr>
        <w:t xml:space="preserv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the Vessel Mortgage in respect of Vessel Collateral;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delivery to the Administrative Agent or Collateral Agent to be held in its possession of all Collateral consisting of (A) certificates representing Pledged Equity, and (B) all promissory notes and other instruments constituting Collateral; </w:t>
      </w:r>
      <w:r>
        <w:rPr>
          <w:rFonts w:ascii="Times New Roman" w:hAnsi="Times New Roman"/>
          <w:i/>
          <w:sz w:val="20"/>
        </w:rPr>
        <w:t xml:space="preserve">provided </w:t>
      </w:r>
      <w:r>
        <w:rPr>
          <w:rFonts w:ascii="Times New Roman" w:hAnsi="Times New Roman"/>
          <w:sz w:val="20"/>
        </w:rPr>
        <w:t xml:space="preserve">that promissory notes and instruments having an aggregate principal amount equal to or less than the greater of 5% of Closing Date Consolidated Net Tangible Assets and 5% of Consolidated Net Tangible Assets determined as of the most recently completed fiscal quarter need not be delivered to the Collateral Agent; in each case, in the manner provided in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(b) to enter into any control agreement, lockbox or similar arrangement with respect to any commodities account or other bank account (other than a Deposit Account or Securities Account to the extent required by </w:t>
      </w:r>
      <w:r>
        <w:rPr>
          <w:rFonts w:ascii="Times New Roman" w:hAnsi="Times New Roman"/>
          <w:sz w:val="20"/>
          <w:u w:val="single"/>
        </w:rPr>
        <w:t>Section 6.11(c))</w:t>
      </w:r>
      <w:r>
        <w:rPr>
          <w:rFonts w:ascii="Times New Roman" w:hAnsi="Times New Roman"/>
          <w:sz w:val="20"/>
        </w:rPr>
        <w:t xml:space="preserve">, or otherwise take or perfect a security interest with control; </w:t>
      </w:r>
    </w:p>
    <w:p>
      <w:pPr>
        <w:pStyle w:val="TextBody"/>
        <w:bidi w:val="0"/>
        <w:spacing w:before="240" w:after="0"/>
        <w:jc w:val="left"/>
        <w:rPr>
          <w:rFonts w:ascii="Times New Roman" w:hAnsi="Times New Roman"/>
          <w:sz w:val="20"/>
        </w:rPr>
      </w:pPr>
      <w:r>
        <w:rPr>
          <w:rFonts w:ascii="Times New Roman" w:hAnsi="Times New Roman"/>
          <w:sz w:val="20"/>
        </w:rPr>
        <w:t xml:space="preserve">(c) to take any action (i) outside of the United States with respect to any assets located outside of the United States, (ii) in any non-U.S. jurisdiction or (iii) required by the laws of any non-U.S. jurisdiction to create, perfect or maintain any security interest or otherwise (unless, in each case, expressly elected by the Borrower in respect of the Vessel Collateral); or </w:t>
      </w:r>
    </w:p>
    <w:p>
      <w:pPr>
        <w:pStyle w:val="TextBody"/>
        <w:bidi w:val="0"/>
        <w:spacing w:before="240" w:after="0"/>
        <w:jc w:val="left"/>
        <w:rPr>
          <w:rFonts w:ascii="Times New Roman" w:hAnsi="Times New Roman"/>
          <w:sz w:val="20"/>
        </w:rPr>
      </w:pPr>
      <w:r>
        <w:rPr>
          <w:rFonts w:ascii="Times New Roman" w:hAnsi="Times New Roman"/>
          <w:sz w:val="20"/>
        </w:rPr>
        <w:t xml:space="preserve">(d) 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or collateral access letters, in each case, unless required by the terms of the applicable Collateral Agreement or the relevant Collateral Document. </w:t>
      </w:r>
    </w:p>
    <w:p>
      <w:pPr>
        <w:pStyle w:val="TextBody"/>
        <w:bidi w:val="0"/>
        <w:spacing w:before="240" w:after="0"/>
        <w:jc w:val="left"/>
        <w:rPr>
          <w:rFonts w:ascii="Times New Roman" w:hAnsi="Times New Roman"/>
          <w:sz w:val="20"/>
        </w:rPr>
      </w:pPr>
      <w:r>
        <w:rPr>
          <w:rFonts w:ascii="Times New Roman" w:hAnsi="Times New Roman"/>
          <w:sz w:val="20"/>
        </w:rPr>
        <w:t>Further, the Loan Parties shall not be required to perform any periodic collateral reporting, if any, with any frequency greater than once per fiscal year (</w:t>
      </w:r>
      <w:r>
        <w:rPr>
          <w:rFonts w:ascii="Times New Roman" w:hAnsi="Times New Roman"/>
          <w:i/>
          <w:sz w:val="20"/>
        </w:rPr>
        <w:t>provided</w:t>
      </w:r>
      <w:r>
        <w:rPr>
          <w:rFonts w:ascii="Times New Roman" w:hAnsi="Times New Roman"/>
          <w:sz w:val="20"/>
        </w:rPr>
        <w:t xml:space="preserve"> that this clause shall not limit the obligation of the Loan Parties to comply with </w:t>
      </w:r>
      <w:r>
        <w:rPr>
          <w:rFonts w:ascii="Times New Roman" w:hAnsi="Times New Roman"/>
          <w:sz w:val="20"/>
          <w:u w:val="single"/>
        </w:rPr>
        <w:t>Section 6.02(c)</w:t>
      </w:r>
      <w:r>
        <w:rPr>
          <w:rFonts w:ascii="Times New Roman" w:hAnsi="Times New Roman"/>
          <w:sz w:val="20"/>
        </w:rPr>
        <w:t xml:space="preserve"> or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Designation of Subsidiaries</w:t>
      </w:r>
      <w:r>
        <w:rPr>
          <w:rFonts w:ascii="Times New Roman" w:hAnsi="Times New Roman"/>
          <w:sz w:val="20"/>
        </w:rPr>
        <w:t xml:space="preserve">. The Borrower may by action of its Board of Directors, at any time designate any Restricted Subsidiary as an Unrestricted Subsidiary or designate (or re-designate, as the case may be) any Unrestricted Subsidiary as a Restricted Subsidiary;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(a) immediately before and after such designation (or re-designation),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the Investment resulting from the designation of such Restricted Subsidiary as an Unrestricted Subsidiary as described above is a Permitted Investment or other Investment permitted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such designation would result in Vessel Collateral being owned by an Unrestricted Subsidiary, immediately before and after such designation determined after giving effect to any concurrent reduction in the Commitments (or the commitments under any Incremental Facilities), the RCF Collateral Release Ratio must be greater than or equal to 5.0:1.0. </w:t>
      </w:r>
    </w:p>
    <w:p>
      <w:pPr>
        <w:pStyle w:val="TextBody"/>
        <w:bidi w:val="0"/>
        <w:spacing w:before="240" w:after="0"/>
        <w:jc w:val="left"/>
        <w:rPr>
          <w:rFonts w:ascii="Times New Roman" w:hAnsi="Times New Roman"/>
          <w:sz w:val="20"/>
        </w:rPr>
      </w:pPr>
      <w:r>
        <w:rPr>
          <w:rFonts w:ascii="Times New Roman" w:hAnsi="Times New Roman"/>
          <w:sz w:val="20"/>
        </w:rPr>
        <w:t xml:space="preserve">The designation of any Subsidiary as an Unrestricted Subsidiary shall constitute an Investment by the Borrower therein at the date of designation in an amount equal to the Fair Market Value of the Borrower’s or Restricted Subsidiary’s (as applicable) Investment therein. The designation of any Unrestricted Subsidiary as a Restricted Subsidiary shall constitute the incurrence at the time of designation of any Indebtedness and Liens of such Subsidiary existing at such time and a return on any Investment by the Borrower in Unrestricted Subsidiaries pursuant to the preceding sentence in an amount equal to the Fair Market Value at the date of such designation of the Borrower’s or Restricted Subsidiary’s (as applicable) Investment in such Subsidiary. Except as set forth in this paragraph, no Investment will be deemed to exist or have been made, and no Indebtedness or Liens shall be deemed to have been incurred or exist, by virtue of a Subsidiary becoming an Excluded Subsidiary or an Excluded Subsidiary becoming a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Compliance with Anti-Corruption Laws and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Loan Party shall (and the Borrower shall ensure that no other Relevant Person will) take any action, make any omission or use (directly or knowingly indirectly) any Borrowing or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 in furtherance of an offer, payment, promise to pay, or authorization of the payment or giving of money, or anything else of value, to any Person in violation of any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(ii) in breach of Sanctions; </w:t>
      </w:r>
    </w:p>
    <w:p>
      <w:pPr>
        <w:pStyle w:val="TextBody"/>
        <w:bidi w:val="0"/>
        <w:spacing w:before="120" w:after="0"/>
        <w:jc w:val="left"/>
        <w:rPr>
          <w:rFonts w:ascii="Times New Roman" w:hAnsi="Times New Roman"/>
          <w:sz w:val="20"/>
        </w:rPr>
      </w:pPr>
      <w:r>
        <w:rPr>
          <w:rFonts w:ascii="Times New Roman" w:hAnsi="Times New Roman"/>
          <w:sz w:val="20"/>
        </w:rPr>
        <w:t xml:space="preserve">(iii) in a manner that causes (or will cause) a breach of Sanctions by any Lender; or </w:t>
      </w:r>
    </w:p>
    <w:p>
      <w:pPr>
        <w:pStyle w:val="TextBody"/>
        <w:bidi w:val="0"/>
        <w:spacing w:before="120" w:after="0"/>
        <w:jc w:val="left"/>
        <w:rPr>
          <w:rFonts w:ascii="Times New Roman" w:hAnsi="Times New Roman"/>
          <w:sz w:val="20"/>
        </w:rPr>
      </w:pPr>
      <w:r>
        <w:rPr>
          <w:rFonts w:ascii="Times New Roman" w:hAnsi="Times New Roman"/>
          <w:sz w:val="20"/>
        </w:rPr>
        <w:t xml:space="preserve">(iv) for the purpose of funding, financing or facilitating any activities, business or transaction of or with any Restricted Party, except to the extent permitted for a Person required to comply with Sanctions. </w:t>
      </w:r>
    </w:p>
    <w:p>
      <w:pPr>
        <w:pStyle w:val="TextBody"/>
        <w:bidi w:val="0"/>
        <w:spacing w:before="240" w:after="0"/>
        <w:jc w:val="left"/>
        <w:rPr>
          <w:rFonts w:ascii="Times New Roman" w:hAnsi="Times New Roman"/>
          <w:sz w:val="20"/>
        </w:rPr>
      </w:pPr>
      <w:r>
        <w:rPr>
          <w:rFonts w:ascii="Times New Roman" w:hAnsi="Times New Roman"/>
          <w:sz w:val="20"/>
        </w:rPr>
        <w:t xml:space="preserve">(b) No Loan Party shall (and the Borrower shall ensure that no other Relevant Person will) take any action or make any omission that results, or is reasonably likely to result, in it or any Lender becoming a Restricted Party.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will maintain in effect and enforce policies and procedures designed to ensure compliance by the Borrower, its Subsidiaries and their respective directors, officers, employees and agents with applicable Anti-Corruption Laws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(d) The requirements set forth in this </w:t>
      </w:r>
      <w:r>
        <w:rPr>
          <w:rFonts w:ascii="Times New Roman" w:hAnsi="Times New Roman"/>
          <w:sz w:val="20"/>
          <w:u w:val="single"/>
        </w:rPr>
        <w:t>Section 6.14</w:t>
      </w:r>
      <w:r>
        <w:rPr>
          <w:rFonts w:ascii="Times New Roman" w:hAnsi="Times New Roman"/>
          <w:sz w:val="20"/>
        </w:rPr>
        <w:t xml:space="preserve">, as they pertain to compliance by any Foreign Subsidiary with Anti-Corruption Laws and Sanctions are limited by any Law applicable to such Foreign Subsidiary in its relevant local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Post-Closing Matters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Borrower will, and will cause each of the Restricted Subsidiaries to, take each of the actions set forth on </w:t>
      </w:r>
      <w:r>
        <w:rPr>
          <w:rFonts w:ascii="Times New Roman" w:hAnsi="Times New Roman"/>
          <w:sz w:val="20"/>
          <w:u w:val="single"/>
        </w:rPr>
        <w:t>Schedule 6.15</w:t>
      </w:r>
      <w:r>
        <w:rPr>
          <w:rFonts w:ascii="Times New Roman" w:hAnsi="Times New Roman"/>
          <w:sz w:val="20"/>
        </w:rPr>
        <w:t xml:space="preserve"> within the time period prescribed therefor on such schedule (as such time period may be extended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By the date that is no later than ninety-one (91) days prior to the maturity date under the existing Second Lien Credit Agreement, Indebtedness under the Second Lien Credit Agreement is to be repaid or otherwise refinanced with the proceeds of or exchanged for Second Lien Credit Agreement Refinancing Indebtedness or the maturity date thereunder otherwise extended such that, after giving effect to such refinancing or extension, the maturity date of any such resulting Indebtedness is no earlier than ninety-one (91) days after the then-latest Maturity Date.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proceeds of Revolving Loans will be used for general corporate purposes of the Borrower and the Restricted Subsidiaries, including (a) working capital, (b) acquisitions that are not prohibited by the terms of this Agreement (including Permitted Investments) and (c) standby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(b) Letters of Credit will be used by the Borrower for general corporate purposes of the Borrower and the Restricted Subsidiaries, including supporting transactions not prohibited by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The proceeds of Incremental Loans may be used as specified in the applicable Incremental Amendment and otherwise in accordance with </w:t>
      </w:r>
      <w:r>
        <w:rPr>
          <w:rFonts w:ascii="Times New Roman" w:hAnsi="Times New Roman"/>
          <w:sz w:val="20"/>
          <w:u w:val="single"/>
        </w:rPr>
        <w:t>Section 2.16(e)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Change in Nature of Business</w:t>
      </w:r>
      <w:r>
        <w:rPr>
          <w:rFonts w:ascii="Times New Roman" w:hAnsi="Times New Roman"/>
          <w:sz w:val="20"/>
        </w:rPr>
        <w:t xml:space="preserve">. Engage only in material lines of business that are substantially consistent with those lines of business conducted by the Borrower and the Restricted Subsidiaries on the Closing Date and lines of business that are reasonably similar, corollary, ancillary, incidental, synergistic, complementary or related to, or a reasonable extension, development or expansion of, the businesses conducted or proposed to be conducted by the Borrower and the Restricted Subsidiaries on the Closing Date, in each case as determined by the Borrower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Transactions with Affiliates</w:t>
      </w:r>
      <w:r>
        <w:rPr>
          <w:rFonts w:ascii="Times New Roman" w:hAnsi="Times New Roman"/>
          <w:sz w:val="20"/>
        </w:rPr>
        <w:t>. Conduct all transactions (including the purchase, sale, lease or exchange of any property or the rendering of any service) with any Affiliate of the Borrower (an “</w:t>
      </w:r>
      <w:r>
        <w:rPr>
          <w:rFonts w:ascii="Times New Roman" w:hAnsi="Times New Roman"/>
          <w:b/>
          <w:sz w:val="20"/>
        </w:rPr>
        <w:t>Affiliate</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xml:space="preserve"> involving aggregate value in excess of $5.0 million, on terms which taken as a whole are not materially less favorable to the Borrower or such Restricted Subsidiary, as the case may be, than those that could be obtained in a comparable transaction at the time of such transaction or the execution of the agreement providing for such transaction in arm’s length dealings with a Person who is not such an Affiliate or, if in the good faith judgment of the Board of Directors of the Borrower no comparable transaction is available with which to compare such Affiliate Transaction, such Affiliate Transaction is otherwise fair to the Borrower or such Restricted Subsidiary from a financial point of 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Affiliate Transaction shall be deemed to have satisfied the requirements set forth in this </w:t>
      </w:r>
      <w:r>
        <w:rPr>
          <w:rFonts w:ascii="Times New Roman" w:hAnsi="Times New Roman"/>
          <w:sz w:val="20"/>
          <w:u w:val="single"/>
        </w:rPr>
        <w:t>Section 6.18</w:t>
      </w:r>
      <w:r>
        <w:rPr>
          <w:rFonts w:ascii="Times New Roman" w:hAnsi="Times New Roman"/>
          <w:sz w:val="20"/>
        </w:rPr>
        <w:t xml:space="preserve"> if such Affiliate Transaction is approved by a majority of the Disinterested Directors of the Borrower, if any.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preceding paragraph will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Restricted Payment or any Permitted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issuance, transfer or sale of (a) Equity Interests, options, other equity-related interests or other securities, or other payments, awards or grants in cash, securities or otherwise to any Parent Entity, Permitted Holder or future, current or former employee, director, officer, manager, contractor, consultant or advisor (or their respective Controlled Investment Affiliates or Immediate Family Members) of the Borrower, any of its Subsidiaries or any of its Parent Entities and (b) directors’ qualifying shares and shares issued to foreign nationals as required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Management Advances and any waiver or transaction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any transaction between or among the Borrower and any Restricted Subsidiary (or entity that becomes a Restricted Subsidiary as a result of such transaction), or between or among Restricted Subsidiaries and (b) any merger, amalgamation or consolidation with any Parent Entity, </w:t>
            </w:r>
            <w:r>
              <w:rPr>
                <w:rFonts w:ascii="Times New Roman" w:hAnsi="Times New Roman"/>
                <w:i/>
                <w:sz w:val="20"/>
              </w:rPr>
              <w:t xml:space="preserve">provided </w:t>
            </w:r>
            <w:r>
              <w:rPr>
                <w:rFonts w:ascii="Times New Roman" w:hAnsi="Times New Roman"/>
                <w:sz w:val="20"/>
              </w:rPr>
              <w:t xml:space="preserve">that such Parent Entity shall have no material liabilities and no material assets other than cash, Cash Equivalents and the Equity Interests of the Borrower and such merger, amalgamation or consolidation is otherwise permitted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compensation, fees, costs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the Borrower, any Parent Entity or any Restricted Subsidiary (whether directly or indirectly and including through their Controlled Investment Affiliates or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and performance of obligations of the Borrower or any of the Restricted Subsidiaries under the terms of any transaction arising out of, and any payments pursuant to or for purposes of funding, any agreement or instrument in effect as of or on the Closing Date, as these agreements and instruments may be amended, modified, supplemented, extended, renewed or refinanced from time to time in accordance with the other terms of this covenant or to the extent not disadvantageous in any material respect in the reasonable determination of the Borrower to the Lenders when taken as a whole as compared to the applicable agreement as in effect on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effected as part of a Qualified Securitization Financing or Receivables Facility, any disposition or acquisition of Securitization Assets, Receivables Assets or related assets in connection with any Qualified Securitization Financing or Receivables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with customers, vendors, clients, joint venture partners, suppliers, contractors, distributors or purchasers or sellers of goods or services, in each case in the ordinary course of business or consistent with past practice, which are fair to the Borrower and the Restricted Subsidiaries, in the reasonable determination of the Borrower, or are on terms, taken as a whole, that are not materially less favorable as might reasonably have been obtained at such time from an unaffiliated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between or among the Borrower or any Restricted Subsidiary and any Person (other than an Unrestricted Subsidiary) that is an Affiliate of the Borrower or an Associate or similar entity solely because the Borrower or a Restricted Subsidiary or any Affiliate of the Borrower or a Restricted Subsidiary or any Affiliate of any Permitted Holder owns an equity interest in or otherwise controls such Affiliate, Associate or similar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issuance, sale or transfer of Equity Interests (other than Disqualified Equity Interests) of the Borrower, any Parent Entity or any of its Restricted Subsidiaries or options, warrants or other rights to acquire such Equity Interests and the granting of registration and other customary rights (and the performance of the related obligations) in connection therewith or any contribution to capital of the Borrower or any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payments by the Borrower or any Restricted Subsidiary (or distributions or dividends by the Borrower in lieu of such payments) to any Permitted Holder (whether directly or indirectly), including to its affiliates or its designees, of management, consulting, monitoring, refinancing, transaction, advisory, indemnities and other fees, costs and expenses (plus any unpaid management, consulting, monitoring, transaction, advisory, indemnities and other fees, costs and expenses accrued in any prior year) and any exit and termination fees (including any such cash lump sum or present value fee upon the consummation of a corporate event, including an initial public offering) pursuant to any management or similar agreements or the management or other relevant provisions in an investor rights agreement, limited partnership agreement, limited liability company agreement or other equityholders’ agreement, as the case may be, with terms reasonably consistent with the terms of similar agreements entered into by similar financial sponsors and portfolio companies as reasonably determined by the Borrower or any Parent Entity on behalf of the Borrower at the time such management or similar agreement is entered into by the Sponsors and the Borrower or any Parent Entity and (b) payments by the Borrower or any Restricted Subsidiary to any Permitted Holder (whether directly or indirectly, including through any Parent Entity) for financial advisory, financing, underwriting or placement services or in respect of other investment banking activities, including in connection with acquisitions or divestitures, which payments are approved in the reasonable determination of the Borrower;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to any Permitted Holder of all out of pocket expenses incurred by such Permitted Holder in connection with its direct or indirect investment in the Borrower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 which the Borrower or any Restricted Subsidiary, as the case may be, delivers to the Administrative Agent a letter from an Independent Financial Advisor stating that such transaction is fair to the Borrower or such Restricted Subsidiary from a financial point of view or meets the requirements of </w:t>
            </w:r>
            <w:r>
              <w:rPr>
                <w:rFonts w:ascii="Times New Roman" w:hAnsi="Times New Roman"/>
                <w:sz w:val="20"/>
                <w:u w:val="single"/>
              </w:rPr>
              <w:t>clause (1)</w:t>
            </w:r>
            <w:r>
              <w:rPr>
                <w:rFonts w:ascii="Times New Roman" w:hAnsi="Times New Roman"/>
                <w:sz w:val="20"/>
              </w:rPr>
              <w:t xml:space="preserve"> of the preceding paragraph;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or the performance by the Borrower or any Restricted Subsidiary of its obligations under the terms of, any equityholders, investor rights or similar agreement (including any registration rights agreement or purchase agreements related thereto) to which it is party as of the Closing Date and any similar agreement that it (or any Parent Entity) may enter into thereafter; </w:t>
            </w:r>
            <w:r>
              <w:rPr>
                <w:rFonts w:ascii="Times New Roman" w:hAnsi="Times New Roman"/>
                <w:i/>
                <w:sz w:val="20"/>
              </w:rPr>
              <w:t xml:space="preserve">provided </w:t>
            </w:r>
            <w:r>
              <w:rPr>
                <w:rFonts w:ascii="Times New Roman" w:hAnsi="Times New Roman"/>
                <w:sz w:val="20"/>
              </w:rPr>
              <w:t xml:space="preserve">that the existence of, or the performance by the Borrower or any Restricted Subsidiary (or any Parent Entity) of its obligations under any future amendment to any such existing agreement or under any similar agreement entered into after the Closing Date will only be permitted under this clause to the extent that the terms of any such amendment or new agreement are not otherwise, when taken as a whole, more disadvantageous to the Lenders in any material respect in the reasonable determination of the Borrower than those in effect on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purchases by the Borrower’s Affiliates of Indebtedness or Disqualified Equity Interests of the Borrower or any of the Restricted Subsidiaries the majority of which Indebtedness or Disqualified Equity Interests is purchased by Persons who are not the Borrower’s Affiliates; </w:t>
            </w:r>
            <w:r>
              <w:rPr>
                <w:rFonts w:ascii="Times New Roman" w:hAnsi="Times New Roman"/>
                <w:i/>
                <w:sz w:val="20"/>
              </w:rPr>
              <w:t xml:space="preserve">provided </w:t>
            </w:r>
            <w:r>
              <w:rPr>
                <w:rFonts w:ascii="Times New Roman" w:hAnsi="Times New Roman"/>
                <w:sz w:val="20"/>
              </w:rPr>
              <w:t xml:space="preserve">that such purchases by the Borrower’s Affiliates are on the same terms as such purchases by such Persons who are not the Borrower’s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investments by Affiliates in securities or loans of the Borrower or any of the Restricted Subsidiaries (and payment of reasonable out-of-pocket expenses incurred by such Affiliates in connection therewith) so long as the investment is being offered by the Borrower or such Restricted Subsidiary generally to other non-affiliated third party investors on the same or more favorable terms and (ii) payments to Affiliates in respect of securities or loans of the Borrower or any of the Restricted Subsidiaries contemplated in the foregoing </w:t>
            </w:r>
            <w:r>
              <w:rPr>
                <w:rFonts w:ascii="Times New Roman" w:hAnsi="Times New Roman"/>
                <w:sz w:val="20"/>
                <w:u w:val="single"/>
              </w:rPr>
              <w:t>subclause (i)</w:t>
            </w:r>
            <w:r>
              <w:rPr>
                <w:rFonts w:ascii="Times New Roman" w:hAnsi="Times New Roman"/>
                <w:sz w:val="20"/>
              </w:rPr>
              <w:t xml:space="preserve"> or that were acquired from Persons other than the Borrower and its Restricted Subsidiaries, in each case, in accordance with the terms of such securities or loans;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entering into of any Tax sharing agreement or arrangement and payments made with respect thereto, in each case between or among the Borrower, any Parent Entity or its Subsidiaries; </w:t>
            </w:r>
            <w:r>
              <w:rPr>
                <w:rFonts w:ascii="Times New Roman" w:hAnsi="Times New Roman"/>
                <w:i/>
                <w:sz w:val="20"/>
              </w:rPr>
              <w:t xml:space="preserve">provided </w:t>
            </w:r>
            <w:r>
              <w:rPr>
                <w:rFonts w:ascii="Times New Roman" w:hAnsi="Times New Roman"/>
                <w:sz w:val="20"/>
              </w:rPr>
              <w:t xml:space="preserve">that, in each case the amount of such payments in any taxable year does not exceed the amount that the Borrower, its Restricted Subsidiaries and its Unrestricted Subsidiaries (to the extent of amounts actually received from the Unrestricted Subsidiaries) would be required to pay in respect of foreign, federal, state and local Taxes for such taxable year were the Borrower, its Restricted Subsidiaries and its Unrestricted Subsidiaries (to the extent of amounts actually received from the Unrestricted Subsidiaries) to pay such Taxes separately from any such Parent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Indebtedness and Disqualified Equity Interests (and cancellation of any thereof) of the Borrower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Borrower,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the Borrower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Borrower or its Restricted Subsidiaries and any distributor, employee, director, officer, manager, contractor, consultant or advisor (or their respective Controlled Investment Affiliates or Immediate Family Members) approved by the reasonable determination of the Borrower;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transition services arrangement, supply arrangement or similar arrangement entered into in connection with or in contemplation of the disposition of assets or Equity Interests in any Restricted Subsidiary permitted under Section 7.05 or entered into with any Business Successor, in each case, that the Borrower determines in good faith is either fair to the Borrower or otherwise on customary terms for such type of arrangements in connection with similar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lease entered into between the Borrower or any Restricted Subsidiary, as lessee, and any Affiliate of the Borrower (other than an Unrestricted Subsidiary), as lessor and any operational services or other arrangement entered into between the Borrower or any Restricted Subsidiary and any Affiliate of the Borrower (other than an Unrestricted Subsidiary), in each case, which is approved by the reasonable determination of the Borrower;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fees, costs and expenses related to registration rights and indemnities provided to equityholders pursuant to equityholders, investor rights, registration rights or similar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Reorganization Transaction, Permitted Intercompany Activities, Intercompany License Agreements or related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Borrower or any of its Restricted Subsidiaries (i) purchases or otherwise acquires assets or properties from a Person which is not an Affiliate, the purchase or acquisition by an Affiliate of the Borrower of an interest in all or a portion of the assets or properties acquired shall not be deemed an Affiliate Transaction (or cause such purchase or acquisition by the Borrower or a Restricted Subsidiary to be deemed an Affiliate Transaction) or (ii) sells or otherwise disposes of assets or other properties to a Person who is not an Affiliate, the sale or other disposition by an Affiliate of the Borrower of an interest in all or a portion of the assets or properties sold shall not be deemed an Affiliate Transaction (or cause such sale or other disposition by the Borrower or a Restricted Subsidiary to be deemed an Affiliate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Vessel Collateral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Shipowner covenants and agrees as follow with respect to any Vessel Collateral owned by it: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Jones Act Compliance</w:t>
      </w:r>
      <w:r>
        <w:rPr>
          <w:rFonts w:ascii="Times New Roman" w:hAnsi="Times New Roman"/>
          <w:sz w:val="20"/>
        </w:rPr>
        <w:t xml:space="preserve">. Each Shipowner owning Vessel Collateral consisting of a Jones Act Vessel covenants that it is now, and shall so remain until any Vessel Mortgage granted pursuant to this Agreement is discharged, (i) a citizen of the United States pursuant to Section 2(c) of the Shipping Act of 1916, as amended (46 USC § 50501), and the regulations in effect thereunder from time to time, as amended, and (ii) qualified to own and operate such Vessel for so long as it is documented under the laws of the United States and in the coastwise trade of the United States pursuant to 46 U.S.C. §§ 12102 and 12103, and the regulations in effect thereunder from time to time, as amended.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Operation of Vessels</w:t>
      </w:r>
      <w:r>
        <w:rPr>
          <w:rFonts w:ascii="Times New Roman" w:hAnsi="Times New Roman"/>
          <w:sz w:val="20"/>
        </w:rPr>
        <w:t xml:space="preserve">. Except as has not resulted in, or is not reasonably expected, individually or in the aggregate, to result in, a Material Adverse Effect, each Shipowner will not cause or permit its Vessels to be operated in any manner contrary to applicable law, engage in any unlawful trade or operations or violate any applicable law or carry any cargo, in the case of any of the foregoing, that will unreasonably expose such Vessel to penalty, confiscation, forfeiture, capture or condemnation, and will not do, or suffer or permit to be done, anything that can or may injuriously affect the registration of such Vessel under the laws and regulations of the United States of America and will at all times keep each United States-flagged Jones Act Vessel duly documented under Chapter 121 of Title 46 of the United States Code, eligible for registry and the coastwise trade of the United States under Section 2(c) of the Shipping Act of 1916, as amended; </w:t>
      </w:r>
      <w:r>
        <w:rPr>
          <w:rFonts w:ascii="Times New Roman" w:hAnsi="Times New Roman"/>
          <w:i/>
          <w:sz w:val="20"/>
        </w:rPr>
        <w:t>provided,</w:t>
      </w:r>
      <w:r>
        <w:rPr>
          <w:rFonts w:ascii="Times New Roman" w:hAnsi="Times New Roman"/>
          <w:sz w:val="20"/>
        </w:rPr>
        <w:t xml:space="preserve"> that the foregoing shall not prohibit, and the Shipowner may enter into, Permitted Reflagging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Taxes, fees, etc</w:t>
      </w:r>
      <w:r>
        <w:rPr>
          <w:rFonts w:ascii="Times New Roman" w:hAnsi="Times New Roman"/>
          <w:sz w:val="20"/>
        </w:rPr>
        <w:t xml:space="preserve">. Each Shipowner will pay and discharge or cause to be paid and discharged, prior to delinquency, all claims and demands in respect of, and all taxes, assessments, governmental charges, levies, fees, fines and penalties imposed on, its Vessel, cargoes owned by such Shipowner or any income or profits therefrom and all lawful claims which, if unpaid, might become a lien or charge upon such Vessel or any income therefrom not constituting a Permitted Lien; provided that such Shipowner shall not be required to pay any such claim, demand, fee, tax, assessment, charge, fine, levy or penalty (1) which is being contested in good faith by appropriate actions and for which the Shipowner has maintained adequate accruals in accordance with GAAP, and such Vessel shall not have been arrested or detained therefor or (2) to the extent failure to do so could not reasonably be expected to result in a Material Adverse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contest shall not subject such Vessel, or any part thereof, to forfeiture or loss.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Liens</w:t>
      </w:r>
      <w:r>
        <w:rPr>
          <w:rFonts w:ascii="Times New Roman" w:hAnsi="Times New Roman"/>
          <w:sz w:val="20"/>
        </w:rPr>
        <w:t xml:space="preserve">. None of the Shipowners, any charterer, the Master of any of the Vessels or any other Person shall have any right, power or authority to, and none of the same shall create, incur or permit to be placed or imposed or continued upon any of the Vessels, its freights, profits or hire, any Lien whatsoever other than for crew wages not overdue, salvage, the lien of any Vessel Mortgage and other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Notice of Mortgage</w:t>
      </w:r>
      <w:r>
        <w:rPr>
          <w:rFonts w:ascii="Times New Roman" w:hAnsi="Times New Roman"/>
          <w:sz w:val="20"/>
        </w:rPr>
        <w:t xml:space="preserve">. Each Shipowner will place, and at all times and places will retain, a copy of the relevant Vessel Mortgage (however evidenced, whether in physical or electronic form) on board each relevant Vessel with her papers and will cause such copy (however evidenced, whether in physical or electronic form) and each such Vessel’s marine document to be exhibited to any and all persons having business therewith which might give rise to any lien thereon other than liens for crew wages and salvage, and to any representative of the Administrative Agent and will place and prominently display in the chart room and in the Master’s cabin of each such Vessel a framed printed notice in plain type reading as follows: </w:t>
      </w:r>
    </w:p>
    <w:p>
      <w:pPr>
        <w:pStyle w:val="TextBody"/>
        <w:bidi w:val="0"/>
        <w:spacing w:before="480" w:after="0"/>
        <w:jc w:val="center"/>
        <w:rPr/>
      </w:pPr>
      <w:r>
        <w:rPr/>
        <w:t>“</w:t>
      </w:r>
      <w:r>
        <w:rPr>
          <w:rFonts w:ascii="Times New Roman" w:hAnsi="Times New Roman"/>
          <w:sz w:val="20"/>
        </w:rPr>
        <w:t xml:space="preserve">NOTICE OF MORTGAGE </w:t>
      </w:r>
    </w:p>
    <w:p>
      <w:pPr>
        <w:pStyle w:val="TextBody"/>
        <w:bidi w:val="0"/>
        <w:spacing w:before="240" w:after="0"/>
        <w:jc w:val="left"/>
        <w:rPr>
          <w:rFonts w:ascii="Times New Roman" w:hAnsi="Times New Roman"/>
          <w:sz w:val="20"/>
        </w:rPr>
      </w:pPr>
      <w:r>
        <w:rPr>
          <w:rFonts w:ascii="Times New Roman" w:hAnsi="Times New Roman"/>
          <w:sz w:val="20"/>
        </w:rPr>
        <w:t xml:space="preserve">This Vessel is owned by [___] (the “Owner”) and is subject to a First Preferred [Fleet </w:t>
      </w:r>
      <w:r>
        <w:rPr>
          <w:rFonts w:ascii="Times New Roman" w:hAnsi="Times New Roman"/>
          <w:color w:val="0000FF"/>
          <w:sz w:val="20"/>
          <w:u w:val="single"/>
          <w:bdr w:val="double" w:sz="2" w:space="1" w:color="000000"/>
        </w:rPr>
        <w:t>/ Vessel</w:t>
      </w:r>
      <w:r>
        <w:rPr>
          <w:rFonts w:ascii="Times New Roman" w:hAnsi="Times New Roman"/>
          <w:sz w:val="20"/>
        </w:rPr>
        <w:t>] Mortgage (the “</w:t>
      </w:r>
      <w:r>
        <w:rPr>
          <w:rFonts w:ascii="Times New Roman" w:hAnsi="Times New Roman"/>
          <w:b/>
          <w:sz w:val="20"/>
        </w:rPr>
        <w:t>Mortgage</w:t>
      </w:r>
      <w:r>
        <w:rPr>
          <w:rFonts w:ascii="Times New Roman" w:hAnsi="Times New Roman"/>
          <w:sz w:val="20"/>
        </w:rPr>
        <w:t xml:space="preserve">”) in favor of WILMINGTON TRUST, NATIONAL ASSOCIATION as Collateral Agent and Mortgagee. Under the terms of said Mortgage, neither the Owner, any charterer, the Master of this Vessel nor any other person has any right, power or authority to create, incur or permit to be imposed upon this Vessel any other lien whatsoever except Permitted Liens (as defined in the Mortgage).”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Libel or Attachment</w:t>
      </w:r>
      <w:r>
        <w:rPr>
          <w:rFonts w:ascii="Times New Roman" w:hAnsi="Times New Roman"/>
          <w:sz w:val="20"/>
        </w:rPr>
        <w:t xml:space="preserve">. If a libel or complaint is filed against any of the Vessels </w:t>
      </w:r>
      <w:r>
        <w:rPr>
          <w:rFonts w:ascii="Times New Roman" w:hAnsi="Times New Roman"/>
          <w:i/>
          <w:sz w:val="20"/>
        </w:rPr>
        <w:t>in</w:t>
      </w:r>
      <w:r>
        <w:rPr>
          <w:rFonts w:ascii="Times New Roman" w:hAnsi="Times New Roman"/>
          <w:sz w:val="20"/>
        </w:rPr>
        <w:t xml:space="preserve"> </w:t>
      </w:r>
      <w:r>
        <w:rPr>
          <w:rFonts w:ascii="Times New Roman" w:hAnsi="Times New Roman"/>
          <w:i/>
          <w:sz w:val="20"/>
        </w:rPr>
        <w:t xml:space="preserve">rem </w:t>
      </w:r>
      <w:r>
        <w:rPr>
          <w:rFonts w:ascii="Times New Roman" w:hAnsi="Times New Roman"/>
          <w:sz w:val="20"/>
        </w:rPr>
        <w:t xml:space="preserve">by virtue of any legal proceeding in any court or by a government or other authority, the relevant Shipowner will promptly notify the Administrative Agent thereof by facsimile as appropriate, confirmed by letter, at its address, as specified in </w:t>
      </w:r>
      <w:r>
        <w:rPr>
          <w:rFonts w:ascii="Times New Roman" w:hAnsi="Times New Roman"/>
          <w:sz w:val="20"/>
          <w:u w:val="single"/>
        </w:rPr>
        <w:t>Section 11.02</w:t>
      </w:r>
      <w:r>
        <w:rPr>
          <w:rFonts w:ascii="Times New Roman" w:hAnsi="Times New Roman"/>
          <w:sz w:val="20"/>
        </w:rPr>
        <w:t xml:space="preserve">, and within thirty (30) days of any arrest arising out of such libel or complaint, or fifteen (15) days after the request of the Administrative Agent (in each case, or by such later date as the Administrative Agent may agree to in its sole discretion), will cause such Vessel to be released and all Liens thereon (other than Permitted Liens) to be discharged and will promptly notify the Administrative Agent thereof in the manner aforesaid. In the event that the Shipowner does not appear in such action by filing a claim of owner or similar pleading within such thirty (30) day period (or such longer period)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provide replacement Vessel Collateral acceptable to the Administrative Agent in accordance with this Agreement, the relevant Shipowner does hereby authorize and empower the Administrative Agent, in the name of such Shipowner, or their successors or assigns, to apply for and receive possession of and to take possession of such Vessel (or authorize and empower the Administrative Agent to direct the Collateral Agent to apply for and receive possession of and to take possession of such Vessel) with all the rights and powers that the Shipowner, or their successors or assigns, might have, possess or exercise in any such event; and this power of attorney shall be irrevocable and may be exercised not only by the Administrative Agent (or by the Collateral Agent at the direction of the Administrative Agent) but also by any one such appointee or the appointees of the Administrative Agent, (or the Collateral Agent) with full power of substitution, to the same extent as if the said appointee or appointees had been named as one of the attorneys above named by express designation. The relevant Shipowner will notify the Administrative Agent in writing within three (3) Business Days (or by such later date as the Administrative Agent may agree to in its sole discretion) after it has become known to the chief executive officer, the chief operating officer or the chief financial officer of the relevant Shipowner of any arrest, detention, average or salvage incurred by any of the Vessels.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Maintenance of Vessel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while any Vessel constituting Vessel Collateral is undergoing repairs or maintenance or is a Stacked Vessel, the relevant Shipowner will keep each Vessel, or cause it to be kept in such condition as will entitle it to at least the current classification and rating for each Vessel in the American Bureau of Shipping, or other classification society of like standing, if such certification is applicable, with no overdue conditions or recommendations affecting any such Vessel’s classification, except where the failure to do so, individually or in the aggregate, could not reasonably be expected to result in a Material Adverse Effect. Except for any Vessel that is stacked or in lay up, each Shipowner shall furnish annually, upon request by the Administrative Agent, a certificate from the American Bureau of Shipping or other applicable classification society confirming that such classification has been maintained. </w:t>
      </w:r>
    </w:p>
    <w:p>
      <w:pPr>
        <w:pStyle w:val="TextBody"/>
        <w:bidi w:val="0"/>
        <w:spacing w:before="120" w:after="0"/>
        <w:jc w:val="left"/>
        <w:rPr>
          <w:rFonts w:ascii="Times New Roman" w:hAnsi="Times New Roman"/>
          <w:sz w:val="20"/>
        </w:rPr>
      </w:pPr>
      <w:r>
        <w:rPr>
          <w:rFonts w:ascii="Times New Roman" w:hAnsi="Times New Roman"/>
          <w:sz w:val="20"/>
        </w:rPr>
        <w:t xml:space="preserve">(ii) Except where the failure to do so, individually or in the aggregate, could not reasonably be expected to result in a Material Adverse Effect, each Shipowner will make all necessary repairs, renewals, betterments and improvements necessary to keep its Vessels, insofar as due diligence can make them so, well maintained and in seaworthy condition, except while any such Vessel is undergoing repairs, maintenance or is stacked or in lay up. </w:t>
      </w:r>
    </w:p>
    <w:p>
      <w:pPr>
        <w:pStyle w:val="TextBody"/>
        <w:bidi w:val="0"/>
        <w:spacing w:before="120" w:after="0"/>
        <w:jc w:val="left"/>
        <w:rPr>
          <w:rFonts w:ascii="Times New Roman" w:hAnsi="Times New Roman"/>
          <w:sz w:val="20"/>
        </w:rPr>
      </w:pPr>
      <w:r>
        <w:rPr>
          <w:rFonts w:ascii="Times New Roman" w:hAnsi="Times New Roman"/>
          <w:sz w:val="20"/>
        </w:rPr>
        <w:t xml:space="preserve">(iii) Each Vessel which is a U.S. flag Vessel shall, and each relevant Shipowner covenants that it will, at all times comply in all material respects with all applicable laws, and all treaties and covenants to which the United States of America is a party, and rules and regulations issued thereunder, and shall have on board, when required, valid certificates required thereby, except where the failure to do so, individually or in the aggregate, could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No Shipowner will make, or permit to be made, any substantial change in the structure, rig or type of any Vessels that would be reasonably likely to materially diminish the value of the Vessel Collateral, as a whole, without first receiving the written consent of the Administrative Agent, which consent shall not be unreasonably similarly, conditioned or delayed; </w:t>
      </w:r>
      <w:r>
        <w:rPr>
          <w:rFonts w:ascii="Times New Roman" w:hAnsi="Times New Roman"/>
          <w:i/>
          <w:sz w:val="20"/>
        </w:rPr>
        <w:t>provided</w:t>
      </w:r>
      <w:r>
        <w:rPr>
          <w:rFonts w:ascii="Times New Roman" w:hAnsi="Times New Roman"/>
          <w:sz w:val="20"/>
        </w:rPr>
        <w:t xml:space="preserve">, that any Shipowner may move or otherwise change the assets and other equipment from any of the Vessels to another Vessel (including to a Vessel owned by another direct or indirect Subsidiary of Borrower and including, for the avoidance of doubt, Excluded Vessels).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Inspection; Attorney in Fact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Subject to the terms of </w:t>
      </w:r>
      <w:r>
        <w:rPr>
          <w:rFonts w:ascii="Times New Roman" w:hAnsi="Times New Roman"/>
          <w:sz w:val="20"/>
          <w:u w:val="single"/>
        </w:rPr>
        <w:t>Section 6.10</w:t>
      </w:r>
      <w:r>
        <w:rPr>
          <w:rFonts w:ascii="Times New Roman" w:hAnsi="Times New Roman"/>
          <w:sz w:val="20"/>
        </w:rPr>
        <w:t xml:space="preserve">, each Shipowner will at all reasonable times afford the Administrative Agent or its authorized representatives, in each case, to the extent such Person has agreed to and executed a vessel boarding agreement in form and substance reasonably satisfactory to the Borrower at their risk and expense full and complete access to each Vessel during normal business hours for the purpose of inspecting such Vessel and its papers, and such Shipowner will deliver for inspection copies of such contracts and documents relating to such Vessel, whether on board or not, as the Administrative Agent may request,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non-public information obtained by the Administrative Agent pursuant to any Loan Document concerning such Shipowner, any Vessel, any other assets of such Shipowner or such Shipowner’s financial condition and prospects shall be kept confidential by the Administrative Agent in accordance with </w:t>
      </w:r>
      <w:r>
        <w:rPr>
          <w:rFonts w:ascii="Times New Roman" w:hAnsi="Times New Roman"/>
          <w:sz w:val="20"/>
          <w:u w:val="single"/>
        </w:rPr>
        <w:t>Section 11.08</w:t>
      </w:r>
      <w:r>
        <w:rPr>
          <w:rFonts w:ascii="Times New Roman" w:hAnsi="Times New Roman"/>
          <w:sz w:val="20"/>
        </w:rPr>
        <w:t xml:space="preserve"> (subject to the exceptions contained therein), and (ii) any inspection of any Vessel and its papers shall be subject to the requirements of any operators of such Vessel and any applicable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Shipowner hereby appoints the Administrative Agent as attorney-in-fact of the Shipowner to appear before governmental bodies, classification societies and insurers and to demand and receive to the same extent that such Shipowner itself might, all information and certificates respecting (i) the corporate status of such Shipowner under the laws of its jurisdiction of incorporation or any other jurisdiction in which it may have qualified to do business, (ii) the status of each Vessel under the laws and regulations of its country of registration and its compliance with the requirements thereof, and (iii) the state of the records of each Vessel or of the relevant Shipowner in respect of each Vessel in any classification society with which the Vessel may be classed or of any company, association or club by whom any Vessel or the relevant Shipowner in respect of any Vessel may be insured; and each Shipowner hereby agrees that the Administrative Agent may execute its powers as attorney-in-fact as aforesaid through its agents, representatives and attorneys, provided however, that, it is a condition of this power of attorney that the Administrative Agent may not act on the strength of this power of attorney unless an Event of Default has occurred and is continuing. This power of attorney is coupled with an interest and shall be irrevocable as long as the Obligations remain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Chartering</w:t>
      </w:r>
      <w:r>
        <w:rPr>
          <w:rFonts w:ascii="Times New Roman" w:hAnsi="Times New Roman"/>
          <w:sz w:val="20"/>
        </w:rPr>
        <w:t xml:space="preserve">. Except as permitted herein, no Shipowner will charter or similarly dispose of all or any part of any of the Vessels other than pursuant to agreements in the ordinary course of business or pursuant to agreements that would not materially diminish the value of the Vessel Collateral, as a whole.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Types and Coverage</w:t>
      </w:r>
      <w:r>
        <w:rPr>
          <w:rFonts w:ascii="Times New Roman" w:hAnsi="Times New Roman"/>
          <w:sz w:val="20"/>
        </w:rPr>
        <w:t xml:space="preserve">. Following the Initial Funding Date, each Shipowner shall maintain required vessel insurances as consistent with past practice and as further described on </w:t>
      </w:r>
      <w:r>
        <w:rPr>
          <w:rFonts w:ascii="Times New Roman" w:hAnsi="Times New Roman"/>
          <w:sz w:val="20"/>
          <w:u w:val="single"/>
        </w:rPr>
        <w:t>Schedule 6.19(k)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Reimbursement</w:t>
      </w:r>
      <w:r>
        <w:rPr>
          <w:rFonts w:ascii="Times New Roman" w:hAnsi="Times New Roman"/>
          <w:sz w:val="20"/>
        </w:rPr>
        <w:t xml:space="preserve">. Each Shipowner will reimburse the Administrative Agent promptly, for any and all expenditures which the Administrative Agent may, from time to time, make, lay out or expend in providing such protection in respect of insurance, discharge or purchase of liens, taxes, dues, assessments, governmental charges, fines and penalties lawfully imposed (other than income, franchise or similar Taxes of the Collateral Agent or its affiliates), repairs, attorneys’ fees, translation fees for documents made in a language other than English and other matters as such Shipowner is obligated herein to provide, but fails to provide. Such obligation of such Shipowner to reimburse the Administrative Agent shall be an additional indebtedness due from the Shipowner, secured by the relevant Vessel Mortgage, and shall be payable by such Shipowner promptly upon presentation of documentation in form and detail consistent with the requirements under </w:t>
      </w:r>
      <w:r>
        <w:rPr>
          <w:rFonts w:ascii="Times New Roman" w:hAnsi="Times New Roman"/>
          <w:sz w:val="20"/>
          <w:u w:val="single"/>
        </w:rPr>
        <w:t>Section 11.08</w:t>
      </w:r>
      <w:r>
        <w:rPr>
          <w:rFonts w:ascii="Times New Roman" w:hAnsi="Times New Roman"/>
          <w:sz w:val="20"/>
        </w:rPr>
        <w:t xml:space="preserve">. The Administrative Agent, though privileged so to do, shall be under no obligation to the relevant Shipowner to make any such expenditures, nor shall the making thereof relieve such Shipowner of any default in that respect.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Further Assurances</w:t>
      </w:r>
      <w:r>
        <w:rPr>
          <w:rFonts w:ascii="Times New Roman" w:hAnsi="Times New Roman"/>
          <w:sz w:val="20"/>
        </w:rPr>
        <w:t xml:space="preserve">. In the event that this Agreement or any provision hereof shall be deemed invalidated in whole or in part by reason of any present or future law or any decision of any authoritative court, or if the documents at any time held by the Administrative Agent or Collateral Agent shall be deemed by the Administrative Agent for any reason insufficient to carry out the true intent and spirit of any Vessel Mortgage, then from time to time, the relevant Shipowner will execute, on its own behalf, such other and further assurances and documents as in the reasonable opinion of the Administrative Agent may be required more effectively to subject each relevant Vessel to the payment of the Obligations, as in the Vessel Mortgage provided, and the performance of the terms and provisions of the Vessel Mortgage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Amendments relating to Incremental Loans</w:t>
      </w:r>
      <w:r>
        <w:rPr>
          <w:rFonts w:ascii="Times New Roman" w:hAnsi="Times New Roman"/>
          <w:sz w:val="20"/>
        </w:rPr>
        <w:t xml:space="preserve">. Each Shipowner agrees, promptly upon entering into any Incremental Loan, to amend the relevant Vessel Mortgage, in form and substance satisfactory to the Administrative Agent, if requested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reasonable costs associated with such amendment (including reasonable fees of counsel to the Administrative Agent) shall be borne by the relevant Shipowner.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Ship Recycling</w:t>
      </w:r>
      <w:r>
        <w:rPr>
          <w:rFonts w:ascii="Times New Roman" w:hAnsi="Times New Roman"/>
          <w:sz w:val="20"/>
        </w:rPr>
        <w:t xml:space="preserve">. In the event that a Restricted Subsidiary undertakes to dismantle a Vessel (or to sell such Vessel with the intention of it being dismantled) to the extent permitted under the Loan Documents, the Restricted Subsidiary must comply with the Hong Kong International Convention for the Safe and Environmentally Sound Recycling of Ships, 2009 and/or the EU Ship Recycling Regulations, 2013.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u w:val="single"/>
        </w:rPr>
        <w:t>Negative Covenants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Termination Conditions are not satisfied, the Borrower shall not, nor shall the Borrower permit any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Liens</w:t>
      </w:r>
      <w:r>
        <w:rPr>
          <w:rFonts w:ascii="Times New Roman" w:hAnsi="Times New Roman"/>
          <w:sz w:val="20"/>
        </w:rPr>
        <w:t xml:space="preserve">. Create, incur, assume or suffer to exist any Lien upon any of its property, assets or revenues, whether now owned or hereafter acquired, that secures Indebtedness other than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Liens securing (i) obligations in respect of Indebtedness incurred pursuant to </w:t>
      </w:r>
      <w:r>
        <w:rPr>
          <w:rFonts w:ascii="Times New Roman" w:hAnsi="Times New Roman"/>
          <w:sz w:val="20"/>
          <w:u w:val="single"/>
        </w:rPr>
        <w:t>Section 2.16</w:t>
      </w:r>
      <w:r>
        <w:rPr>
          <w:rFonts w:ascii="Times New Roman" w:hAnsi="Times New Roman"/>
          <w:sz w:val="20"/>
        </w:rPr>
        <w:t xml:space="preserve">, </w:t>
      </w:r>
      <w:r>
        <w:rPr>
          <w:rFonts w:ascii="Times New Roman" w:hAnsi="Times New Roman"/>
          <w:sz w:val="20"/>
          <w:u w:val="single"/>
        </w:rPr>
        <w:t>Section 2.17</w:t>
      </w:r>
      <w:r>
        <w:rPr>
          <w:rFonts w:ascii="Times New Roman" w:hAnsi="Times New Roman"/>
          <w:sz w:val="20"/>
        </w:rPr>
        <w:t xml:space="preserve">, </w:t>
      </w:r>
      <w:r>
        <w:rPr>
          <w:rFonts w:ascii="Times New Roman" w:hAnsi="Times New Roman"/>
          <w:sz w:val="20"/>
          <w:u w:val="single"/>
        </w:rPr>
        <w:t>Section 2.18</w:t>
      </w:r>
      <w:r>
        <w:rPr>
          <w:rFonts w:ascii="Times New Roman" w:hAnsi="Times New Roman"/>
          <w:sz w:val="20"/>
        </w:rPr>
        <w:t xml:space="preserve"> and </w:t>
      </w:r>
      <w:r>
        <w:rPr>
          <w:rFonts w:ascii="Times New Roman" w:hAnsi="Times New Roman"/>
          <w:sz w:val="20"/>
          <w:u w:val="single"/>
        </w:rPr>
        <w:t>Section 7.03(a)(i)</w:t>
      </w:r>
      <w:r>
        <w:rPr>
          <w:rFonts w:ascii="Times New Roman" w:hAnsi="Times New Roman"/>
          <w:sz w:val="20"/>
        </w:rPr>
        <w:t xml:space="preserve">, including obligations in respect of any Loan, any Incremental Loan, any Refinancing Loan and any Extended Loan, and any other Obligations, Incremental Equivalent Debt and any Refinancing Indebtedness in respect of the foregoing and (ii) Indebtedness incurred pursuant to </w:t>
      </w:r>
      <w:r>
        <w:rPr>
          <w:rFonts w:ascii="Times New Roman" w:hAnsi="Times New Roman"/>
          <w:sz w:val="20"/>
          <w:u w:val="single"/>
        </w:rPr>
        <w:t>Section 7.03(a)(ii)</w:t>
      </w:r>
      <w:r>
        <w:rPr>
          <w:rFonts w:ascii="Times New Roman" w:hAnsi="Times New Roman"/>
          <w:sz w:val="20"/>
        </w:rPr>
        <w:t xml:space="preserve"> and any Refinancing Indebtedness in respect of the foregoing; </w:t>
      </w:r>
      <w:r>
        <w:rPr>
          <w:rFonts w:ascii="Times New Roman" w:hAnsi="Times New Roman"/>
          <w:i/>
          <w:sz w:val="20"/>
        </w:rPr>
        <w:t>provided</w:t>
      </w:r>
      <w:r>
        <w:rPr>
          <w:rFonts w:ascii="Times New Roman" w:hAnsi="Times New Roman"/>
          <w:sz w:val="20"/>
        </w:rPr>
        <w:t xml:space="preserve"> that, in the case of this clause (ii), with respect to any such Indebtedness for borrowed money secured by Liens on the Collateral, such Indebtedness must be either First Lien Debt (but not Super-Priority Debt) (and subject to an Equal Priority Intercreditor Agreement and, if the Borrower elects, the Collateral Trust Agreement or in each case a joinder thereto) or Junior Lien Debt (and subject to a Junior Lien Intercreditor Agreement and, if the Borrower elects, a Collateral Trust Agreement or in each case a joinder thereto); </w:t>
      </w:r>
    </w:p>
    <w:p>
      <w:pPr>
        <w:pStyle w:val="TextBody"/>
        <w:bidi w:val="0"/>
        <w:spacing w:before="240" w:after="0"/>
        <w:jc w:val="left"/>
        <w:rPr>
          <w:rFonts w:ascii="Times New Roman" w:hAnsi="Times New Roman"/>
          <w:sz w:val="20"/>
        </w:rPr>
      </w:pPr>
      <w:r>
        <w:rPr>
          <w:rFonts w:ascii="Times New Roman" w:hAnsi="Times New Roman"/>
          <w:sz w:val="20"/>
        </w:rPr>
        <w:t xml:space="preserve">(b) Liens securing obligations under the Second Lien Credit Agreement and any Second Lien Credit Agreement Refinancing Indebtedness thereof; </w:t>
      </w:r>
    </w:p>
    <w:p>
      <w:pPr>
        <w:pStyle w:val="TextBody"/>
        <w:bidi w:val="0"/>
        <w:spacing w:before="240" w:after="0"/>
        <w:jc w:val="left"/>
        <w:rPr>
          <w:rFonts w:ascii="Times New Roman" w:hAnsi="Times New Roman"/>
          <w:sz w:val="20"/>
        </w:rPr>
      </w:pPr>
      <w:r>
        <w:rPr>
          <w:rFonts w:ascii="Times New Roman" w:hAnsi="Times New Roman"/>
          <w:sz w:val="20"/>
        </w:rPr>
        <w:t xml:space="preserve">(c) Liens existing on the Closing Date (other than Liens incurred under </w:t>
      </w:r>
      <w:r>
        <w:rPr>
          <w:rFonts w:ascii="Times New Roman" w:hAnsi="Times New Roman"/>
          <w:sz w:val="20"/>
          <w:u w:val="single"/>
        </w:rPr>
        <w:t>Sections 7.01(a)</w:t>
      </w:r>
      <w:r>
        <w:rPr>
          <w:rFonts w:ascii="Times New Roman" w:hAnsi="Times New Roman"/>
          <w:sz w:val="20"/>
        </w:rPr>
        <w:t xml:space="preserve"> and </w:t>
      </w:r>
      <w:r>
        <w:rPr>
          <w:rFonts w:ascii="Times New Roman" w:hAnsi="Times New Roman"/>
          <w:sz w:val="20"/>
          <w:u w:val="single"/>
        </w:rPr>
        <w:t>7.01(b)</w:t>
      </w:r>
      <w:r>
        <w:rPr>
          <w:rFonts w:ascii="Times New Roman" w:hAnsi="Times New Roman"/>
          <w:sz w:val="20"/>
        </w:rPr>
        <w:t xml:space="preserve">) and listed on </w:t>
      </w:r>
      <w:r>
        <w:rPr>
          <w:rFonts w:ascii="Times New Roman" w:hAnsi="Times New Roman"/>
          <w:sz w:val="20"/>
          <w:u w:val="single"/>
        </w:rPr>
        <w:t>Schedule 7.01(c)</w:t>
      </w:r>
      <w:r>
        <w:rPr>
          <w:rFonts w:ascii="Times New Roman" w:hAnsi="Times New Roman"/>
          <w:sz w:val="20"/>
        </w:rPr>
        <w:t xml:space="preserve"> hereto, together with any Liens securing any Refinancing Indebtedness of any Indebtedness secured by such Liens; </w:t>
      </w:r>
    </w:p>
    <w:p>
      <w:pPr>
        <w:pStyle w:val="TextBody"/>
        <w:bidi w:val="0"/>
        <w:spacing w:before="240" w:after="0"/>
        <w:jc w:val="left"/>
        <w:rPr>
          <w:rFonts w:ascii="Times New Roman" w:hAnsi="Times New Roman"/>
          <w:sz w:val="20"/>
        </w:rPr>
      </w:pPr>
      <w:r>
        <w:rPr>
          <w:rFonts w:ascii="Times New Roman" w:hAnsi="Times New Roman"/>
          <w:sz w:val="20"/>
        </w:rPr>
        <w:t xml:space="preserve">(d) 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w:t>
      </w:r>
      <w:r>
        <w:rPr>
          <w:rFonts w:ascii="Times New Roman" w:hAnsi="Times New Roman"/>
          <w:sz w:val="20"/>
          <w:u w:val="single"/>
        </w:rPr>
        <w:t>clause (a)</w:t>
      </w:r>
      <w:r>
        <w:rPr>
          <w:rFonts w:ascii="Times New Roman" w:hAnsi="Times New Roman"/>
          <w:sz w:val="20"/>
        </w:rPr>
        <w:t xml:space="preserve">, or (c) in connection with bids, tenders,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(e) Liens with respect to outstanding motor vehicle fines and Liens imposed by law or regulation, including carriers’, warehousemen’s, mechanics’, landlords’, suppliers’, materialmen’s, repairmen’s, architects’, construction contractors’ or other similar Liens, in each case for amounts not overdue for a period of more than sixty (60) days or, if more than sixty (60) days overdue, are unfiled and no other action has been taken to enforce such Liens or that are being contested in good faith by appropriate proceedings, provided that appropriate reserves required pursuant to GAAP have been made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(f) Liens for Taxes, assessments or other governmental charges that are not overdue for a period of more than sixty (60) days or not yet payable or subject to penalties for nonpayment or that are being contested in good faith by appropriate proceedings; provided that appropriate reserves required pursuant to GAAP have been made in respect thereof, or for property Taxes on property of the Borrower or one of its Subsidiaries has determined to abandon if the sole recourse for such Tax is to such property; </w:t>
      </w:r>
    </w:p>
    <w:p>
      <w:pPr>
        <w:pStyle w:val="TextBody"/>
        <w:bidi w:val="0"/>
        <w:spacing w:before="240" w:after="0"/>
        <w:jc w:val="left"/>
        <w:rPr>
          <w:rFonts w:ascii="Times New Roman" w:hAnsi="Times New Roman"/>
          <w:sz w:val="20"/>
        </w:rPr>
      </w:pPr>
      <w:r>
        <w:rPr>
          <w:rFonts w:ascii="Times New Roman" w:hAnsi="Times New Roman"/>
          <w:sz w:val="20"/>
        </w:rPr>
        <w:t xml:space="preserve">(g) 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Borrower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(h) Liens (i) securing Hedge Agreements, Cash Management Obligations and the costs thereof; (ii) that are rights of set-off, rights of pledge or other bankers’ Liens (x) relating to treasury, depository and cash management services or any automated clearing house transfers of funds in the ordinary course of business or consistent with past practice, (y) relating to pooled deposit or sweep accounts to permit satisfaction of overdraft or similar obligations incurred in the ordinary course of business of the Borrower or any Subsidiary or consistent with past practice or (z) relating to purchase orders and other agreements entered into with customers of the Borrower or any Restricted Subsidiary in the ordinary course of business or consistent with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practice; (iii) on cash accounts securing Indebtedness and other Obligations permitted to be incurred under </w:t>
      </w:r>
      <w:r>
        <w:rPr>
          <w:rFonts w:ascii="Times New Roman" w:hAnsi="Times New Roman"/>
          <w:sz w:val="20"/>
          <w:u w:val="single"/>
        </w:rPr>
        <w:t>Section 7.03(j)</w:t>
      </w:r>
      <w:r>
        <w:rPr>
          <w:rFonts w:ascii="Times New Roman" w:hAnsi="Times New Roman"/>
          <w:sz w:val="20"/>
        </w:rPr>
        <w:t xml:space="preserve"> with financial institutions; (iv) encumbering reasonable customary initial deposits and margin deposits and similar Liens attaching to commodity trading accounts or other brokerage accounts incurred in the ordinary course of business or consistent with past practice and not for speculative purposes; and (v)(A) of a collection bank arising under Section 4-210 of the UCC or any comparable or successor provision on items in the course of collection and (B) in favor of a banking or other financial institution or electronic payment service providers arising as a matter of law encumbering deposits (including the right of set-off) arising in the ordinary course of business in connection with the maintenance of such accounts and (C) arising under customary general terms and conditions of the account bank in relation to any bank account maintained with such bank and attaching only to such account and the products and proceeds thereof, which Liens, in any event, do not secure 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(i) leases, licenses, subleases and sublicenses of assets (including real property, intellectual property, software and other technology rights), in each case entered into in the ordinary course of business, consistent with past practice or, with respect to intellectual property, software and other technology rights, that are not material to the conduct of the business of the Borrower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(j) Liens securing or otherwise arising out of judgments, decrees, attachments, orders or awards not giving rise to an Event of Default under </w:t>
      </w:r>
      <w:r>
        <w:rPr>
          <w:rFonts w:ascii="Times New Roman" w:hAnsi="Times New Roman"/>
          <w:sz w:val="20"/>
          <w:u w:val="single"/>
        </w:rPr>
        <w:t>Section 9.01(g)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Liens (a) securing Capitalized Leases,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provided that (i) the aggregate principal amount of Indebtedness secured by such Liens is otherwise permitted to be incurred under this Agreement and (ii) any such Liens may not extend to any assets or property of the Borrower or any Restricted Subsidiary other than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(b) any interest or title of a lessor, sublessor, franchisor, licensor or sublicensor or secured by a lessor’s, sublessor’s, franchisor’s, licensor’s or sublicensor’s interest under any Capitalized Lease Obligations or Non-Financing Lease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(l) Liens arising from UCC financing statements, including precautionary financing statements (or similar filings) regarding operating leases or consignments entered into by the Borrower and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Liens on property, other assets or shares of stock of a Person at the time such Person becomes a Subsidiary (or at the time the Borrower or a Subsidiary acquires such property, other assets or shares of stock, including any acquisition by means of a merger, amalgamation, consolidation or other business combination transaction with or into the Borrower or any Restricted Subsidiary); provided, however, that such Liens are not created in anticipation of such other Person becoming a Subsidiary (or such acquisition of such property, other assets or stock); provided, further, that such Liens are limited to all or part of the same property, other assets or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 </w:t>
      </w:r>
    </w:p>
    <w:p>
      <w:pPr>
        <w:pStyle w:val="TextBody"/>
        <w:bidi w:val="0"/>
        <w:spacing w:before="240" w:after="0"/>
        <w:jc w:val="left"/>
        <w:rPr>
          <w:rFonts w:ascii="Times New Roman" w:hAnsi="Times New Roman"/>
          <w:sz w:val="20"/>
        </w:rPr>
      </w:pPr>
      <w:r>
        <w:rPr>
          <w:rFonts w:ascii="Times New Roman" w:hAnsi="Times New Roman"/>
          <w:sz w:val="20"/>
        </w:rPr>
        <w:t xml:space="preserve">(n) Liens securing Obligations relating to any Indebtedness or other obligations of the Borrower or a Restricted Subsidiary owing to the Borrower or another Restricted Subsidiary, or Liens in favor of the Borrower or any Restricted Subsidiary or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(o) Liens securing any Refinancing Indebtedness incurred to refinance Indebtedness that was previously so secured, and permitted to be secured under this Agreement (other than </w:t>
      </w:r>
      <w:r>
        <w:rPr>
          <w:rFonts w:ascii="Times New Roman" w:hAnsi="Times New Roman"/>
          <w:sz w:val="20"/>
          <w:u w:val="single"/>
        </w:rPr>
        <w:t>Section 7.01(a))</w:t>
      </w:r>
      <w:r>
        <w:rPr>
          <w:rFonts w:ascii="Times New Roman" w:hAnsi="Times New Roman"/>
          <w:sz w:val="20"/>
        </w:rPr>
        <w:t xml:space="preserve">; provided that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 </w:t>
      </w:r>
    </w:p>
    <w:p>
      <w:pPr>
        <w:pStyle w:val="TextBody"/>
        <w:bidi w:val="0"/>
        <w:spacing w:before="240" w:after="0"/>
        <w:jc w:val="left"/>
        <w:rPr>
          <w:rFonts w:ascii="Times New Roman" w:hAnsi="Times New Roman"/>
          <w:sz w:val="20"/>
        </w:rPr>
      </w:pPr>
      <w:r>
        <w:rPr>
          <w:rFonts w:ascii="Times New Roman" w:hAnsi="Times New Roman"/>
          <w:sz w:val="20"/>
        </w:rPr>
        <w:t xml:space="preserve">(p) (i) mortgages, liens, security interests, restrictions, encumbrances or any other matters of record that have been placed by any government, statutory or regulatory authority, developer, landlord or other third party on property over which the Borrower or any Restricted Subsidiary has easement rights or on any leased property and subordination or similar arrangements relating thereto and (ii) any condemnation or eminent domain proceedings affecting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(q) any encumbrance or restriction (including put and call arrangements) with respect to Equity Interests of any joint venture securing financing arrangement, joint venture or similar arrangement pursuant to any joint venture securing financing agreement, joint venture or similar agreement; </w:t>
      </w:r>
    </w:p>
    <w:p>
      <w:pPr>
        <w:pStyle w:val="TextBody"/>
        <w:bidi w:val="0"/>
        <w:spacing w:before="240" w:after="0"/>
        <w:jc w:val="left"/>
        <w:rPr>
          <w:rFonts w:ascii="Times New Roman" w:hAnsi="Times New Roman"/>
          <w:sz w:val="20"/>
        </w:rPr>
      </w:pPr>
      <w:r>
        <w:rPr>
          <w:rFonts w:ascii="Times New Roman" w:hAnsi="Times New Roman"/>
          <w:sz w:val="20"/>
        </w:rPr>
        <w:t xml:space="preserve">(r) Liens on property or assets under construction (and related rights) in favor of a contractor or developer or arising from progress or partial payments by a third party relating to such property or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Liens arising out of conditional sale, title retention, hire purchase, consignment or similar arrangements for the sale or purchase of goods entered into in the ordinary course of business or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(t) Liens securing Indebtedness and other Obligations permitted under </w:t>
      </w:r>
      <w:r>
        <w:rPr>
          <w:rFonts w:ascii="Times New Roman" w:hAnsi="Times New Roman"/>
          <w:sz w:val="20"/>
          <w:u w:val="single"/>
        </w:rPr>
        <w:t>Section 7.03(g)</w:t>
      </w:r>
      <w:r>
        <w:rPr>
          <w:rFonts w:ascii="Times New Roman" w:hAnsi="Times New Roman"/>
          <w:sz w:val="20"/>
        </w:rPr>
        <w:t xml:space="preserve"> provided that such Liens shall only be permitted if such Liens are limited to all or part of the same property or assets, including Equity Interests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Borrower or any Restricted Subsidiary, in any transaction to which such Indebtedness or other obligation relates; </w:t>
      </w:r>
    </w:p>
    <w:p>
      <w:pPr>
        <w:pStyle w:val="TextBody"/>
        <w:bidi w:val="0"/>
        <w:spacing w:before="240" w:after="0"/>
        <w:jc w:val="left"/>
        <w:rPr>
          <w:rFonts w:ascii="Times New Roman" w:hAnsi="Times New Roman"/>
          <w:sz w:val="20"/>
        </w:rPr>
      </w:pPr>
      <w:r>
        <w:rPr>
          <w:rFonts w:ascii="Times New Roman" w:hAnsi="Times New Roman"/>
          <w:sz w:val="20"/>
        </w:rPr>
        <w:t xml:space="preserve">(u) Liens on Equity Interests or other securities or assets of any Unrestricted Subsidiary that secure Indebtedness or other obligations of such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(v) Liens deemed to exist in connection with Investments permitted under </w:t>
      </w:r>
      <w:r>
        <w:rPr>
          <w:rFonts w:ascii="Times New Roman" w:hAnsi="Times New Roman"/>
          <w:sz w:val="20"/>
          <w:u w:val="single"/>
        </w:rPr>
        <w:t>clause (e)</w:t>
      </w:r>
      <w:r>
        <w:rPr>
          <w:rFonts w:ascii="Times New Roman" w:hAnsi="Times New Roman"/>
          <w:sz w:val="20"/>
        </w:rPr>
        <w:t xml:space="preserve"> of the definition of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(w) Liens on (i) goods the purchase price of which is financed by a documentary letter of credit issued for the account of the Borrower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of credit issued or created for the account of such Person to facilitate the purchase, shipment or storage of such inventory or other goods; </w:t>
      </w:r>
    </w:p>
    <w:p>
      <w:pPr>
        <w:pStyle w:val="TextBody"/>
        <w:bidi w:val="0"/>
        <w:spacing w:before="240" w:after="0"/>
        <w:jc w:val="left"/>
        <w:rPr>
          <w:rFonts w:ascii="Times New Roman" w:hAnsi="Times New Roman"/>
          <w:sz w:val="20"/>
        </w:rPr>
      </w:pPr>
      <w:r>
        <w:rPr>
          <w:rFonts w:ascii="Times New Roman" w:hAnsi="Times New Roman"/>
          <w:sz w:val="20"/>
        </w:rPr>
        <w:t xml:space="preserve">(x) Liens on vehicles or equipment of the Borrower or any Restricted Subsidiary in the ordinary course of business or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(y) Liens on assets or securities deemed to arise in connection with and solely as a result of the execution, delivery or performance of contracts to sell such assets or securities if such sale is otherwise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(z) (a)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(aa) Liens solely on any cash earnest money deposits made in connection with any letter of intent or purchase agreement permitted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Liens (i)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 </w:t>
      </w:r>
    </w:p>
    <w:p>
      <w:pPr>
        <w:pStyle w:val="TextBody"/>
        <w:bidi w:val="0"/>
        <w:spacing w:before="240" w:after="0"/>
        <w:jc w:val="left"/>
        <w:rPr>
          <w:rFonts w:ascii="Times New Roman" w:hAnsi="Times New Roman"/>
          <w:sz w:val="20"/>
        </w:rPr>
      </w:pPr>
      <w:r>
        <w:rPr>
          <w:rFonts w:ascii="Times New Roman" w:hAnsi="Times New Roman"/>
          <w:sz w:val="20"/>
        </w:rPr>
        <w:t xml:space="preserve">(cc) Liens securing Indebtedness and other Obligations in an aggregate principal amount not to exceed at any time outstanding the greater of (a) $50.0 million and (b) an amount equal to 6.0% of the Borrower’s Consolidated Net Tangible Assets determined as of the end of the Borrower’s most recently completed fiscal quarter for which internal financial statements are available at the time incurred; </w:t>
      </w:r>
      <w:r>
        <w:rPr>
          <w:rFonts w:ascii="Times New Roman" w:hAnsi="Times New Roman"/>
          <w:i/>
          <w:sz w:val="20"/>
        </w:rPr>
        <w:t>provided</w:t>
      </w:r>
      <w:r>
        <w:rPr>
          <w:rFonts w:ascii="Times New Roman" w:hAnsi="Times New Roman"/>
          <w:sz w:val="20"/>
        </w:rPr>
        <w:t xml:space="preserve"> that with respect to any such Indebtedness or obligations secured by Liens on all or substantially all of the Collateral, such Indebtedness must be either Other Pari Lien Obligations (and subject to an Equal-Priority Intercreditor Agreement and, if the Borrower elects, the Collateral Trust Agreement or in each case a joinder thereto) or Junior Lien Debt (and subject to a Junior Lien Intercreditor Agreement and, if the Borrower elects, the Collateral Trust Agreement or in each case a joinder thereto); </w:t>
      </w:r>
    </w:p>
    <w:p>
      <w:pPr>
        <w:pStyle w:val="TextBody"/>
        <w:bidi w:val="0"/>
        <w:spacing w:before="240" w:after="0"/>
        <w:jc w:val="left"/>
        <w:rPr>
          <w:rFonts w:ascii="Times New Roman" w:hAnsi="Times New Roman"/>
          <w:sz w:val="20"/>
        </w:rPr>
      </w:pPr>
      <w:r>
        <w:rPr>
          <w:rFonts w:ascii="Times New Roman" w:hAnsi="Times New Roman"/>
          <w:sz w:val="20"/>
        </w:rPr>
        <w:t xml:space="preserve">(dd) Liens then existing with respect to assets of an Unrestricted Subsidiary on the day such Unrestricted Subsidiary is redesignated as a Restricted Subsidiary pursuant to </w:t>
      </w:r>
      <w:r>
        <w:rPr>
          <w:rFonts w:ascii="Times New Roman" w:hAnsi="Times New Roman"/>
          <w:sz w:val="20"/>
          <w:u w:val="single"/>
        </w:rPr>
        <w:t>Section 6.13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(ee) Liens arising in connection with a Qualified Securitization Financing or a Receivables Facility; </w:t>
      </w:r>
    </w:p>
    <w:p>
      <w:pPr>
        <w:pStyle w:val="TextBody"/>
        <w:bidi w:val="0"/>
        <w:spacing w:before="240" w:after="0"/>
        <w:jc w:val="left"/>
        <w:rPr>
          <w:rFonts w:ascii="Times New Roman" w:hAnsi="Times New Roman"/>
          <w:sz w:val="20"/>
        </w:rPr>
      </w:pPr>
      <w:r>
        <w:rPr>
          <w:rFonts w:ascii="Times New Roman" w:hAnsi="Times New Roman"/>
          <w:sz w:val="20"/>
        </w:rPr>
        <w:t xml:space="preserve">(ff) Settlement Liens; </w:t>
      </w:r>
    </w:p>
    <w:p>
      <w:pPr>
        <w:pStyle w:val="TextBody"/>
        <w:bidi w:val="0"/>
        <w:spacing w:before="240" w:after="0"/>
        <w:jc w:val="left"/>
        <w:rPr>
          <w:rFonts w:ascii="Times New Roman" w:hAnsi="Times New Roman"/>
          <w:sz w:val="20"/>
        </w:rPr>
      </w:pPr>
      <w:r>
        <w:rPr>
          <w:rFonts w:ascii="Times New Roman" w:hAnsi="Times New Roman"/>
          <w:sz w:val="20"/>
        </w:rPr>
        <w:t xml:space="preserve">(gg) rights of recapture of unused real property in favor of the seller of such property set forth in customary purchase agreements and related arrangements with any government, statutory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(hh) the rights reserved to or vested in any Person or government, statutory or regulatory authority by the terms of any lease, license, franchise, grant or permit held by the Borrower or any Restricted Subsidiary or by a statutory provision, to terminate any such lease, license, franchise, grant or permit, or to require annual or periodic payments as a condition to the continuance thereof; </w:t>
      </w:r>
    </w:p>
    <w:p>
      <w:pPr>
        <w:pStyle w:val="TextBody"/>
        <w:bidi w:val="0"/>
        <w:spacing w:before="240" w:after="0"/>
        <w:jc w:val="left"/>
        <w:rPr>
          <w:rFonts w:ascii="Times New Roman" w:hAnsi="Times New Roman"/>
          <w:sz w:val="20"/>
        </w:rPr>
      </w:pPr>
      <w:r>
        <w:rPr>
          <w:rFonts w:ascii="Times New Roman" w:hAnsi="Times New Roman"/>
          <w:sz w:val="20"/>
        </w:rPr>
        <w:t xml:space="preserve">(ii) restrictive covenants affecting the use to which real property may be put and Liens or covenants restricting or prohibiting access to or from lands abutting on controlled access highways or covenants affecting the use to which lands may be put; provided that such Liens or covenants do not interfere with the ordinary conduct of the business of the Borrower or any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(jj) Liens on property, assets or Permitted Investments used to defease or to satisfy or discharge Indebtedness; </w:t>
      </w:r>
      <w:r>
        <w:rPr>
          <w:rFonts w:ascii="Times New Roman" w:hAnsi="Times New Roman"/>
          <w:i/>
          <w:sz w:val="20"/>
        </w:rPr>
        <w:t>provided</w:t>
      </w:r>
      <w:r>
        <w:rPr>
          <w:rFonts w:ascii="Times New Roman" w:hAnsi="Times New Roman"/>
          <w:sz w:val="20"/>
        </w:rPr>
        <w:t xml:space="preserve"> that such defeasance, satisfaction or discharge is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(kk)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(ll) Liens on assets securing any Indebtedness owed to any Captive Insurance Subsidiary by the Borrower or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(mm) Liens for the benefit of Borrower or any Restricted Subsidiary arising in connection with any Permitted Intercompany Activities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(nn) Permitted Maritime Liens; </w:t>
      </w:r>
      <w:r>
        <w:rPr>
          <w:rFonts w:ascii="Times New Roman" w:hAnsi="Times New Roman"/>
          <w:strike/>
          <w:color w:val="FF0000"/>
          <w:sz w:val="20"/>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(oo) Liens on Vessels under or to be under construction or conversion or otherwise not constituting Collateral and assets related thereto (including cash and Cash Equivalents held in one or more Excluded Accounts constituting the proceeds of any financing described under this clause (oo) or that are earmarked to fund such construction or conversion and costs and expenses ancillary thereto, including any downpayments in respect thereof (“Subsidized </w:t>
      </w:r>
      <w:r>
        <w:rPr>
          <w:rFonts w:ascii="Times New Roman" w:hAnsi="Times New Roman"/>
          <w:b/>
          <w:sz w:val="20"/>
        </w:rPr>
        <w:t>Indebtedness Specified Cash”))</w:t>
      </w:r>
      <w:r>
        <w:rPr>
          <w:rFonts w:ascii="Times New Roman" w:hAnsi="Times New Roman"/>
          <w:sz w:val="20"/>
        </w:rPr>
        <w:t xml:space="preserve"> securing government or quasi-government provided, supported, guaranteed or subsidized Indebtedness in an aggregate principal amount not to exceed (i) in the case of Liens on Vessels registered under the laws and flag of the United States, the greater of $40 million and an amount equal to 5% of the Borrower’s Consolidated Net Tangible Assets as determined as of the end of the Borrower’s most recently completed fiscal quarter for which internal financial statements are available and (ii) in the case of any Vessel not registered under the laws and flag of the United States, an amount equal to 75% of the aggregate cost and expenses associated with or otherwise anticipated by the Borrower to be incurred in connection with such acquisition, construction or conversion</w:t>
      </w:r>
      <w:r>
        <w:rPr>
          <w:rFonts w:ascii="Times New Roman" w:hAnsi="Times New Roman"/>
          <w:strike/>
          <w:color w:val="FF0000"/>
          <w:sz w:val="20"/>
        </w:rPr>
        <w:t>.</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(pp) Liens securing Indebtedness and other Obligations permitted to be incurred under Section 7.03(r).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7.01</w:t>
      </w:r>
      <w:r>
        <w:rPr>
          <w:rFonts w:ascii="Times New Roman" w:hAnsi="Times New Roman"/>
          <w:sz w:val="20"/>
        </w:rPr>
        <w:t xml:space="preserve">, in the event that any Lien (or any portion thereof) meets the criteria of more than one of the categories set forth above, the Borrower may, in their sole discretion, at the time of incurrence, divide, classify or reclassify, or at any later time divide, classify or reclassify, such Lien (or any portion thereof) in any manner that complies with this covenant on the date such Lien is incurred or such later time, as applicable. For the avoidance of doubt, a Lien may be reclassified at a time subsequent to the time it was originally incurred, so long as such Lien would have been able to have been incurred at the time of such reclassification pursuant to the provision to which such Lien is being reclassified.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neither the Borrower nor any Restricted Subsidiary shall permit any Lien to exist on (x) Excluded Foreign Flag Vessels or (y) in the case of a FSHCO, a Foreign Subsidiary or a Restricted Subsidiary of any FSHCO or Foreign Subsidiary (in each case, which is not a Guarantor), any assets or properties thereof, which Liens are securing Indebtedness for Borrowed Money, excluding (i) Liens arising as a matter of law, (ii) Liens securing Purchase Money Obligations or Capitalized Lease Obligations, (iii) Liens </w:t>
      </w:r>
      <w:r>
        <w:rPr>
          <w:rFonts w:ascii="Times New Roman" w:hAnsi="Times New Roman"/>
          <w:strike/>
          <w:color w:val="FF0000"/>
          <w:sz w:val="20"/>
        </w:rPr>
        <w:t>securing Acquiring Indebtedness</w:t>
      </w:r>
      <w:r>
        <w:rPr>
          <w:rFonts w:ascii="Times New Roman" w:hAnsi="Times New Roman"/>
          <w:color w:val="0000FF"/>
          <w:sz w:val="20"/>
          <w:u w:val="single"/>
          <w:bdr w:val="double" w:sz="2" w:space="1" w:color="000000"/>
        </w:rPr>
        <w:t>pursuant to Section 7.01(oo) and Section 7.01(pp)</w:t>
      </w:r>
      <w:r>
        <w:rPr>
          <w:rFonts w:ascii="Times New Roman" w:hAnsi="Times New Roman"/>
          <w:sz w:val="20"/>
        </w:rPr>
        <w:t xml:space="preserve">, (iv) Liens securing Acquired Indebtedness, (v) Liens securing insurance financings in respect of </w:t>
      </w:r>
      <w:r>
        <w:rPr>
          <w:rFonts w:ascii="Times New Roman" w:hAnsi="Times New Roman"/>
          <w:sz w:val="20"/>
          <w:u w:val="single"/>
        </w:rPr>
        <w:t>Section 7.03(m)(i)</w:t>
      </w:r>
      <w:r>
        <w:rPr>
          <w:rFonts w:ascii="Times New Roman" w:hAnsi="Times New Roman"/>
          <w:sz w:val="20"/>
        </w:rPr>
        <w:t>, (</w:t>
      </w:r>
      <w:r>
        <w:rPr>
          <w:rFonts w:ascii="Times New Roman" w:hAnsi="Times New Roman"/>
          <w:strike/>
          <w:color w:val="FF0000"/>
          <w:sz w:val="20"/>
        </w:rPr>
        <w:t>v</w:t>
      </w:r>
      <w:r>
        <w:rPr>
          <w:rFonts w:ascii="Times New Roman" w:hAnsi="Times New Roman"/>
          <w:color w:val="0000FF"/>
          <w:sz w:val="20"/>
          <w:u w:val="single"/>
          <w:bdr w:val="double" w:sz="2" w:space="1" w:color="000000"/>
        </w:rPr>
        <w:t>vi</w:t>
      </w:r>
      <w:r>
        <w:rPr>
          <w:rFonts w:ascii="Times New Roman" w:hAnsi="Times New Roman"/>
          <w:sz w:val="20"/>
        </w:rPr>
        <w:t xml:space="preserve"> ) Liens which are not a mortgage Lien which secure Intercompany Indebtedness, and (</w:t>
      </w:r>
      <w:r>
        <w:rPr>
          <w:rFonts w:ascii="Times New Roman" w:hAnsi="Times New Roman"/>
          <w:strike/>
          <w:color w:val="FF0000"/>
          <w:sz w:val="20"/>
        </w:rPr>
        <w:t>vi</w:t>
      </w:r>
      <w:r>
        <w:rPr>
          <w:rFonts w:ascii="Times New Roman" w:hAnsi="Times New Roman"/>
          <w:color w:val="0000FF"/>
          <w:sz w:val="20"/>
          <w:u w:val="single"/>
          <w:bdr w:val="double" w:sz="2" w:space="1" w:color="000000"/>
        </w:rPr>
        <w:t>vii</w:t>
      </w:r>
      <w:r>
        <w:rPr>
          <w:rFonts w:ascii="Times New Roman" w:hAnsi="Times New Roman"/>
          <w:sz w:val="20"/>
        </w:rPr>
        <w:t xml:space="preserve">) any permitted refinancings of each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neither the Borrower nor any Restricted Subsidiary shall permit any Liens on the Collateral secured on a senior or otherwise preferred basis with the Liens securing the Obligations to the extent such Liens secure (i) Super-Priority Debt (excluding the Obligations) or other Indebtedness and (ii) any other First Lien Debt for borrowed money (other than to the extent constituting Obligations, Second Lien Credit Agreement Refinancing Indebtedness or Indebtedness permitted under Section 7.03(a) above), in each case, without the prior written consent of all Lenders. </w:t>
      </w:r>
    </w:p>
    <w:p>
      <w:pPr>
        <w:pStyle w:val="TextBody"/>
        <w:bidi w:val="0"/>
        <w:spacing w:before="240" w:after="0"/>
        <w:jc w:val="left"/>
        <w:rPr>
          <w:rFonts w:ascii="Times New Roman" w:hAnsi="Times New Roman"/>
          <w:sz w:val="20"/>
        </w:rPr>
      </w:pPr>
      <w:r>
        <w:rPr>
          <w:rFonts w:ascii="Times New Roman" w:hAnsi="Times New Roman"/>
          <w:sz w:val="20"/>
        </w:rPr>
        <w:t>SECTION 7.02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Indebtedness</w:t>
      </w:r>
      <w:r>
        <w:rPr>
          <w:rFonts w:ascii="Times New Roman" w:hAnsi="Times New Roman"/>
          <w:sz w:val="20"/>
        </w:rPr>
        <w:t xml:space="preserve">. Create, incur or assume any Indebtedness (including Acquired Indebtedness);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Borrower and any of its Restricted Subsidiaries may incur Indebtedness (including Acquired Indebtedness), if on the date of such incurrence and after giving pro forma effect thereto (including pro forma application of the proceeds thereof), (A) the Fixed Charge Coverage Ratio of the Borrower and its Restricted Subsidiaries is greater than 2.00 to 1.00 and (B) the Borrower is in pro forma compliance with the Financial Covenants (“</w:t>
      </w:r>
      <w:r>
        <w:rPr>
          <w:rFonts w:ascii="Times New Roman" w:hAnsi="Times New Roman"/>
          <w:b/>
          <w:sz w:val="20"/>
        </w:rPr>
        <w:t>Ratio Debt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foregoing shall not prohibit the incurrence of the following Indebtedness (collectively, together with Ratio Debt, “</w:t>
      </w:r>
      <w:r>
        <w:rPr>
          <w:rFonts w:ascii="Times New Roman" w:hAnsi="Times New Roman"/>
          <w:b/>
          <w:sz w:val="20"/>
        </w:rPr>
        <w:t>Permitted</w:t>
      </w:r>
      <w:r>
        <w:rPr>
          <w:rFonts w:ascii="Times New Roman" w:hAnsi="Times New Roman"/>
          <w:sz w:val="20"/>
        </w:rPr>
        <w:t xml:space="preserve"> </w:t>
      </w:r>
      <w:r>
        <w:rPr>
          <w:rFonts w:ascii="Times New Roman" w:hAnsi="Times New Roman"/>
          <w:b/>
          <w:sz w:val="20"/>
        </w:rPr>
        <w:t>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Indebtedness incurred (i) under the Loan Documents (including Incremental Loans, Refinancing Loans and Extended Loans) and all other Obligations and any Incremental Equivalent Debt and (ii) Indebtedness incurred by the Borrower or any Guarantor (including any First Lien Debt (other than Super-Priority Debt), Junior Lien Debt and any letters of credit or bankers’ acceptances) and Guarantees in respect thereof, up to an aggregate principal amount at the time of incurrence not exceeding (x) the greater of $200.0 million and an amount equal to 35% of the Borrower’s Consolidated Net Tangible Assets determined as of the end of the Borrower’s most recently completed fiscal quarter for which internal financial statements are available, plus (y) an unlimited amount if on the date of such incurrence and after giving pro forma effect thereto (including pro forma application of the proceeds thereof) the Secured Net Leverage Ratio of the Borrower and its Restricted Subsidiaries is no greater than 2.25 to 1.00 (or, with respect to an acquisition (by merger, consolidation, amalgamation or otherwise),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Secured Net Leverage Ratio after giving effect to such acquisition of the Borrower and its Restricted Subsidiaries is no worse than the Secured Net Leverage Ratio of the Borrower and its Restricted Subsidiaries immediately prior to such acquisition) (in each case, with any Indebtedness incurred in reliance upon this clause (ii) being deemed to be Consolidated Secured Net Debt for purposes of calculating the Secured Leverage Ratio, whether or not secured), as long as, in the case of this </w:t>
      </w:r>
      <w:r>
        <w:rPr>
          <w:rFonts w:ascii="Times New Roman" w:hAnsi="Times New Roman"/>
          <w:sz w:val="20"/>
          <w:u w:val="single"/>
        </w:rPr>
        <w:t>clause (a)(ii)</w:t>
      </w:r>
      <w:r>
        <w:rPr>
          <w:rFonts w:ascii="Times New Roman" w:hAnsi="Times New Roman"/>
          <w:sz w:val="20"/>
        </w:rPr>
        <w:t xml:space="preserve">, the Borrower is in pro forma compliance with the Financial Covenants upon giving pro forma effect thereto and, in each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any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Indebtedness existing on the Closing Date (together with guarantee obligations thereunder), including Indebtedness under the Second Lien Credit Agreement, so long all such Indebtedness is repaid, refinanced with the proceeds of or exchanged for Second Lien Credit Agreement Refinancing Indebtedness or the maturity date thereunder is otherwise extended by the date that is no later than ninety-one (91) days prior to the maturity date under the existing Second Lien Credit Agreement and as long as, after giving effect to such refinancing or extension, the maturity date of such resulting Indebtedness is no earlier than ninety-one (91) days after the then-latest Maturity Date and as otherwise listed on </w:t>
      </w:r>
      <w:r>
        <w:rPr>
          <w:rFonts w:ascii="Times New Roman" w:hAnsi="Times New Roman"/>
          <w:sz w:val="20"/>
          <w:u w:val="single"/>
        </w:rPr>
        <w:t>Schedule 7.03(c))</w:t>
      </w:r>
      <w:r>
        <w:rPr>
          <w:rFonts w:ascii="Times New Roman" w:hAnsi="Times New Roman"/>
          <w:sz w:val="20"/>
        </w:rPr>
        <w:t xml:space="preserve"> hereto and any Refinancing Indebtedness thereof (or, in the case of Indebtedness under the Second Lien Credit Agreement, any Second Lien Credit Agreement Refinancing Indebtedness) and any Intercompany Indebtedness outstanding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Guarantees by the Borrower or any Restricted Subsidiary of Indebtedness or other obligations of the Borrower or any Restricted Subsidiary so long as the incurrence of such Indebtedness or other obligations guaranteed pursuant hereto was not prohibited by the terms of this Agreement at the time it was incurred and, with respect to non-Guarantor Restricted Subsidiaries, could have been incurred by a non-Guarantor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of the Borrower to any Restricted Subsidiary or Indebtedness of a Restricted Subsidiary to the Borrower or to any Restricted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any subsequent issuance or transfer of Equity Interests or any other event which results in any such Indebtedness being held by a Person other than the Borrower or a 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(ii) any sale or other transfer of any such Indebtedness to a Person other than the Borrower or a Restricted Subsidiary, shall be deemed, in each case, to constitute an incurrence of such Indebtedness by the Borrower or such Restricted Subsidiary,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(f) Indebtedness represented (i) by Refinancing Indebtedness incurred in respect of any indebtedness described in </w:t>
      </w:r>
      <w:r>
        <w:rPr>
          <w:rFonts w:ascii="Times New Roman" w:hAnsi="Times New Roman"/>
          <w:sz w:val="20"/>
          <w:u w:val="single"/>
        </w:rPr>
        <w:t>clauses</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or </w:t>
      </w:r>
      <w:r>
        <w:rPr>
          <w:rFonts w:ascii="Times New Roman" w:hAnsi="Times New Roman"/>
          <w:sz w:val="20"/>
          <w:u w:val="single"/>
        </w:rPr>
        <w:t>(r)</w:t>
      </w:r>
      <w:r>
        <w:rPr>
          <w:rFonts w:ascii="Times New Roman" w:hAnsi="Times New Roman"/>
          <w:sz w:val="20"/>
        </w:rPr>
        <w:t xml:space="preserve"> and (ii) by Management Advances;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Indebtedness of (x) the Borrower or any Restricted Subsidiary incurred or issued to finance an acquisition or Investment or (y) Persons that are acquired by the Borrower or any Restricted Subsidiary or merged into, amalgamated or consolidated with the Borrower or a Restricted Subsidiary in accordance with the terms of this Agreement (including designating an Unrestricted Subsidiary as a Restricted Subsidiary); </w:t>
      </w:r>
      <w:r>
        <w:rPr>
          <w:rFonts w:ascii="Times New Roman" w:hAnsi="Times New Roman"/>
          <w:i/>
          <w:sz w:val="20"/>
        </w:rPr>
        <w:t>provided</w:t>
      </w:r>
      <w:r>
        <w:rPr>
          <w:rFonts w:ascii="Times New Roman" w:hAnsi="Times New Roman"/>
          <w:sz w:val="20"/>
        </w:rPr>
        <w:t xml:space="preserve"> that at the time of such acquisition, merger, amalgamation or consolidation and after giving pro forma effect to the incurrence of such Indebtedness, either: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and its Restricted Subsidiaries would be permitted to incur at least $1.00 of Ratio Debt; or </w:t>
      </w:r>
    </w:p>
    <w:p>
      <w:pPr>
        <w:pStyle w:val="TextBody"/>
        <w:bidi w:val="0"/>
        <w:spacing w:before="120" w:after="0"/>
        <w:jc w:val="left"/>
        <w:rPr>
          <w:rFonts w:ascii="Times New Roman" w:hAnsi="Times New Roman"/>
          <w:sz w:val="20"/>
        </w:rPr>
      </w:pPr>
      <w:r>
        <w:rPr>
          <w:rFonts w:ascii="Times New Roman" w:hAnsi="Times New Roman"/>
          <w:sz w:val="20"/>
        </w:rPr>
        <w:t xml:space="preserve">(ii) the Fixed Charge Coverage Ratio of the Borrower and its Restricted Subsidiaries would not be lower than it was immediately prior to such acquisition, merger, amalgamation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(h) Obligations in respect of any Hedge Agreements (excluding Hedge Agreements entered into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represented by Capitalized Leases or purchase money obligations or Sale Leaseback Transactions in an aggregate outstanding principal amount which, when taken together with the principal amount of all other Indebtedness incurred pursuant to this </w:t>
      </w:r>
      <w:r>
        <w:rPr>
          <w:rFonts w:ascii="Times New Roman" w:hAnsi="Times New Roman"/>
          <w:sz w:val="20"/>
          <w:u w:val="single"/>
        </w:rPr>
        <w:t>clause (i)</w:t>
      </w:r>
      <w:r>
        <w:rPr>
          <w:rFonts w:ascii="Times New Roman" w:hAnsi="Times New Roman"/>
          <w:sz w:val="20"/>
        </w:rPr>
        <w:t xml:space="preserve"> and then outstanding, does not exceed the greater of (x) $50.0 million and (y) an amount equal to 6.0% of the Borrower’s Consolidated Net Tangible Assets determined as of the end of the Borrower’s most recently completed fiscal quarter for which internal financial statements are available, and any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(j) Indebtedness in respect of (i)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 similar bonds, instruments or obligations, completion guarantees and warranties or relating to liabilities, obligations or guarantees incurred in the ordinary course of business or consistent with past practice; (ii) the honoring by a bank or other financial institution of a check, draft or similar instrument drawn against insufficient funds in the ordinary course of business or consistent with past practice; (iii) customer deposits and advance payments (including progress premiums) received from customers for goods or services purchased in the ordinary course of business or consistent with past practice; (iv)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(v) Cash Management Obligations; and (vi) Settlement Indebtedness; </w:t>
      </w:r>
    </w:p>
    <w:p>
      <w:pPr>
        <w:pStyle w:val="TextBody"/>
        <w:bidi w:val="0"/>
        <w:spacing w:before="240" w:after="0"/>
        <w:jc w:val="left"/>
        <w:rPr>
          <w:rFonts w:ascii="Times New Roman" w:hAnsi="Times New Roman"/>
          <w:sz w:val="20"/>
        </w:rPr>
      </w:pPr>
      <w:r>
        <w:rPr>
          <w:rFonts w:ascii="Times New Roman" w:hAnsi="Times New Roman"/>
          <w:sz w:val="20"/>
        </w:rPr>
        <w:t xml:space="preserve">(k) 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assets, a Person (including any Equity Interests of a Subsidiary) or Investment (other than Guarantees of Indebtedness incurred by any Person acquiring or disposing of such business, assets, Person or Investment for the purpose of financing such acquisition or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Indebtedness in an aggregate outstanding principal amount which, when taken together with the principal amount of all other Indebtedness incurred pursuant to this clause and then outstanding, will not exceed 100% of the net cash proceeds received by the Borrower or its Restricted Subsidiaries from the issuance or sale (other than to a Restricted Subsidiary) of its Equity Interests or otherwise contributed to the equity (in each case, other than through the issuance of Disqualified Equity Interest) of the Borrower or its Restricted Subsidiaries, in each case, subsequent to the Closing Date, and any Refinancing Indebtedness in respect thereof; </w:t>
      </w:r>
      <w:r>
        <w:rPr>
          <w:rFonts w:ascii="Times New Roman" w:hAnsi="Times New Roman"/>
          <w:i/>
          <w:sz w:val="20"/>
        </w:rPr>
        <w:t>provided, however,</w:t>
      </w:r>
      <w:r>
        <w:rPr>
          <w:rFonts w:ascii="Times New Roman" w:hAnsi="Times New Roman"/>
          <w:sz w:val="20"/>
        </w:rPr>
        <w:t xml:space="preserve"> that (i) any such net cash proceeds that are so received or contributed shall not increase the Available Amount to the extent the Borrower and its Restricted Subsidiaries incur Indebtedness pursuant to this </w:t>
      </w:r>
      <w:r>
        <w:rPr>
          <w:rFonts w:ascii="Times New Roman" w:hAnsi="Times New Roman"/>
          <w:sz w:val="20"/>
          <w:u w:val="single"/>
        </w:rPr>
        <w:t>clause (l)</w:t>
      </w:r>
      <w:r>
        <w:rPr>
          <w:rFonts w:ascii="Times New Roman" w:hAnsi="Times New Roman"/>
          <w:sz w:val="20"/>
        </w:rPr>
        <w:t xml:space="preserve"> in reliance thereon and (ii) any net cash proceeds that are so received or contributed shall be excluded for purposes of incurring Indebtedness pursuant to this </w:t>
      </w:r>
      <w:r>
        <w:rPr>
          <w:rFonts w:ascii="Times New Roman" w:hAnsi="Times New Roman"/>
          <w:sz w:val="20"/>
          <w:u w:val="single"/>
        </w:rPr>
        <w:t>clause (l)</w:t>
      </w:r>
      <w:r>
        <w:rPr>
          <w:rFonts w:ascii="Times New Roman" w:hAnsi="Times New Roman"/>
          <w:sz w:val="20"/>
        </w:rPr>
        <w:t xml:space="preserve"> to the extent such net cash proceeds or cash have been applied to make Investments, Permitted Payments and other transactions permitted under </w:t>
      </w:r>
      <w:r>
        <w:rPr>
          <w:rFonts w:ascii="Times New Roman" w:hAnsi="Times New Roman"/>
          <w:sz w:val="20"/>
          <w:u w:val="single"/>
        </w:rPr>
        <w:t>Section 7.06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Indebtedness of the Borrower or any of its Restricted Subsidiaries consisting of (i) the financing of insurance premiums or (ii) take-or-pay obligations contained in supply arrangements, in each case incurred in the ordinary course of business or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(n) Indebtedness in an aggregate outstanding principal amount which, when taken together with the principal amount of all other Indebtedness incurred pursuant to this clause and then outstanding, including any Refinancing Indebtedness in respect thereof, will not exceed the greater of (i) $50.0 million and (ii) an amount equal to 6.0% of the Borrower’s Consolidated Net Tangible Assets determined as of the end of the Borrower’s most recently completed fiscal quarter for which internal financial statements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(o) any obligation, or guaranty of any obligation, of the Borrower or any Restricted Subsidiary to reimburse or indemnify a Person extending credit to customers of the Borrower or a Restricted Subsidiary incurred in the ordinary course of business or consistent with past practice for all or any portion of the amounts payable by such customers to the Person extending such credit; </w:t>
      </w:r>
    </w:p>
    <w:p>
      <w:pPr>
        <w:pStyle w:val="TextBody"/>
        <w:bidi w:val="0"/>
        <w:spacing w:before="240" w:after="0"/>
        <w:jc w:val="left"/>
        <w:rPr>
          <w:rFonts w:ascii="Times New Roman" w:hAnsi="Times New Roman"/>
          <w:sz w:val="20"/>
        </w:rPr>
      </w:pPr>
      <w:r>
        <w:rPr>
          <w:rFonts w:ascii="Times New Roman" w:hAnsi="Times New Roman"/>
          <w:sz w:val="20"/>
        </w:rPr>
        <w:t xml:space="preserve">(p) Indebtedness to a customer to finance the acquisition of any equipment necessary to perform services for such customer; provided that the terms of such Indebtedness are consistent with those entered into with respect to similar Indebtedness prior to the Closing Date, including, if so consistent, that (1) the repayment of such Indebtedness is conditional upon such customer ordering a specific amount of goods or services and (2) such Indebtedness does not bear interest or provide for scheduled amortization or maturity; </w:t>
      </w:r>
    </w:p>
    <w:p>
      <w:pPr>
        <w:pStyle w:val="TextBody"/>
        <w:bidi w:val="0"/>
        <w:spacing w:before="240" w:after="0"/>
        <w:jc w:val="left"/>
        <w:rPr>
          <w:rFonts w:ascii="Times New Roman" w:hAnsi="Times New Roman"/>
          <w:sz w:val="20"/>
        </w:rPr>
      </w:pPr>
      <w:r>
        <w:rPr>
          <w:rFonts w:ascii="Times New Roman" w:hAnsi="Times New Roman"/>
          <w:sz w:val="20"/>
        </w:rPr>
        <w:t>(q) Indebtedness incurred in connection with Restricted Payments pursuant to the Jones Act Warrants (or other warrants issued pursuant thereto) to the extent that such Restricted Payments were made in compliance with Section 7.06 (assuming for such purpose that payment by the Borrower of such Indebtedness as of such date (even if the actual payment occurs as of a later date) constitutes a Restricted Payment for purposes of Section 7.06 herein) (“</w:t>
      </w:r>
      <w:r>
        <w:rPr>
          <w:rFonts w:ascii="Times New Roman" w:hAnsi="Times New Roman"/>
          <w:b/>
          <w:sz w:val="20"/>
        </w:rPr>
        <w:t>Jones Act</w:t>
      </w:r>
      <w:r>
        <w:rPr>
          <w:rFonts w:ascii="Times New Roman" w:hAnsi="Times New Roman"/>
          <w:sz w:val="20"/>
        </w:rPr>
        <w:t xml:space="preserve"> </w:t>
      </w: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Indebtedness incurred by Foreign Subsidiaries or non-Guarantor Restricted Subsidiaries in an aggregate outstanding principal amount which, when taken together with the principal amount of all other Indebtedness incurred pursuant to this clause (r) and then outstanding, including any Refinancing Indebtedness in respect thereof, does not exceed the greater of (a) $10.0 million and (b) an amount equal to 1.25% of the Borrower’s Consolidated Net Tangible Assets determined as of the end of the Borrower’s most recently completed fiscal quarter for which internal financial statements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(s) Indebtedness incurred on behalf of, or representing Guarantees of Indebtedness of, any joint ventures in an aggregate principal amount at any time outstanding not to exceed the greater of (a) $25.0 million and (b) an amount equal to 3.0% of the Borrower’s Consolidated Net Tangible Assets determined as of the end of the Borrower’s most recently completed fiscal quarter for which internal financial statements are available, and any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 Indebtedness of the Borrower or any of its Restricted Subsidiaries arising pursuant to any Permitted Intercompany Activities and related transactions; </w:t>
      </w:r>
      <w:r>
        <w:rPr>
          <w:rFonts w:ascii="Times New Roman" w:hAnsi="Times New Roman"/>
          <w:strike/>
          <w:color w:val="FF0000"/>
          <w:sz w:val="20"/>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(u) government or quasi-government provided, supported, guaranteed or subsidized Indebtedness secured by Liens permitted under Section 7.01(oo), subject to the limitations set forth in Section 7.01(oo);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(v)</w:t>
      </w:r>
      <w:r>
        <w:rPr>
          <w:rFonts w:ascii="Times New Roman" w:hAnsi="Times New Roman"/>
          <w:sz w:val="20"/>
        </w:rPr>
        <w:t xml:space="preserve"> </w:t>
      </w:r>
      <w:r>
        <w:rPr>
          <w:rFonts w:ascii="Times New Roman" w:hAnsi="Times New Roman"/>
          <w:strike/>
          <w:color w:val="FF0000"/>
          <w:sz w:val="20"/>
        </w:rPr>
        <w:t xml:space="preserve">(u) </w:t>
      </w:r>
      <w:r>
        <w:rPr>
          <w:rFonts w:ascii="Times New Roman" w:hAnsi="Times New Roman"/>
          <w:sz w:val="20"/>
        </w:rPr>
        <w:t xml:space="preserve">all premiums (if any), interest (including post-petition interest), fees, expenses, charges and additional or contingent interest on obligations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trike/>
          <w:color w:val="FF0000"/>
          <w:sz w:val="20"/>
        </w:rPr>
        <w:t>y</w:t>
      </w:r>
      <w:r>
        <w:rPr>
          <w:rFonts w:ascii="Times New Roman" w:hAnsi="Times New Roman"/>
          <w:color w:val="0000FF"/>
          <w:sz w:val="20"/>
          <w:u w:val="single"/>
          <w:bdr w:val="double" w:sz="2" w:space="1" w:color="000000"/>
        </w:rPr>
        <w:t>u</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and the outstanding principal amount of any particular Indebtedness incurred pursuant to and in compliance with, this covenant: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all or any portion of any item of Indebtedness meets the criteria of more than one of the types of Permitted Debt, the Borrower, in its sole discretion, will classify, and may from time to time reclassify, such item of Indebtedness (or any portion thereof) and only be required to include the amount and type of such Indebtedness in the applicable Permitted Debt category;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all or any portion of any item of Indebtedness may later be reclassified as having been incurred pursuant to any type of Indebtedness described as Permitted Debt so long as such Indebtedness is permitted to be incurred pursuant to such provision and any related Liens are permitted to be incurred at the time of reclassification (it being understood that any Permitted Debt incurred pursuant to one of the clauses of the second proviso of this </w:t>
            </w:r>
            <w:r>
              <w:rPr>
                <w:rFonts w:ascii="Times New Roman" w:hAnsi="Times New Roman"/>
                <w:sz w:val="20"/>
                <w:u w:val="single"/>
              </w:rPr>
              <w:t>Section 7.03</w:t>
            </w:r>
            <w:r>
              <w:rPr>
                <w:rFonts w:ascii="Times New Roman" w:hAnsi="Times New Roman"/>
                <w:sz w:val="20"/>
              </w:rPr>
              <w:t xml:space="preserve"> shall cease to be deemed incurred or outstanding for purposes of such Section but shall be deemed incurred as Ratio Debt from and after the first date on which the Borrower or its Restricted Subsidiaries could have incurred such Ratio Debt without reliance on such clause);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Obligations shall be incurred under </w:t>
            </w:r>
            <w:r>
              <w:rPr>
                <w:rFonts w:ascii="Times New Roman" w:hAnsi="Times New Roman"/>
                <w:sz w:val="20"/>
                <w:u w:val="single"/>
              </w:rPr>
              <w:t>Section 7.03(a)(i)</w:t>
            </w:r>
            <w:r>
              <w:rPr>
                <w:rFonts w:ascii="Times New Roman" w:hAnsi="Times New Roman"/>
                <w:sz w:val="20"/>
              </w:rPr>
              <w:t xml:space="preserve"> and Super-Priority Debt shall only be permitted to be incurred under </w:t>
            </w:r>
            <w:r>
              <w:rPr>
                <w:rFonts w:ascii="Times New Roman" w:hAnsi="Times New Roman"/>
                <w:sz w:val="20"/>
                <w:u w:val="single"/>
              </w:rPr>
              <w:t>Section 7.03(a)(i)</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Refinancing Indebtedness and Second Lien Credit Agreement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of, or obligations in respect of letters of credit, bankers’ acceptances or other similar instruments relating to, or Liens securing, Indebtedness that is otherwise included in the determination of a particular amount of Indebtedness shall not be included;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any Disqualified Equity Interests of the Borrower or a Restricted Subsidiary, or Preferred Stock of any Restricted Subsidiary, will be equal to the greater of the maximum mandatory redemption or repurchase price (not including, in either case, any redemption or repurchase premium) or the liquidation preference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permitted by this </w:t>
            </w:r>
            <w:r>
              <w:rPr>
                <w:rFonts w:ascii="Times New Roman" w:hAnsi="Times New Roman"/>
                <w:sz w:val="20"/>
                <w:u w:val="single"/>
              </w:rPr>
              <w:t>Section 7.03</w:t>
            </w:r>
            <w:r>
              <w:rPr>
                <w:rFonts w:ascii="Times New Roman" w:hAnsi="Times New Roman"/>
                <w:sz w:val="20"/>
              </w:rPr>
              <w:t xml:space="preserve"> need not be permitted solely by reference to one provision permitting such Indebtedness but may be permitted in part by one such provision and in part by one or more other provisions of this </w:t>
            </w:r>
            <w:r>
              <w:rPr>
                <w:rFonts w:ascii="Times New Roman" w:hAnsi="Times New Roman"/>
                <w:sz w:val="20"/>
                <w:u w:val="single"/>
              </w:rPr>
              <w:t>Section 7.03</w:t>
            </w:r>
            <w:r>
              <w:rPr>
                <w:rFonts w:ascii="Times New Roman" w:hAnsi="Times New Roman"/>
                <w:sz w:val="20"/>
              </w:rPr>
              <w:t xml:space="preserve"> permitting such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calculating ratio-based baskets and pro forma compliance with the Financial Covenants, as applicable, in connection with the incurrence, issuance or assumption of any Indebtedness pursuant to the Permitted Debt clauses above or the incurrence or creation of any Lien pursuant to </w:t>
            </w:r>
            <w:r>
              <w:rPr>
                <w:rFonts w:ascii="Times New Roman" w:hAnsi="Times New Roman"/>
                <w:sz w:val="20"/>
                <w:u w:val="single"/>
              </w:rPr>
              <w:t>Section 7.01</w:t>
            </w:r>
            <w:r>
              <w:rPr>
                <w:rFonts w:ascii="Times New Roman" w:hAnsi="Times New Roman"/>
                <w:sz w:val="20"/>
              </w:rPr>
              <w:t>, the Borrower may elect, at its option,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as described below, the “</w:t>
            </w:r>
            <w:r>
              <w:rPr>
                <w:rFonts w:ascii="Times New Roman" w:hAnsi="Times New Roman"/>
                <w:b/>
                <w:sz w:val="20"/>
              </w:rPr>
              <w:t>Reserved Indebtedness Amount</w:t>
            </w:r>
            <w:r>
              <w:rPr>
                <w:rFonts w:ascii="Times New Roman" w:hAnsi="Times New Roman"/>
                <w:sz w:val="20"/>
              </w:rPr>
              <w:t xml:space="preserve">”), as being incurred as of such election date, and, if such ratio-based basket, Financial Covenant or other provision of this Agreement, as applicable, is complied with (or satisfied) with respect thereto on such election date, any subsequent borrowing or reborrowing thereunder (and the issuance and creation of letters of credit and bankers’ acceptances thereunder) will be deemed to be permitted under this </w:t>
            </w:r>
            <w:r>
              <w:rPr>
                <w:rFonts w:ascii="Times New Roman" w:hAnsi="Times New Roman"/>
                <w:sz w:val="20"/>
                <w:u w:val="single"/>
              </w:rPr>
              <w:t>Section 7.03</w:t>
            </w:r>
            <w:r>
              <w:rPr>
                <w:rFonts w:ascii="Times New Roman" w:hAnsi="Times New Roman"/>
                <w:sz w:val="20"/>
              </w:rPr>
              <w:t xml:space="preserve"> or </w:t>
            </w:r>
            <w:r>
              <w:rPr>
                <w:rFonts w:ascii="Times New Roman" w:hAnsi="Times New Roman"/>
                <w:sz w:val="20"/>
                <w:u w:val="single"/>
              </w:rPr>
              <w:t>Section 7.01</w:t>
            </w:r>
            <w:r>
              <w:rPr>
                <w:rFonts w:ascii="Times New Roman" w:hAnsi="Times New Roman"/>
                <w:sz w:val="20"/>
              </w:rPr>
              <w:t xml:space="preserve">, as applicable, whether or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the ratio-based basket or pro forma compliance with the Financial Covenant, as applicable, at the actual time of any subsequent borrowing or reborrowing (or issuance or creation of letters of credit or bankers’ acceptances thereunder) is complied with (or satisfied) for all purposes (including as to the absence of any continuing Default or Event of Default); </w:t>
            </w:r>
            <w:r>
              <w:rPr>
                <w:i/>
              </w:rPr>
              <w:t>provided</w:t>
            </w:r>
            <w:r>
              <w:rPr/>
              <w:t xml:space="preserve"> that for purposes of subsequent calculations of the applicable ratio-based basket or Financial Covenant (including testing of the Financial Covenants pursuant to </w:t>
            </w:r>
            <w:r>
              <w:rPr>
                <w:u w:val="single"/>
              </w:rPr>
              <w:t>Section 8.01</w:t>
            </w:r>
            <w:r>
              <w:rPr/>
              <w:t xml:space="preserve">), as applicable, the Reserved Indebtedness Amount shall be deemed to be outstanding, whether or not such amount is actually outstanding, for so long as such commitments are outstanding or until the Borrower revokes an election of a Reserved Indebtedness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covenant to the contrary, in the case of any Indebtedness incurred to refinance Indebtedness initially incurred in reliance on a clause of Permitted Debt (other than Ratio Debt) measured by reference to a percentage of Consolidated Net Tangible Assets at the time of incurrence, if such refinancing would cause the percentage of Consolidated Net Tangible Assets restriction to be exceeded if calculated based on the percentage of Consolidated Net Tangible Assets on the date of such refinancing, such percentage of Consolidated Net Tangible Assets restriction shall not be deemed to be exceeded so long as the principal amount of such refinancing Indebtedness does not exceed the principal amount of such Indebtedness being refinanced, </w:t>
            </w:r>
            <w:r>
              <w:rPr>
                <w:rFonts w:ascii="Times New Roman" w:hAnsi="Times New Roman"/>
                <w:i/>
                <w:sz w:val="20"/>
              </w:rPr>
              <w:t>plus</w:t>
            </w:r>
            <w:r>
              <w:rPr>
                <w:rFonts w:ascii="Times New Roman" w:hAnsi="Times New Roman"/>
                <w:sz w:val="20"/>
              </w:rPr>
              <w:t xml:space="preserve"> accrued and unpaid interest, dividends, premiums (including tender premiums), defeasance costs, underwriting discounts, fees, costs and expenses (including original issue discount, upfront fees or similar fees) in connection with such refinancing;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Indebtedness issued at a price that is less than the principal amount thereof will be equal to the amount of the liability in respect thereof determined in accordance with GAAP;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the Borrower or a Restricted Subsidiary incurs additional Indebtedness constituting Consolidated First and Second Lien Debt (other than, for the avoidance of doubt, the Obligations and Second Lien Credit Agreement Refinancing Indebtedness), in each case, pursuant to a provision of this </w:t>
            </w:r>
            <w:r>
              <w:rPr>
                <w:rFonts w:ascii="Times New Roman" w:hAnsi="Times New Roman"/>
                <w:sz w:val="20"/>
                <w:u w:val="single"/>
              </w:rPr>
              <w:t>Section 7.03</w:t>
            </w:r>
            <w:r>
              <w:rPr>
                <w:rFonts w:ascii="Times New Roman" w:hAnsi="Times New Roman"/>
                <w:sz w:val="20"/>
              </w:rPr>
              <w:t xml:space="preserve"> based on a percentage of the Borrower’s Consolidated Net Tangible Assets or subject to pro forma compliance with the Secured Net Leverage Ratio, the Borrower shall demonstrate that immediately following the incurrence of such additional Indebtedness, the Collateral Coverage Ratio is not less than 1.50:1.00.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subject in all respects to the Inside Maturity Exception, none of the Borrower nor any of its Restricted Subsidiaries may incur Material Indebtedness under this </w:t>
      </w:r>
      <w:r>
        <w:rPr>
          <w:rFonts w:ascii="Times New Roman" w:hAnsi="Times New Roman"/>
          <w:sz w:val="20"/>
          <w:u w:val="single"/>
        </w:rPr>
        <w:t>Section 7.03</w:t>
      </w:r>
      <w:r>
        <w:rPr>
          <w:rFonts w:ascii="Times New Roman" w:hAnsi="Times New Roman"/>
          <w:sz w:val="20"/>
        </w:rPr>
        <w:t xml:space="preserve"> (or amend, modify or supplement the terms of any such Material Indebtedness) if such Indebtedness has (or, as a result of such amendment, modification or supplement, would have) a final stated maturity date any earlier than ninety-one (91) days after the latest maturity date of the Initial Revolving Loans; provided however that this paragraph shall not apply to (i) Purchase Money Obligations and Capitalized Lease Obligations (in each case, for </w:t>
      </w:r>
      <w:r>
        <w:rPr>
          <w:rFonts w:ascii="Times New Roman" w:hAnsi="Times New Roman"/>
          <w:i/>
          <w:sz w:val="20"/>
        </w:rPr>
        <w:t>bona fide</w:t>
      </w:r>
      <w:r>
        <w:rPr>
          <w:rFonts w:ascii="Times New Roman" w:hAnsi="Times New Roman"/>
          <w:sz w:val="20"/>
        </w:rPr>
        <w:t xml:space="preserve"> equipment, vehicle or similar asset-specific financings as determined in good faith by a Responsible Officer), (ii) Acquired Indebtedness</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(iii) insurance financings in respect of </w:t>
      </w:r>
      <w:r>
        <w:rPr>
          <w:rFonts w:ascii="Times New Roman" w:hAnsi="Times New Roman"/>
          <w:sz w:val="20"/>
          <w:u w:val="single"/>
        </w:rPr>
        <w:t>Section 7.03(m)(i)</w:t>
      </w:r>
      <w:r>
        <w:rPr>
          <w:rFonts w:ascii="Times New Roman" w:hAnsi="Times New Roman"/>
          <w:sz w:val="20"/>
        </w:rPr>
        <w:t xml:space="preserve">, (iv) Intercompany Indebtedness, (v) government or quasi-government provided, supported, guaranteed or subsidized financings or (vi) Refinancing Indebtedness in respect of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(B) no Excluded Subsidiary which is a FSHCO, a Foreign Subsidiary or a Restricted Subsidiary of any FSHCO or Foreign Subsidiary (unless such Subsidiary has become a Guarantor) shall be permitted to incur Indebtedness for Borrowed Money (excluding (i) Purchase Money Obligations and Capitalized Lease Obligations, (ii) Acquired Indebtedness, (iii) insurance financings in respect of </w:t>
      </w:r>
      <w:r>
        <w:rPr>
          <w:rFonts w:ascii="Times New Roman" w:hAnsi="Times New Roman"/>
          <w:sz w:val="20"/>
          <w:u w:val="single"/>
        </w:rPr>
        <w:t>Section 7.03(m)(i)</w:t>
      </w:r>
      <w:r>
        <w:rPr>
          <w:rFonts w:ascii="Times New Roman" w:hAnsi="Times New Roman"/>
          <w:sz w:val="20"/>
        </w:rPr>
        <w:t xml:space="preserve">, (iv) Intercompany Indebtedness, (v) </w:t>
      </w:r>
      <w:r>
        <w:rPr>
          <w:rFonts w:ascii="Times New Roman" w:hAnsi="Times New Roman"/>
          <w:strike/>
          <w:color w:val="FF0000"/>
          <w:sz w:val="20"/>
        </w:rPr>
        <w:t>government or quasi-government provided, supported, guaranteed or subsidized financings,</w:t>
      </w:r>
      <w:r>
        <w:rPr>
          <w:rFonts w:ascii="Times New Roman" w:hAnsi="Times New Roman"/>
          <w:color w:val="0000FF"/>
          <w:sz w:val="20"/>
          <w:u w:val="single"/>
          <w:bdr w:val="double" w:sz="2" w:space="1" w:color="000000"/>
        </w:rPr>
        <w:t xml:space="preserve">Indebtedness permitted under Section 7.03(r) or Section 7.03(u), </w:t>
      </w:r>
      <w:r>
        <w:rPr>
          <w:rFonts w:ascii="Times New Roman" w:hAnsi="Times New Roman"/>
          <w:sz w:val="20"/>
        </w:rPr>
        <w:t xml:space="preserve">(vi) Indebtedness under the Second Lien Credit Agreement or, to the extent permitted thereunder, constituting Second Lien Credit Agreement Refinancing Indebtedness or (vii) and Refinancing Indebtedness in respect of any of the foregoing), unless such Excluded Subsidiary is or becomes a Guarantor at the time of incurring such Indebtedness and would otherwise be permitted to incur such Indebtedness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Borrower nor any Restricted Subsidiary shall incur any (i) Super-Priority Debt (excluding the Obligations) or Indebtedness that is secured by a Lien on the Collateral on a senior or otherwise preferred basis with the Liens securing the Obligations and (ii) any Indebtedness for borrowed money secured by a first priority lien on the Collateral (other than to the extent constituting Obligations, Second Lien Credit Agreement Refinancing Indebtedness or Indebtedness permitted under </w:t>
      </w:r>
      <w:r>
        <w:rPr>
          <w:rFonts w:ascii="Times New Roman" w:hAnsi="Times New Roman"/>
          <w:sz w:val="20"/>
          <w:u w:val="single"/>
        </w:rPr>
        <w:t>clause (a)</w:t>
      </w:r>
      <w:r>
        <w:rPr>
          <w:rFonts w:ascii="Times New Roman" w:hAnsi="Times New Roman"/>
          <w:sz w:val="20"/>
        </w:rPr>
        <w:t xml:space="preserve"> above), in each case, without the prior written consent of all Lenders.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7.03, in the event that an item of Indebtedness (or any portion thereof) meets the criteria of more than one of the categories set forth above, the Borrower may, in its sole discretion, at the time of incurrence, divide, classify or reclassify, or at any later time divide, classify or reclassify, such item of Indebtedness (or any portion thereof) in any manner that complies with this covenant on the date such Indebtedness is incurred or such later time, as applicable; </w:t>
      </w:r>
      <w:r>
        <w:rPr>
          <w:rFonts w:ascii="Times New Roman" w:hAnsi="Times New Roman"/>
          <w:i/>
          <w:sz w:val="20"/>
        </w:rPr>
        <w:t xml:space="preserve">provided </w:t>
      </w:r>
      <w:r>
        <w:rPr>
          <w:rFonts w:ascii="Times New Roman" w:hAnsi="Times New Roman"/>
          <w:sz w:val="20"/>
        </w:rPr>
        <w:t xml:space="preserve">that all Indebtedness created pursuant to the Loan Documents will be deemed to have been incurred in reliance on the exception in clause (a) above and will not be permitted to be reclassified pursuant to this paragraph; </w:t>
      </w:r>
      <w:r>
        <w:rPr>
          <w:rFonts w:ascii="Times New Roman" w:hAnsi="Times New Roman"/>
          <w:i/>
          <w:sz w:val="20"/>
        </w:rPr>
        <w:t xml:space="preserve">provided, further, </w:t>
      </w:r>
      <w:r>
        <w:rPr>
          <w:rFonts w:ascii="Times New Roman" w:hAnsi="Times New Roman"/>
          <w:sz w:val="20"/>
        </w:rPr>
        <w:t xml:space="preserve">all or any portion of any item of Indebtedness may later be reclassified as having been incurred pursuant to any type of Indebtedness described in clause (a) of this covenant so long as such Indebtedness is permitted to be incurred pursuant to such provision and any related Liens are permitted to be incurred at the time of reclassification. In the case of any Refinancing Indebtedness or Second Lien Credit Agreement Refinancing Indebtedness, when measuring the outstanding amount of such Indebtedness, such amount shall not include the aggregate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accrued and unpaid interest, dividends, premiums (including tender premiums), defeasance costs, underwriting discounts, fees, costs and expenses (including original issue discount, upfront fees or similar fees) in connection with such refinancing. If obligations in respect of letters of credit, bankers’ acceptances or other similar instruments are incurred pursuant to the Facility and are being treated as incurred pursuant to </w:t>
      </w:r>
      <w:r>
        <w:rPr>
          <w:rFonts w:ascii="Times New Roman" w:hAnsi="Times New Roman"/>
          <w:sz w:val="20"/>
          <w:u w:val="single"/>
        </w:rPr>
        <w:t>clause (a)</w:t>
      </w:r>
      <w:r>
        <w:rPr>
          <w:rFonts w:ascii="Times New Roman" w:hAnsi="Times New Roman"/>
          <w:sz w:val="20"/>
        </w:rPr>
        <w:t xml:space="preserve"> above and the letters of credit, bankers’ acceptances or other similar instruments relate to other Indebtedness, then such other Indebtedness shall not be included. The principal amount of any Disqualified Equity Interests of the Borrower or a Restricted Subsidiary, or preferred stock of any Restricted Subsidiary, will be equal to the greater of the maximum mandatory redemption or repurchase price (not including, in either case, any redemption or repurchase premium) or the liquidation preference thereof. </w:t>
      </w:r>
    </w:p>
    <w:p>
      <w:pPr>
        <w:pStyle w:val="TextBody"/>
        <w:bidi w:val="0"/>
        <w:spacing w:before="240" w:after="0"/>
        <w:jc w:val="left"/>
        <w:rPr>
          <w:rFonts w:ascii="Times New Roman" w:hAnsi="Times New Roman"/>
          <w:sz w:val="20"/>
        </w:rPr>
      </w:pPr>
      <w:r>
        <w:rPr>
          <w:rFonts w:ascii="Times New Roman" w:hAnsi="Times New Roman"/>
          <w:sz w:val="20"/>
        </w:rPr>
        <w:t xml:space="preserve">Indebtedness permitted by this covenant need not be permitted solely by reference to one provision permitting such Indebtedness but may be permitted in part by one such provision and in part by one or more other provisions of this covenant permitting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(a) the principal amount of such Indebtedness being refinanced </w:t>
      </w:r>
      <w:r>
        <w:rPr>
          <w:rFonts w:ascii="Times New Roman" w:hAnsi="Times New Roman"/>
          <w:i/>
          <w:sz w:val="20"/>
        </w:rPr>
        <w:t xml:space="preserve">plus </w:t>
      </w:r>
      <w:r>
        <w:rPr>
          <w:rFonts w:ascii="Times New Roman" w:hAnsi="Times New Roman"/>
          <w:sz w:val="20"/>
        </w:rPr>
        <w:t xml:space="preserve">(b) the aggregate amount of accrued and unpaid interest, dividends, premiums (including tender premiums), defeasance costs, underwriting discounts, fees, costs and expenses (including original issue discount, upfront fees or similar fees) in connection with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covenant, the maximum amount of Indebtedness that the Borrower or a Restricted Subsidiary may incur pursuant to this covenant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The accrual of interest and the accretion of accreted value and the payment of interest in the form of additional Indebtedness shall not be deemed to be an incurrence of Indebtedness for purposes of this </w:t>
      </w:r>
      <w:r>
        <w:rPr>
          <w:rFonts w:ascii="Times New Roman" w:hAnsi="Times New Roman"/>
          <w:sz w:val="20"/>
          <w:u w:val="single"/>
        </w:rPr>
        <w:t>Section 7.03</w:t>
      </w:r>
      <w:r>
        <w:rPr>
          <w:rFonts w:ascii="Times New Roman" w:hAnsi="Times New Roman"/>
          <w:sz w:val="20"/>
        </w:rPr>
        <w:t xml:space="preserve">. The principal amount of any non-interest bearing Indebtedness or other discount security constituting Indebtedness at any date shall be the principal amount thereof that would be shown on a balance sheet of the Borrower dated such date prepared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7.04 </w:t>
      </w:r>
      <w:r>
        <w:rPr>
          <w:rFonts w:ascii="Times New Roman" w:hAnsi="Times New Roman"/>
          <w:sz w:val="20"/>
          <w:u w:val="single"/>
        </w:rPr>
        <w:t>Fundamental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the Borrower, consolidate with or merge with or into, or convey, transfer or lease all or substantially all of its assets in one transaction or a series of related transactions,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is the surviving Person;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giving effect to such transaction, no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(iii) immediately after giving pro forma effect to such transaction, either (a) the Borrower would be able to incur at least an additional $1.00 of Ratio Debt or (b) the Fixed Charge Coverage Ratio of the Borrower, as applicable, and its Restricted Subsidiaries would not be lower than it was immediately prior to giving effect to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shall have delivered to the Administrative Agent an officer’s certificate stating that such consolidation, merger or transfer and such supplemental indenture and other documents or instruments (if any) comply with this Agreement and Collateral Documents; and </w:t>
      </w:r>
    </w:p>
    <w:p>
      <w:pPr>
        <w:pStyle w:val="TextBody"/>
        <w:bidi w:val="0"/>
        <w:spacing w:before="120" w:after="0"/>
        <w:jc w:val="left"/>
        <w:rPr>
          <w:rFonts w:ascii="Times New Roman" w:hAnsi="Times New Roman"/>
          <w:sz w:val="20"/>
        </w:rPr>
      </w:pPr>
      <w:r>
        <w:rPr>
          <w:rFonts w:ascii="Times New Roman" w:hAnsi="Times New Roman"/>
          <w:sz w:val="20"/>
        </w:rPr>
        <w:t xml:space="preserve">(v) to the extent any assets of the Person which is merged or consolidated with or into the Borrower are assets of the type which would constitute Collateral under the Collateral Documents, the Borrower will take such action, if any, as may be reasonably necessary to cause such property and assets to be made subject to the Lien of the applicable Collateral Documents in the manner and to the extent required in this Agreement or the applicable Collateral Documents and shall take all reasonably necessary action so that such Lien is perfected to the extent required by the applicable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covenant, (a) the Borrower may consolidate or otherwise combine with, merge into or transfer all or part of its properties and assets to a Guarantor, (b) the Borrower may consolidate or otherwise combine with or merge into an Affiliate organized or existing under the laws of the United States of America, any State of the United States or the District of Columbia incorporated or organized for the purpose of changing the legal domicile of the Borrower, reincorporating the Borrower in another jurisdiction, or changing the legal form of the Borrower, (c) any Restricted Subsidiary may consolidate or otherwise combine with, merge into or transfer all or part of its properties and assets to the Borrower or a Guarantor, (d) any Restricted Subsidiary may consolidate or otherwise combine with, merge into or transfer all or part of its properties and assets to any other Restricted Subsidiary and (e) the Borrower and its Restricted Subsidiaries may complete any Reorganization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in the event of any merger, amalgamation, dissolution, liquidation, consolidation, amalgamation or Division of any Loan Party or a Restricted Subsidiary effected in accordance with this </w:t>
      </w:r>
      <w:r>
        <w:rPr>
          <w:rFonts w:ascii="Times New Roman" w:hAnsi="Times New Roman"/>
          <w:sz w:val="20"/>
          <w:u w:val="single"/>
        </w:rPr>
        <w:t>Section 7.04</w:t>
      </w:r>
      <w:r>
        <w:rPr>
          <w:rFonts w:ascii="Times New Roman" w:hAnsi="Times New Roman"/>
          <w:sz w:val="20"/>
        </w:rPr>
        <w:t xml:space="preserve">, the Borrower shall (x) promptly deliver or cause to be delivered to the Administrative Agent for further distribution by the Administrative Agent to each Lender (1) such information and documentation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requested by the Administrative Agent or any Lender in order to comply with applicable “know your customer” and anti-money laundering rules and regulations, including the USA PATRIOT Act and (2) a Beneficial Ownership Certification and (y) do, execute, acknowledge, deliver, record, re-record, file, re-file, register, re-register, publish and re-publish any and all such further acts, deeds, certificates, assurances and other instruments as the Administrative Agent or Collateral Agent may reasonably request in order to perfect or continue the perfection of the Liens granted or purported to be granted by the Collateral Documents in accordance with </w:t>
      </w:r>
      <w:r>
        <w:rPr>
          <w:rFonts w:ascii="Times New Roman" w:hAnsi="Times New Roman"/>
          <w:sz w:val="20"/>
          <w:u w:val="single"/>
        </w:rPr>
        <w:t>Section 6.11</w:t>
      </w:r>
      <w:r>
        <w:rPr>
          <w:rFonts w:ascii="Times New Roman" w:hAnsi="Times New Roman"/>
          <w:sz w:val="20"/>
        </w:rPr>
        <w:t xml:space="preserve"> and as promptly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the Guarantors, subject to certain limitations described in this Agreement governing release of a Guarantee upon the sale, disposition or transfer of a Guarantor, consolidate with or merge with or into, or convey, transfer or lease all or substantially all its assets, in one or a series of related transactions,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(i) Pursuant to such transaction: </w:t>
      </w:r>
    </w:p>
    <w:p>
      <w:pPr>
        <w:pStyle w:val="TextBody"/>
        <w:bidi w:val="0"/>
        <w:spacing w:before="120" w:after="0"/>
        <w:jc w:val="left"/>
        <w:rPr>
          <w:rFonts w:ascii="Times New Roman" w:hAnsi="Times New Roman"/>
          <w:sz w:val="20"/>
        </w:rPr>
      </w:pPr>
      <w:r>
        <w:rPr>
          <w:rFonts w:ascii="Times New Roman" w:hAnsi="Times New Roman"/>
          <w:sz w:val="20"/>
        </w:rPr>
        <w:t>(A) the other Person is the Borrower or any Restricted Subsidiary that is a Guarantor or becomes a Guarantor concurrently with the transaction; or either (x) the Borrower or a Guarantor is the continuing Person or (y) the resulting, surviving or transferee Person (the “</w:t>
      </w:r>
      <w:r>
        <w:rPr>
          <w:rFonts w:ascii="Times New Roman" w:hAnsi="Times New Roman"/>
          <w:b/>
          <w:sz w:val="20"/>
        </w:rPr>
        <w:t>Successor Person</w:t>
      </w:r>
      <w:r>
        <w:rPr>
          <w:rFonts w:ascii="Times New Roman" w:hAnsi="Times New Roman"/>
          <w:sz w:val="20"/>
        </w:rPr>
        <w:t xml:space="preserve">”) expressly assumes all the obligations of the Guarantor under its Guaranty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the transaction, no Event of Default shall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any assets of the Person which is merged, consolidated or amalgamated with or into such Guarantor are assets of the type which would constitute Collateral under the Collateral Documents, such Guarantor or the Successor Person will take such action, if any, as may be reasonably necessary to cause such property and assets to be made subject to the Lien of the applicable Collateral Documents in the manner and to the extent required in this Agreement or the applicable Collateral Documents and shall take all reasonably necessary action so that such Lien in perfected to the extent required by the applicable Collateral Documents; or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constitutes a sale, disposition or transfer of the Guarantor or the conveyance, transfer or lease of all or substantially all of the assets of the Guarantor (in each case other than to the Borrower or a Restricted Subsidiary) otherwise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covenant, any Guarantor may (a) consolidate or otherwise combine with, merge into or transfer all or part of its properties and assets to another Guarantor or the Borrower, (b) consolidate or otherwise combine with or merge into an Affiliate incorporated or organized for the purpose of changing the legal domicile of the Guarantor, reincorporating the Guarantor in another jurisdiction, or changing the legal form of the Guarantor, (c) convert into a corporation, partnership, limited partnership, limited liability company or trust organized or existing under the laws of the jurisdiction of organization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Guarantor, (d) liquidate or dissolve or change its legal form if the Borrower determines in good faith that such action is in the best interests of the Borrower and (e) complete any Reorganization Transaction. Notwithstanding anything to the contrary in this covenant, the Borrower may contribute Equity Interests of any or all of its Subsidiaries to any Guarantor. </w:t>
      </w:r>
    </w:p>
    <w:p>
      <w:pPr>
        <w:pStyle w:val="TextBody"/>
        <w:bidi w:val="0"/>
        <w:spacing w:before="240" w:after="0"/>
        <w:jc w:val="left"/>
        <w:rPr>
          <w:rFonts w:ascii="Times New Roman" w:hAnsi="Times New Roman"/>
          <w:sz w:val="20"/>
        </w:rPr>
      </w:pPr>
      <w:r>
        <w:rPr>
          <w:rFonts w:ascii="Times New Roman" w:hAnsi="Times New Roman"/>
          <w:sz w:val="20"/>
        </w:rPr>
        <w:t xml:space="preserve">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Dispositions</w:t>
      </w:r>
      <w:r>
        <w:rPr>
          <w:rFonts w:ascii="Times New Roman" w:hAnsi="Times New Roman"/>
          <w:sz w:val="20"/>
        </w:rPr>
        <w:t xml:space="preserve">. Make any Disposition, unless: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Disposition), as determined in good faith by the Borrower, of the shares and assets subject to such Disposition (including, for the avoidance of doubt, if such Disposition is a Permitted Asset Swap); </w:t>
      </w:r>
    </w:p>
    <w:p>
      <w:pPr>
        <w:pStyle w:val="TextBody"/>
        <w:bidi w:val="0"/>
        <w:spacing w:before="240" w:after="0"/>
        <w:jc w:val="left"/>
        <w:rPr>
          <w:rFonts w:ascii="Times New Roman" w:hAnsi="Times New Roman"/>
          <w:sz w:val="20"/>
        </w:rPr>
      </w:pPr>
      <w:r>
        <w:rPr>
          <w:rFonts w:ascii="Times New Roman" w:hAnsi="Times New Roman"/>
          <w:sz w:val="20"/>
        </w:rPr>
        <w:t xml:space="preserve">(b) in any such Disposition, or series of related Dispositions (except to the extent the Disposition is a Permitted Asset Swap), at least 75% of the consideration from such Disposition, together with all other Dispositions since the Closing Date (on a cumulative basis), (including by way of relief from, or by any other Person assuming responsibility for, any liabilities, contingent or otherwise) received by the Borrower or such Restricted Subsidiary, as the case may be, is in the form of cash or Cash Equivalents; and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Disposition of Vessel Collateral, immediately prior to and following such Disposition on a proforma basis giving effect to such Disposition, (x) the Collateral Coverage Ratio shall not be less than 1.50:1.00, and (y) the RCF Collateral Coverage Ratio shall be not less than 5.0:1.0.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7.05</w:t>
      </w:r>
      <w:r>
        <w:rPr>
          <w:rFonts w:ascii="Times New Roman" w:hAnsi="Times New Roman"/>
          <w:sz w:val="20"/>
        </w:rPr>
        <w:t xml:space="preserve">, the following will be deemed to be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by the transferee of Indebtedness or other liabilities, contingent or otherwise, of the Borrower or a Restricted Subsidiary (other than any Junior Financing of the Borrower or a Guarantor) or the release of the Borrower or such Restricted Subsidiary from all liability on such Indebtedness or other liability in connection with such Disposition;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notes or other obligations received by the Borrower or any Restricted Subsidiary from the transferee that are converted by the Borrower or such Restricted Subsidiary into cash or Cash Equivalents, or by their terms are required to be satisfied for cash and Cash Equivalents (to the extent of the cash or Cash Equivalents received), in each case, within 180 days following the closing of such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of any Restricted Subsidiary that is no longer a Restricted Subsidiary as a result of such Disposition, to the extent that the Borrower and each other Restricted Subsidiary are released from any Guarantee of payment of such Indebtedness in connection with such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consideration consisting of Indebtedness of the Borrower or a Restricted Subsidiary (other than any Subordinated Indebtedness) received after the Closing Date from Persons who are not the Borrower or any Restricted Subsidiary;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any Designated Non-Cash Consideration received by the Borrower or any Restricted Subsidiary in such Dispositions having an aggregate Fair Market Value, taken together with all other Designated Non-Cash Consideration received pursuant to this clause that is at that time outstanding, not to exceed the greater of (i) $10.0 million and (ii) an amount equal to 1.25% of the Borrower’s Consolidated Net Tangible Assets determined as of the end of the Borrower’s most recently completed fiscal quarter for which internal financial statements are available (the “</w:t>
            </w:r>
            <w:r>
              <w:rPr>
                <w:rFonts w:ascii="Times New Roman" w:hAnsi="Times New Roman"/>
                <w:b/>
                <w:sz w:val="20"/>
              </w:rPr>
              <w:t>Applicable Proceeds Threshold Amount</w:t>
            </w:r>
            <w:r>
              <w:rPr>
                <w:rFonts w:ascii="Times New Roman" w:hAnsi="Times New Roman"/>
                <w:sz w:val="20"/>
              </w:rPr>
              <w:t xml:space="preserve">”), with the Fair Market Value of each item of Designated Non-Cash Consideration being measured at the time received and without giving effect to subsequent changes in value.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any Collateral is Disposed of as expressly permitted by this </w:t>
      </w:r>
      <w:r>
        <w:rPr>
          <w:rFonts w:ascii="Times New Roman" w:hAnsi="Times New Roman"/>
          <w:sz w:val="20"/>
          <w:u w:val="single"/>
        </w:rPr>
        <w:t>Section 7.05</w:t>
      </w:r>
      <w:r>
        <w:rPr>
          <w:rFonts w:ascii="Times New Roman" w:hAnsi="Times New Roman"/>
          <w:sz w:val="20"/>
        </w:rPr>
        <w:t xml:space="preserve"> or the definition of “Disposition” to any Person other than a Loan Party, such Collateral shall be sold free and clear of the Liens created by the Loan Documents, and, without limiting the provisions of </w:t>
      </w:r>
      <w:r>
        <w:rPr>
          <w:rFonts w:ascii="Times New Roman" w:hAnsi="Times New Roman"/>
          <w:sz w:val="20"/>
          <w:u w:val="single"/>
        </w:rPr>
        <w:t>Section 10.11</w:t>
      </w:r>
      <w:r>
        <w:rPr>
          <w:rFonts w:ascii="Times New Roman" w:hAnsi="Times New Roman"/>
          <w:sz w:val="20"/>
        </w:rPr>
        <w:t xml:space="preserve">, the Administrative Agent and the Collateral Agent shall be authorized to, and shall, take any actions reasonably requested by the Borrower in order to effect the foregoing (and the Lenders hereby authorize and direct the Administrative Agent and the Collateral Agent to conclusively rely on any such certification by the Borrower in performing its obligations under this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Restricted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Declare or pay any dividend or make any distribution on or in respect of the Borrower’s or any Restricted Subsidiary’s Equity Interests (including any such payment in connection with any merger or consolidation involving the Borrower or any of the Restricted Subsidiaries) except: </w:t>
      </w:r>
    </w:p>
    <w:p>
      <w:pPr>
        <w:pStyle w:val="TextBody"/>
        <w:bidi w:val="0"/>
        <w:spacing w:before="120" w:after="0"/>
        <w:jc w:val="left"/>
        <w:rPr>
          <w:rFonts w:ascii="Times New Roman" w:hAnsi="Times New Roman"/>
          <w:sz w:val="20"/>
        </w:rPr>
      </w:pPr>
      <w:r>
        <w:rPr>
          <w:rFonts w:ascii="Times New Roman" w:hAnsi="Times New Roman"/>
          <w:sz w:val="20"/>
        </w:rPr>
        <w:t xml:space="preserve">(i) dividends, payments or distributions payable to the Borrower or a Restricted Subsidiary (and, in the case of any such Restricted Subsidiary making such dividend or distribution, to holders of its Equity Interests other than the Borrower or another Restricted Subsidiary on no more than a pro rata basis),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dividends, payments or distributions payable in Equity Interests of the Borrower (other than Disqualified Equity Interests) or in options, warrants or other rights to purchase such Equity Interests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(b) Purchase, repurchase, redeem, retire or otherwise acquire or retire for value any Equity Interests of the Borrower or any Parent Entity held by Persons other than the Borrower or a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(c) Make any Junior Debt Repayment (other than a Permitted Junior Debt Repayment); or </w:t>
      </w:r>
    </w:p>
    <w:p>
      <w:pPr>
        <w:pStyle w:val="TextBody"/>
        <w:bidi w:val="0"/>
        <w:spacing w:before="240" w:after="0"/>
        <w:jc w:val="left"/>
        <w:rPr>
          <w:rFonts w:ascii="Times New Roman" w:hAnsi="Times New Roman"/>
          <w:sz w:val="20"/>
        </w:rPr>
      </w:pPr>
      <w:r>
        <w:rPr>
          <w:rFonts w:ascii="Times New Roman" w:hAnsi="Times New Roman"/>
          <w:sz w:val="20"/>
        </w:rPr>
        <w:t xml:space="preserve">(d) Make any Restricted Investment; </w:t>
      </w:r>
    </w:p>
    <w:p>
      <w:pPr>
        <w:pStyle w:val="TextBody"/>
        <w:bidi w:val="0"/>
        <w:spacing w:before="240" w:after="0"/>
        <w:jc w:val="left"/>
        <w:rPr>
          <w:rFonts w:ascii="Times New Roman" w:hAnsi="Times New Roman"/>
          <w:sz w:val="20"/>
        </w:rPr>
      </w:pPr>
      <w:r>
        <w:rPr>
          <w:rFonts w:ascii="Times New Roman" w:hAnsi="Times New Roman"/>
          <w:sz w:val="20"/>
        </w:rPr>
        <w:t xml:space="preserve">any such dividend, distribution, payment, purchase, redemption, repurchase, defeasance, other acquisition, retirement or Restricted Investment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are referred to herein as a “</w:t>
      </w:r>
      <w:r>
        <w:rPr>
          <w:rFonts w:ascii="Times New Roman" w:hAnsi="Times New Roman"/>
          <w:b/>
          <w:sz w:val="20"/>
        </w:rPr>
        <w:t>Restricted Payment</w:t>
      </w:r>
      <w:r>
        <w:rPr>
          <w:rFonts w:ascii="Times New Roman" w:hAnsi="Times New Roman"/>
          <w:sz w:val="20"/>
        </w:rPr>
        <w:t xml:space="preserve">”, if at the time the Borrower or such Restricted Subsidiary makes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(i) an Event of Default shall have occurred and be continuing (or would immediately thereafter result therefrom); or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 Restricted Payment other than a Restricted Investment, the Borrower is not able to incur an additional $1.00 of Ratio Debt immediately after giving effect, on a pro forma basis, to such Restricted Payment;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would not be in pro forma compliance with the Financial Covenants upon giving effect thereto; or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Restricted Payments other than dollar-for-dollar refinancings, Restricted Payments used directly to consummate acquisitions of Vessels, the Borrower must have at least 50% of the total Commitments available for drawing under the Facility immediately prior to and following such Restricted Payment; </w:t>
      </w:r>
      <w:r>
        <w:rPr>
          <w:rFonts w:ascii="Times New Roman" w:hAnsi="Times New Roman"/>
          <w:i/>
          <w:sz w:val="20"/>
        </w:rPr>
        <w:t>provided</w:t>
      </w:r>
      <w:r>
        <w:rPr>
          <w:rFonts w:ascii="Times New Roman" w:hAnsi="Times New Roman"/>
          <w:sz w:val="20"/>
        </w:rPr>
        <w:t xml:space="preserve">, that this clause (iv) shall not apply to Restricted Payments made by a Borrower and the Restricted Subsidiaries to consummate a change in the flag jurisdiction of Vessel Collateral permitted hereunder; or </w:t>
      </w:r>
    </w:p>
    <w:p>
      <w:pPr>
        <w:pStyle w:val="TextBody"/>
        <w:bidi w:val="0"/>
        <w:spacing w:before="120" w:after="0"/>
        <w:jc w:val="left"/>
        <w:rPr>
          <w:rFonts w:ascii="Times New Roman" w:hAnsi="Times New Roman"/>
          <w:sz w:val="20"/>
        </w:rPr>
      </w:pPr>
      <w:r>
        <w:rPr>
          <w:rFonts w:ascii="Times New Roman" w:hAnsi="Times New Roman"/>
          <w:sz w:val="20"/>
        </w:rPr>
        <w:t xml:space="preserve">(v) the aggregate amount of such Restricted Payment and all other Restricted Payments made subsequent to the Closing Date (and not returned or rescinded) (including Permitted Payments made pursuant to </w:t>
      </w:r>
      <w:r>
        <w:rPr>
          <w:rFonts w:ascii="Times New Roman" w:hAnsi="Times New Roman"/>
          <w:sz w:val="20"/>
          <w:u w:val="single"/>
        </w:rPr>
        <w:t>clauses (1)</w:t>
      </w:r>
      <w:r>
        <w:rPr>
          <w:rFonts w:ascii="Times New Roman" w:hAnsi="Times New Roman"/>
          <w:sz w:val="20"/>
        </w:rPr>
        <w:t xml:space="preserve"> (without duplication) and </w:t>
      </w:r>
      <w:r>
        <w:rPr>
          <w:rFonts w:ascii="Times New Roman" w:hAnsi="Times New Roman"/>
          <w:sz w:val="20"/>
          <w:u w:val="single"/>
        </w:rPr>
        <w:t>(7)</w:t>
      </w:r>
      <w:r>
        <w:rPr>
          <w:rFonts w:ascii="Times New Roman" w:hAnsi="Times New Roman"/>
          <w:sz w:val="20"/>
        </w:rPr>
        <w:t xml:space="preserve"> of the </w:t>
      </w:r>
      <w:r>
        <w:rPr>
          <w:rFonts w:ascii="Times New Roman" w:hAnsi="Times New Roman"/>
          <w:strike/>
          <w:color w:val="FF0000"/>
          <w:sz w:val="20"/>
        </w:rPr>
        <w:t>next succeeding paragraph</w:t>
      </w:r>
      <w:r>
        <w:rPr>
          <w:rFonts w:ascii="Times New Roman" w:hAnsi="Times New Roman"/>
          <w:color w:val="0000FF"/>
          <w:sz w:val="20"/>
          <w:u w:val="single"/>
          <w:bdr w:val="double" w:sz="2" w:space="1" w:color="000000"/>
        </w:rPr>
        <w:t>definition thereof</w:t>
      </w:r>
      <w:r>
        <w:rPr>
          <w:rFonts w:ascii="Times New Roman" w:hAnsi="Times New Roman"/>
          <w:sz w:val="20"/>
        </w:rPr>
        <w:t>, but excluding all other Restricted Payments permitted by the next succeeding paragraph) would exceed the sum of (without duplication) (the “</w:t>
      </w:r>
      <w:r>
        <w:rPr>
          <w:rFonts w:ascii="Times New Roman" w:hAnsi="Times New Roman"/>
          <w:b/>
          <w:sz w:val="20"/>
        </w:rPr>
        <w:t>Available Amount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50% of Consolidated Net Income for the period (treated as one accounting period) beginning July 1, 2024 to the end of the most recent fiscal quarter ending prior to the date of such Restricted Payment for which consolidated financial statements are available (which may, at the Borrower’s election, be internal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 100% of the aggregate amount of cash, and the Fair Market Value of property or assets or marketable securities, received by the Borrower from the issue or sale of its Equity Interests (including, for the avoidance of doubt, any proceeds of an issuance or sale of Equity Interests in connection with or following a public offering of common stock, common equity interests or Jones Act Warrants) or as the result of a merger or consolidation with another Person subsequent to the Closing Date or otherwise contributed to the equity (in each case other than through the issuance of Disqualified Equity Interests) of the Borrower or a Restricted Subsidiary (including the aggregate principal amount of any Indebtedness of the Borrower or a Restricted Subsidiary contributed to the Borrower or a Restricted Subsidiary for cancellation) or that becomes part of the capital of the Borrower or a Restricted Subsidiary through consolidation or merger subsequent to the Closing Date (other than (x) net cash proceeds or property or assets or marketable securities received from an issuance or sale of such Equity Interests to a Restricted Subsidiary or an employee stock ownership plan or trust established by a Parent Entity, the Borrower or any Subsidiary of the Borrower for the benefit of their employees to the extent funded by the Borrower or any Restricted Subsidiary and (y) cash or property or assets or marketable securities to the extent that any Restricted Payment has been made from such proceeds in reliance on </w:t>
      </w:r>
      <w:r>
        <w:rPr>
          <w:rFonts w:ascii="Times New Roman" w:hAnsi="Times New Roman"/>
          <w:sz w:val="20"/>
          <w:u w:val="single"/>
        </w:rPr>
        <w:t>clause (6)</w:t>
      </w:r>
      <w:r>
        <w:rPr>
          <w:rFonts w:ascii="Times New Roman" w:hAnsi="Times New Roman"/>
          <w:sz w:val="20"/>
        </w:rPr>
        <w:t xml:space="preserve"> of the </w:t>
      </w:r>
      <w:r>
        <w:rPr>
          <w:rFonts w:ascii="Times New Roman" w:hAnsi="Times New Roman"/>
          <w:strike/>
          <w:color w:val="FF0000"/>
          <w:sz w:val="20"/>
        </w:rPr>
        <w:t>next succeeding paragraph</w:t>
      </w:r>
      <w:r>
        <w:rPr>
          <w:rFonts w:ascii="Times New Roman" w:hAnsi="Times New Roman"/>
          <w:color w:val="0000FF"/>
          <w:sz w:val="20"/>
          <w:u w:val="single"/>
          <w:bdr w:val="double" w:sz="2" w:space="1" w:color="000000"/>
        </w:rPr>
        <w:t>definition of “Permitted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100% of the aggregate amount of cash, and the Fair Market Value of property or assets or marketable securities, received by the Borrower or any Restricted Subsidiary from the issuance or sale (other than to the Borrower or a Restricted Subsidiary or an employee stock ownership plan or trust established by a Parent Entity, the Borrower or any Subsidiary of the Borrower for the benefit of their employees to the extent funded by the Borrower or any Restricted Subsidiary) by the Borrower or any Restricted Subsidiary subsequent to the Closing Date of any Indebtedness or Disqualified Equity Interests that has been converted into or exchanged for Equity Interests of the Borrower (other than Disqualified Equity Interests) plus, without duplication, the amount of any cash, and the Fair Market Value of property or assets or marketable securities, received by the Borrower or any Restricted Subsidiary upon such conversion or exchange; </w:t>
      </w:r>
    </w:p>
    <w:p>
      <w:pPr>
        <w:pStyle w:val="TextBody"/>
        <w:bidi w:val="0"/>
        <w:spacing w:before="240" w:after="0"/>
        <w:jc w:val="left"/>
        <w:rPr>
          <w:rFonts w:ascii="Times New Roman" w:hAnsi="Times New Roman"/>
          <w:sz w:val="20"/>
        </w:rPr>
      </w:pPr>
      <w:r>
        <w:rPr>
          <w:rFonts w:ascii="Times New Roman" w:hAnsi="Times New Roman"/>
          <w:sz w:val="20"/>
        </w:rPr>
        <w:t xml:space="preserve">(D) 100% of the aggregate amount received in cash and the Fair Market Value, as determined in good faith by the Borrower, of marketable securities or other property received by means of: (i) the sale or other disposition (other than to the Borrower or a Restricted Subsidiary) of, or other returns on Investment from, Restricted Investments made by the Borrower or the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and repurchases and redemptions of, or cash distributions or cash interest received in respect of, such Investments from the Borrower or the Restricted Subsidiaries and repayments of loans or advances, and releases of guarantees, which constitute Restricted Investments by the Borrower or the Restricted Subsidiaries, in each case after the Closing Date; or (ii) the sale or other disposition (other than to the Borrower or a Restricted Subsidiary) of the Equity Interests of an Unrestricted Subsidiary or a dividend, payment or distribution from an Unrestricted Subsidiary (other than to the extent of the amount of the Investment that constituted a Permitted Investment or was made under </w:t>
      </w:r>
      <w:r>
        <w:rPr>
          <w:rFonts w:ascii="Times New Roman" w:hAnsi="Times New Roman"/>
          <w:sz w:val="20"/>
          <w:u w:val="single"/>
        </w:rPr>
        <w:t>clause (13)</w:t>
      </w:r>
      <w:r>
        <w:rPr>
          <w:rFonts w:ascii="Times New Roman" w:hAnsi="Times New Roman"/>
          <w:sz w:val="20"/>
        </w:rPr>
        <w:t xml:space="preserve"> of the definition of “Permitted Payments” and will increase the amount available under the applicable clause of the definition of “Permitted Investment” or </w:t>
      </w:r>
      <w:r>
        <w:rPr>
          <w:rFonts w:ascii="Times New Roman" w:hAnsi="Times New Roman"/>
          <w:sz w:val="20"/>
          <w:u w:val="single"/>
        </w:rPr>
        <w:t>clause (13)</w:t>
      </w:r>
      <w:r>
        <w:rPr>
          <w:rFonts w:ascii="Times New Roman" w:hAnsi="Times New Roman"/>
          <w:sz w:val="20"/>
        </w:rPr>
        <w:t xml:space="preserve"> of the definition of “Permitted Payments”, as the case may be) or a dividend from a Person that is not a Restricted Subsidiary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in the case of the redesignation of an Unrestricted Subsidiary as a Restricted Subsidiary or the merger, amalgamation or consolidation of an Unrestricted Subsidiary into the Borrower or a Restricted Subsidiary or the transfer of all or substantially all of the assets of an Unrestricted Subsidiary to the Borrower or a Restricted Subsidiary after the Closing Date, the Fair Market Value of the Investment in such Unrestricted Subsidiary (or the assets transferred), as determined in good faith by the Borrower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or was made under </w:t>
      </w:r>
      <w:r>
        <w:rPr>
          <w:rFonts w:ascii="Times New Roman" w:hAnsi="Times New Roman"/>
          <w:sz w:val="20"/>
          <w:u w:val="single"/>
        </w:rPr>
        <w:t>clause (13)</w:t>
      </w:r>
      <w:r>
        <w:rPr>
          <w:rFonts w:ascii="Times New Roman" w:hAnsi="Times New Roman"/>
          <w:sz w:val="20"/>
        </w:rPr>
        <w:t xml:space="preserve"> of the definition of “Permitted Payments” and will increase the amount available under the applicable clause of the definition of “Permitted Investment” or </w:t>
      </w:r>
      <w:r>
        <w:rPr>
          <w:rFonts w:ascii="Times New Roman" w:hAnsi="Times New Roman"/>
          <w:sz w:val="20"/>
          <w:u w:val="single"/>
        </w:rPr>
        <w:t>clause (13)</w:t>
      </w:r>
      <w:r>
        <w:rPr>
          <w:rFonts w:ascii="Times New Roman" w:hAnsi="Times New Roman"/>
          <w:sz w:val="20"/>
        </w:rPr>
        <w:t xml:space="preserve"> of the definition of “Permitted Payments” as the case may be; and </w:t>
      </w:r>
    </w:p>
    <w:p>
      <w:pPr>
        <w:pStyle w:val="TextBody"/>
        <w:bidi w:val="0"/>
        <w:spacing w:before="120" w:after="0"/>
        <w:jc w:val="left"/>
        <w:rPr>
          <w:rFonts w:ascii="Times New Roman" w:hAnsi="Times New Roman"/>
          <w:sz w:val="20"/>
        </w:rPr>
      </w:pPr>
      <w:r>
        <w:rPr>
          <w:rFonts w:ascii="Times New Roman" w:hAnsi="Times New Roman"/>
          <w:sz w:val="20"/>
        </w:rPr>
        <w:t xml:space="preserve">(F) $50.0 million. </w:t>
      </w:r>
    </w:p>
    <w:p>
      <w:pPr>
        <w:pStyle w:val="TextBody"/>
        <w:bidi w:val="0"/>
        <w:spacing w:before="120" w:after="0"/>
        <w:jc w:val="left"/>
        <w:rPr>
          <w:rFonts w:ascii="Times New Roman" w:hAnsi="Times New Roman"/>
          <w:sz w:val="20"/>
        </w:rPr>
      </w:pPr>
      <w:r>
        <w:rPr>
          <w:rFonts w:ascii="Times New Roman" w:hAnsi="Times New Roman"/>
          <w:sz w:val="20"/>
        </w:rPr>
        <w:t xml:space="preserve">The foregoing provisions shall not prohibit any Permitted Payment.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Investments, Permitted Payments, Junior Debt Repayments and other transactions permitted under this </w:t>
      </w:r>
      <w:r>
        <w:rPr>
          <w:rFonts w:ascii="Times New Roman" w:hAnsi="Times New Roman"/>
          <w:sz w:val="20"/>
          <w:u w:val="single"/>
        </w:rPr>
        <w:t>Section 7.06</w:t>
      </w:r>
      <w:r>
        <w:rPr>
          <w:rFonts w:ascii="Times New Roman" w:hAnsi="Times New Roman"/>
          <w:sz w:val="20"/>
        </w:rPr>
        <w:t xml:space="preserve"> at any time shall be the amount of cash and the Fair Market Value of other property subject to the Investments, Permitted Payments, Junior Debt Repayments or other transaction at the time payment is made. For purposes of determining compliance with this </w:t>
      </w:r>
      <w:r>
        <w:rPr>
          <w:rFonts w:ascii="Times New Roman" w:hAnsi="Times New Roman"/>
          <w:sz w:val="20"/>
          <w:u w:val="single"/>
        </w:rPr>
        <w:t>Section 7.06</w:t>
      </w:r>
      <w:r>
        <w:rPr>
          <w:rFonts w:ascii="Times New Roman" w:hAnsi="Times New Roman"/>
          <w:sz w:val="20"/>
        </w:rPr>
        <w:t xml:space="preserve">, in the event that any Investments, Permitted Payments, Junior Debt Repayments and other transactions permitted under </w:t>
      </w:r>
      <w:r>
        <w:rPr>
          <w:rFonts w:ascii="Times New Roman" w:hAnsi="Times New Roman"/>
          <w:sz w:val="20"/>
          <w:u w:val="single"/>
        </w:rPr>
        <w:t>Section 7.06</w:t>
      </w:r>
      <w:r>
        <w:rPr>
          <w:rFonts w:ascii="Times New Roman" w:hAnsi="Times New Roman"/>
          <w:sz w:val="20"/>
        </w:rPr>
        <w:t xml:space="preserve"> (or any portion of such payment made) meets the criteria of more than one of the categories set forth above, the Borrower may, in its sole discretion, at the time such Investments, Permitted Payments, Junior Debt Repayments and other transaction permitted under </w:t>
      </w:r>
      <w:r>
        <w:rPr>
          <w:rFonts w:ascii="Times New Roman" w:hAnsi="Times New Roman"/>
          <w:sz w:val="20"/>
          <w:u w:val="single"/>
        </w:rPr>
        <w:t>Section 7.06</w:t>
      </w:r>
      <w:r>
        <w:rPr>
          <w:rFonts w:ascii="Times New Roman" w:hAnsi="Times New Roman"/>
          <w:sz w:val="20"/>
        </w:rPr>
        <w:t xml:space="preserve"> is paid, divide, classify or reclassify, or at any later time divide, classify, or reclassify, such payment (or any portion thereof) in any manner that complies with this covenant on the date such payment is made or such later time,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Restricted Payment, Investment or Junior Debt Repayment (or portion thereof) may be reclassified at a time subsequent to the time it was originally made, so long as such Restricted Payment, Investment or Junior Debt Repayment (or portion thereof) would have been able to have been made at the time of such reclassification pursuant to the provision to which such Restricted Payment, Investment or Junior Debt Repayment (or portion thereof) is being reclassified.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all Restricted Payments (other than cash) shall be the Fair Market Value on the date of such Restricted Payment of the asset(s) or securities proposed to be paid, transferred or issued by the Borrower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Borrower acting in good faith. </w:t>
      </w:r>
    </w:p>
    <w:p>
      <w:pPr>
        <w:pStyle w:val="TextBody"/>
        <w:bidi w:val="0"/>
        <w:spacing w:before="240" w:after="0"/>
        <w:jc w:val="left"/>
        <w:rPr>
          <w:rFonts w:ascii="Times New Roman" w:hAnsi="Times New Roman"/>
          <w:sz w:val="20"/>
        </w:rPr>
      </w:pPr>
      <w:r>
        <w:rPr>
          <w:rFonts w:ascii="Times New Roman" w:hAnsi="Times New Roman"/>
          <w:sz w:val="20"/>
        </w:rPr>
        <w:t xml:space="preserve">Unrestricted Subsidiaries may use value transferred from the Borrower and its Restricted Subsidiaries in a Permitted Investment to purchase or otherwise acquire Indebtedness or Equity Interests of the Borrower, any Parent Entity or any of the Borrower’s Restricted Subsidiaries, and to transfer value to the holders of the Equity Interests of the Borrower or any Restricted Subsidiary or any Parent Entity and to Affiliates thereof, and such purchase, acquisition, or transfer will not be deemed to be a “direct or indirect” action by the Borrower or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If the Borrower or a Restricted Subsidiary makes a Restricted Payment which at the time of the making of such Restricted Payment would in the good faith determination of the Borrower be permitted under the provisions of this Agreement, such Restricted Payment shall be deemed to have been made in compliance with this Agreement notwithstanding any subsequent adjustments made in good faith to the Borrower’s financial statements affecting Consolidated Net Income, Consolidated Adjusted EBITDA or Consolidated Net Tangible Assets of the Borrower for any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Negative Pledge</w:t>
      </w:r>
      <w:r>
        <w:rPr>
          <w:rFonts w:ascii="Times New Roman" w:hAnsi="Times New Roman"/>
          <w:sz w:val="20"/>
        </w:rPr>
        <w:t xml:space="preserve">. Create or otherwise cause or permit to exist or become effective any consensual encumbrance or consensual restriction on the ability of any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(a) pay dividends or make any other distributions in cash or otherwise on its Equity Interests or pay any Indebtedness or other obligations owed to the Borrower or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(b) make any loans or advances to the Borrower or any Restricted Subsidiary;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sell, lease or transfer any of its property or assets to the Borrower or any Restricted Subsidiary; </w:t>
      </w:r>
      <w:r>
        <w:rPr>
          <w:rFonts w:ascii="Times New Roman" w:hAnsi="Times New Roman"/>
          <w:i/>
          <w:sz w:val="20"/>
        </w:rPr>
        <w:t>provided</w:t>
      </w:r>
      <w:r>
        <w:rPr>
          <w:rFonts w:ascii="Times New Roman" w:hAnsi="Times New Roman"/>
          <w:sz w:val="20"/>
        </w:rPr>
        <w:t xml:space="preserve"> that (x) the priority of any preferred stock in receiving dividends or liquidating distributions prior to dividends or liquidating distributions being paid on common stock or Jones Act Warrants and (y) the subordination of (including the application of any standstill requirements to) loans or advances made to the Borrower or any Restricted Subsidiary to other Indebtedness incurred by the Borrower or any Restricted Subsidiary shall not be deemed to constitute such an encumbrance or restriction. </w:t>
      </w:r>
    </w:p>
    <w:p>
      <w:pPr>
        <w:pStyle w:val="TextBody"/>
        <w:bidi w:val="0"/>
        <w:spacing w:before="12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Section 7.08</w:t>
      </w:r>
      <w:r>
        <w:rPr>
          <w:rFonts w:ascii="Times New Roman" w:hAnsi="Times New Roman"/>
          <w:sz w:val="20"/>
        </w:rPr>
        <w:t xml:space="preserve"> shall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(i) any encumbrance or restriction pursuant to this Agreement or any other agreement or instrument, in each case, in effect at or entered into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any encumbrance or restriction pursuant to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(iii) any encumbrance or restriction pursuant to applicable law, rule, regulation or order; </w:t>
      </w:r>
    </w:p>
    <w:p>
      <w:pPr>
        <w:pStyle w:val="TextBody"/>
        <w:bidi w:val="0"/>
        <w:spacing w:before="120" w:after="0"/>
        <w:jc w:val="left"/>
        <w:rPr>
          <w:rFonts w:ascii="Times New Roman" w:hAnsi="Times New Roman"/>
          <w:sz w:val="20"/>
        </w:rPr>
      </w:pPr>
      <w:r>
        <w:rPr>
          <w:rFonts w:ascii="Times New Roman" w:hAnsi="Times New Roman"/>
          <w:sz w:val="20"/>
        </w:rPr>
        <w:t xml:space="preserve">(iv) any encumbrance or restriction pursuant to an agreement or instrument of a Person or relating to any Equity Interests or Indebtedness of a Person, entered into on or before the date on which such Person was acquired by or merged, consolidated or otherwise combined with or into the Borrower or any Restricted Subsidiary, or was designated as a Restricted Subsidiary or on which such agreement or instrument is assumed by the Borrower or any Restricted Subsidiary in connection with an acquisition of assets (other than Equity Interests or Indebtedness incurred as consideration in, or to provide all or any portion of the funds utilized to consummate, the transaction or series of related transactions pursuant to which such Person became a Restricted Subsidiary or was acquired by the Borrower or a Restricted Subsidiary or was merged, consolidated or otherwise combined with or into the Borrower or any Restricted Subsidiary or entered into in contemplation of or in connection with such transaction) and outstanding on such date; </w:t>
      </w:r>
    </w:p>
    <w:p>
      <w:pPr>
        <w:pStyle w:val="TextBody"/>
        <w:bidi w:val="0"/>
        <w:spacing w:before="120" w:after="0"/>
        <w:jc w:val="left"/>
        <w:rPr>
          <w:rFonts w:ascii="Times New Roman" w:hAnsi="Times New Roman"/>
          <w:sz w:val="20"/>
        </w:rPr>
      </w:pPr>
      <w:r>
        <w:rPr>
          <w:rFonts w:ascii="Times New Roman" w:hAnsi="Times New Roman"/>
          <w:sz w:val="20"/>
        </w:rPr>
        <w:t xml:space="preserve">(v) any encumbrance or restriction: </w:t>
      </w:r>
    </w:p>
    <w:p>
      <w:pPr>
        <w:pStyle w:val="TextBody"/>
        <w:bidi w:val="0"/>
        <w:spacing w:before="120" w:after="0"/>
        <w:jc w:val="left"/>
        <w:rPr>
          <w:rFonts w:ascii="Times New Roman" w:hAnsi="Times New Roman"/>
          <w:sz w:val="20"/>
        </w:rPr>
      </w:pPr>
      <w:r>
        <w:rPr>
          <w:rFonts w:ascii="Times New Roman" w:hAnsi="Times New Roman"/>
          <w:sz w:val="20"/>
        </w:rPr>
        <w:t xml:space="preserve">(A) that restricts in a customary manner the subletting, assignment or transfer of any property or asset that is subject to a lease, license or similar contract or agreement, or the assignment or transfer of any lease, license or other contract or agreement; </w:t>
      </w:r>
    </w:p>
    <w:p>
      <w:pPr>
        <w:pStyle w:val="TextBody"/>
        <w:bidi w:val="0"/>
        <w:spacing w:before="120" w:after="0"/>
        <w:jc w:val="left"/>
        <w:rPr>
          <w:rFonts w:ascii="Times New Roman" w:hAnsi="Times New Roman"/>
          <w:sz w:val="20"/>
        </w:rPr>
      </w:pPr>
      <w:r>
        <w:rPr>
          <w:rFonts w:ascii="Times New Roman" w:hAnsi="Times New Roman"/>
          <w:sz w:val="20"/>
        </w:rPr>
        <w:t xml:space="preserve">(B) contained in mortgages, pledges, charges or other security agreements permitted under this Agreement or securing Indebtedness of the Borrower or a Restricted Subsidiary permitted under this Agreement to the extent such encumbrances or restrictions restrict the transfer or encumbrance of the property or assets subject to such mortgages, pledges, charges or other security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contained in any trading, netting, operating, construction, service, supply, purchase, sale or other agreement to which the Borrower or any of its Restricted Subsidiaries is a party entered into in the ordinary course of business or consistent with past practice; </w:t>
      </w:r>
      <w:r>
        <w:rPr>
          <w:rFonts w:ascii="Times New Roman" w:hAnsi="Times New Roman"/>
          <w:i/>
          <w:sz w:val="20"/>
        </w:rPr>
        <w:t>provided</w:t>
      </w:r>
      <w:r>
        <w:rPr>
          <w:rFonts w:ascii="Times New Roman" w:hAnsi="Times New Roman"/>
          <w:sz w:val="20"/>
        </w:rPr>
        <w:t xml:space="preserve"> that such agreement prohibits the encumbrance of solely the property or assets of the Borrower or such Restricted Subsidiary that are subject to such agreement, the payment rights arising thereunder or the proceeds thereof and does not extend to any other asset or property of the Borrower or such Restricted Subsidiary or the assets or property of another Restricted Subsidiary; or </w:t>
      </w:r>
    </w:p>
    <w:p>
      <w:pPr>
        <w:pStyle w:val="TextBody"/>
        <w:bidi w:val="0"/>
        <w:spacing w:before="120" w:after="0"/>
        <w:jc w:val="left"/>
        <w:rPr>
          <w:rFonts w:ascii="Times New Roman" w:hAnsi="Times New Roman"/>
          <w:sz w:val="20"/>
        </w:rPr>
      </w:pPr>
      <w:r>
        <w:rPr>
          <w:rFonts w:ascii="Times New Roman" w:hAnsi="Times New Roman"/>
          <w:sz w:val="20"/>
        </w:rPr>
        <w:t xml:space="preserve">(D) pursuant to customary provisions restricting dispositions of real property interests set forth in any reciprocal easement agreements of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(vi) any encumbrance or restriction pursuant to Purchase Money Obligations and Capitalized Leases permitted under this Agreement, in each case, that impose encumbrances or restrictions on the property so acquired; </w:t>
      </w:r>
    </w:p>
    <w:p>
      <w:pPr>
        <w:pStyle w:val="TextBody"/>
        <w:bidi w:val="0"/>
        <w:spacing w:before="120" w:after="0"/>
        <w:jc w:val="left"/>
        <w:rPr>
          <w:rFonts w:ascii="Times New Roman" w:hAnsi="Times New Roman"/>
          <w:sz w:val="20"/>
        </w:rPr>
      </w:pPr>
      <w:r>
        <w:rPr>
          <w:rFonts w:ascii="Times New Roman" w:hAnsi="Times New Roman"/>
          <w:sz w:val="20"/>
        </w:rPr>
        <w:t xml:space="preserve">(vii) any encumbrance or restriction imposed pursuant to an agreement entered into for the direct or indirect sale or disposition to a Person of all or substantially all the Equity Interests or assets of the Borrower or any Restricted Subsidiary (or the property or assets that are subject to such restriction) pending the closing of such sale or disposition; </w:t>
      </w:r>
    </w:p>
    <w:p>
      <w:pPr>
        <w:pStyle w:val="TextBody"/>
        <w:bidi w:val="0"/>
        <w:spacing w:before="120" w:after="0"/>
        <w:jc w:val="left"/>
        <w:rPr>
          <w:rFonts w:ascii="Times New Roman" w:hAnsi="Times New Roman"/>
          <w:sz w:val="20"/>
        </w:rPr>
      </w:pPr>
      <w:r>
        <w:rPr>
          <w:rFonts w:ascii="Times New Roman" w:hAnsi="Times New Roman"/>
          <w:sz w:val="20"/>
        </w:rPr>
        <w:t xml:space="preserve">(viii) customary provisions in leases, licenses, equityholder agreements, joint venture agreements, organizational documents and other similar agreements and instruments; </w:t>
      </w:r>
    </w:p>
    <w:p>
      <w:pPr>
        <w:pStyle w:val="TextBody"/>
        <w:bidi w:val="0"/>
        <w:spacing w:before="120" w:after="0"/>
        <w:jc w:val="left"/>
        <w:rPr>
          <w:rFonts w:ascii="Times New Roman" w:hAnsi="Times New Roman"/>
          <w:sz w:val="20"/>
        </w:rPr>
      </w:pPr>
      <w:r>
        <w:rPr>
          <w:rFonts w:ascii="Times New Roman" w:hAnsi="Times New Roman"/>
          <w:sz w:val="20"/>
        </w:rPr>
        <w:t xml:space="preserve">(ix) encumbrances or restrictions arising or existing by reason of applicable law or any applicable rule, regulation or order, or required by any regulatory authority; </w:t>
      </w:r>
    </w:p>
    <w:p>
      <w:pPr>
        <w:pStyle w:val="TextBody"/>
        <w:bidi w:val="0"/>
        <w:spacing w:before="120" w:after="0"/>
        <w:jc w:val="left"/>
        <w:rPr>
          <w:rFonts w:ascii="Times New Roman" w:hAnsi="Times New Roman"/>
          <w:sz w:val="20"/>
        </w:rPr>
      </w:pPr>
      <w:r>
        <w:rPr>
          <w:rFonts w:ascii="Times New Roman" w:hAnsi="Times New Roman"/>
          <w:sz w:val="20"/>
        </w:rPr>
        <w:t xml:space="preserve">(x) any encumbrance or restriction on cash or other deposits or net worth imposed by customers under agreements entered into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any encumbrance or restriction pursuant to Hedge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(xii) other Indebtedness of Foreign Subsidiaries permitted to be incurred or issued subsequent to the Closing Date pursuant to </w:t>
      </w:r>
      <w:r>
        <w:rPr>
          <w:rFonts w:ascii="Times New Roman" w:hAnsi="Times New Roman"/>
          <w:sz w:val="20"/>
          <w:u w:val="single"/>
        </w:rPr>
        <w:t>Section 7.03</w:t>
      </w:r>
      <w:r>
        <w:rPr>
          <w:rFonts w:ascii="Times New Roman" w:hAnsi="Times New Roman"/>
          <w:sz w:val="20"/>
        </w:rPr>
        <w:t xml:space="preserve"> that impose restrictions solely on the Foreign Subsidiaries party thereto or their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(xiii) restrictions created in connection with any Qualified Securitization Financing or Receivables Facility that, in the good faith determination of the Borrower, are necessary or advisable to effect such Securitization Facility or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(xiv) any encumbrance or restriction arising pursuant to an agreement or instrument relating to any Indebtedness permitted to be incurred subsequent to the Closing Date pursuant to </w:t>
      </w:r>
      <w:r>
        <w:rPr>
          <w:rFonts w:ascii="Times New Roman" w:hAnsi="Times New Roman"/>
          <w:sz w:val="20"/>
          <w:u w:val="single"/>
        </w:rPr>
        <w:t>Section 7.03</w:t>
      </w:r>
      <w:r>
        <w:rPr>
          <w:rFonts w:ascii="Times New Roman" w:hAnsi="Times New Roman"/>
          <w:sz w:val="20"/>
        </w:rPr>
        <w:t xml:space="preserve"> if the encumbrances and restrictions contained in any such agreement or instrument (i) taken as a whole, are not materially less favorable to the Lenders than the encumbrances and restrictions contained in this Agreement, together with the other Loan Documents, as in effect on the Closing Date, (ii) at the time of entry into such agreement or instrument, are determined by the Borrower in good faith to not adversely affect, in any material respect, the Borrower’s ability to make principal or interest payments on the Loans or (iii) apply only during the continuance of a default in respect of a payment relating to such agreement or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any encumbrance or restriction existing by reason of any Lien permitted under </w:t>
      </w:r>
      <w:r>
        <w:rPr>
          <w:rFonts w:ascii="Times New Roman" w:hAnsi="Times New Roman"/>
          <w:sz w:val="20"/>
          <w:u w:val="single"/>
        </w:rPr>
        <w:t>Section 7.01</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(xvi) any encumbrance or restriction pursuant to an agreement or instrument effecting a refinancing of Indebtedness incurred pursuant to, or that otherwise refinances, an agreement or instrument referred to in the clauses above or this clause (an “</w:t>
      </w:r>
      <w:r>
        <w:rPr>
          <w:rFonts w:ascii="Times New Roman" w:hAnsi="Times New Roman"/>
          <w:b/>
          <w:sz w:val="20"/>
        </w:rPr>
        <w:t>Initial</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or contained in any amendment, supplement or other modification to an agreement referred to in the clauses above or this clause;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encumbrances and restrictions with respect to such Restricted Subsidiary contained in any such agreement or instrument (i) are no less favorable in any material respect to the Lenders taken as a whole than the encumbrances and restrictions contained in the Initial Agreement or Initial Agreements to which such refinancing or amendment, supplement or other modification relates (as determined in good faith by the Borrower) or (ii) are determined by the Borrower in good faith, at the time of entering into such refinancing, amendment, supplement or other modification, will not adversely affect, in any material respect, the Borrower’s ability to make principal or interest payments on 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Junior Debt Prepayments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Prepayments of Junior Financing</w:t>
      </w:r>
      <w:r>
        <w:rPr>
          <w:rFonts w:ascii="Times New Roman" w:hAnsi="Times New Roman"/>
          <w:sz w:val="20"/>
        </w:rPr>
        <w:t>. Prepay, repay, redeem, repurchase, defease or otherwise acquire or satisfy prior to the date that is one year before the scheduled maturity thereof any principal amount in respect of a Junior Financing (any such prepayment, repayment, redemption, purchase, defeasance or satisfaction, a “</w:t>
      </w:r>
      <w:r>
        <w:rPr>
          <w:rFonts w:ascii="Times New Roman" w:hAnsi="Times New Roman"/>
          <w:b/>
          <w:sz w:val="20"/>
        </w:rPr>
        <w:t>Junior Debt Repayment</w:t>
      </w:r>
      <w:r>
        <w:rPr>
          <w:rFonts w:ascii="Times New Roman" w:hAnsi="Times New Roman"/>
          <w:sz w:val="20"/>
        </w:rPr>
        <w:t>”), except (each of the following, a “</w:t>
      </w:r>
      <w:r>
        <w:rPr>
          <w:rFonts w:ascii="Times New Roman" w:hAnsi="Times New Roman"/>
          <w:b/>
          <w:sz w:val="20"/>
        </w:rPr>
        <w:t>Permitted Junior Debt Repayment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Junior Debt Repayments with the proceeds of, or in exchange for, any (A) Refinancing Indebtedness or, to the extent applicable, Second Lien Credit Agreement Refinancing Indebtedness or (B) other Junior Financing or Junior Lien Debt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(ii) Junior Debt Repayments (A) made with Qualified Equity Interests of the Borrower or any Parent Entity, with the proceeds of an issuance of any such Equity Interests or with the proceeds of a contribution to the capital of the Borrower after the Closing Date or (B) consisting of the conversion of any Junior Financing to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(iii) Junior Debt Repayments of Indebtedness of the Borrower or any Restricted Subsidiary owed to the Borrower or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Junior Debt Repayments of Indebtedness of any Person that becomes a Restricted Subsidiary after the Closing Date in connection with a transaction not prohibited by the Loan Documents, which Indebtedness was in existence at the time such Person became a Restricted Subsidiary (and not incurred in contemplation of such Person becoming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(v) Junior Debt Repayments within sixty (60) days of giving notice thereof if at the date of such notice, such payment would have been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(vi) Junior Debt Repayments made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(vii) Junior Debt Repayments consisting of the payment of regularly scheduled interest and principal payments, payments of fees, expenses, penalty interest and indemnification obligations when due, other than payments prohibited by any applicable subordination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(viii) Junior Debt Repayments consisting of a payment to avoid the application of Section 163(e)(5) of the Code; </w:t>
      </w:r>
    </w:p>
    <w:p>
      <w:pPr>
        <w:pStyle w:val="TextBody"/>
        <w:bidi w:val="0"/>
        <w:spacing w:before="120" w:after="0"/>
        <w:jc w:val="left"/>
        <w:rPr>
          <w:rFonts w:ascii="Times New Roman" w:hAnsi="Times New Roman"/>
          <w:sz w:val="20"/>
        </w:rPr>
      </w:pPr>
      <w:r>
        <w:rPr>
          <w:rFonts w:ascii="Times New Roman" w:hAnsi="Times New Roman"/>
          <w:sz w:val="20"/>
        </w:rPr>
        <w:t xml:space="preserve">(ix) Junior Debt Repayments, if the Total Net Leverage Ratio (after giving Pro Forma Effect thereto) for the Test Period immediately preceding the incurrence of such payments shall be less than or equal to the Closing Date Total Net Leverage Ratio less 0.50 to 1.00 and the Borrower shall be in pro forma compliance with the Financial Covenants upon giving effect thereto; </w:t>
      </w:r>
      <w:r>
        <w:rPr>
          <w:rFonts w:ascii="Times New Roman" w:hAnsi="Times New Roman"/>
          <w:i/>
          <w:sz w:val="20"/>
        </w:rPr>
        <w:t>provided</w:t>
      </w:r>
      <w:r>
        <w:rPr>
          <w:rFonts w:ascii="Times New Roman" w:hAnsi="Times New Roman"/>
          <w:sz w:val="20"/>
        </w:rPr>
        <w:t xml:space="preserve"> that no Event of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(x)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w:t>
      </w:r>
    </w:p>
    <w:p>
      <w:pPr>
        <w:pStyle w:val="TextBody"/>
        <w:bidi w:val="0"/>
        <w:spacing w:before="120" w:after="0"/>
        <w:jc w:val="left"/>
        <w:rPr>
          <w:rFonts w:ascii="Times New Roman" w:hAnsi="Times New Roman"/>
          <w:sz w:val="20"/>
        </w:rPr>
      </w:pPr>
      <w:r>
        <w:rPr>
          <w:rFonts w:ascii="Times New Roman" w:hAnsi="Times New Roman"/>
          <w:sz w:val="20"/>
        </w:rPr>
        <w:t xml:space="preserve">(xi) any such purchase, repurchase, redemption, defeasance or other acquisition or retirement for value of any Indebtedness owing to the Borrower or a Guarantor incurred pursuant to </w:t>
      </w:r>
      <w:r>
        <w:rPr>
          <w:rFonts w:ascii="Times New Roman" w:hAnsi="Times New Roman"/>
          <w:sz w:val="20"/>
          <w:u w:val="single"/>
        </w:rPr>
        <w:t>Section 7.03(e)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 Junior Debt Repayments in connection with any Conversion Settlement; </w:t>
      </w:r>
    </w:p>
    <w:p>
      <w:pPr>
        <w:pStyle w:val="TextBody"/>
        <w:bidi w:val="0"/>
        <w:spacing w:before="120" w:after="0"/>
        <w:jc w:val="left"/>
        <w:rPr>
          <w:rFonts w:ascii="Times New Roman" w:hAnsi="Times New Roman"/>
          <w:sz w:val="20"/>
        </w:rPr>
      </w:pPr>
      <w:r>
        <w:rPr>
          <w:rFonts w:ascii="Times New Roman" w:hAnsi="Times New Roman"/>
          <w:sz w:val="20"/>
        </w:rPr>
        <w:t xml:space="preserve">(xiii) Junior Debt Repayments in an aggregate amount not to exceed the sum of: </w:t>
      </w:r>
    </w:p>
    <w:p>
      <w:pPr>
        <w:pStyle w:val="TextBody"/>
        <w:bidi w:val="0"/>
        <w:spacing w:before="120" w:after="0"/>
        <w:jc w:val="left"/>
        <w:rPr>
          <w:rFonts w:ascii="Times New Roman" w:hAnsi="Times New Roman"/>
          <w:sz w:val="20"/>
        </w:rPr>
      </w:pPr>
      <w:r>
        <w:rPr>
          <w:rFonts w:ascii="Times New Roman" w:hAnsi="Times New Roman"/>
          <w:sz w:val="20"/>
        </w:rPr>
        <w:t xml:space="preserve">(A) the Available Amount at such time; </w:t>
      </w:r>
      <w:r>
        <w:rPr>
          <w:rFonts w:ascii="Times New Roman" w:hAnsi="Times New Roman"/>
          <w:i/>
          <w:sz w:val="20"/>
        </w:rPr>
        <w:t>provided</w:t>
      </w:r>
      <w:r>
        <w:rPr>
          <w:rFonts w:ascii="Times New Roman" w:hAnsi="Times New Roman"/>
          <w:sz w:val="20"/>
        </w:rPr>
        <w:t xml:space="preserve"> that no Event of Default shall have occurred and be continuing or would result therefrom; and </w:t>
      </w:r>
    </w:p>
    <w:p>
      <w:pPr>
        <w:pStyle w:val="TextBody"/>
        <w:bidi w:val="0"/>
        <w:spacing w:before="120" w:after="0"/>
        <w:jc w:val="left"/>
        <w:rPr>
          <w:rFonts w:ascii="Times New Roman" w:hAnsi="Times New Roman"/>
          <w:sz w:val="20"/>
        </w:rPr>
      </w:pPr>
      <w:r>
        <w:rPr>
          <w:rFonts w:ascii="Times New Roman" w:hAnsi="Times New Roman"/>
          <w:sz w:val="20"/>
        </w:rPr>
        <w:t xml:space="preserve">(B) the greater of (A) 30% of Closing Date Consolidated Net Tangible Assets and (B) 30% of Consolidated Net Tangible Assets determined as of the most recently ended fiscal quarter on a Pro Forma Basis </w:t>
      </w:r>
    </w:p>
    <w:p>
      <w:pPr>
        <w:pStyle w:val="TextBody"/>
        <w:bidi w:val="0"/>
        <w:spacing w:before="12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the Borrower shall be in pro forma compliance with the Financial Covenants upon giving effect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Junior Debt Repayments of Acquired Indebtedness (other than Indebtedness incurred (A) to provide all or any portion of the funds utilized to consummate the transaction or series of related transactions pursuant to which such Person became a Restricted Subsidiary or was otherwise acquired by the Borrower or a Restricted Subsidiary or (B) otherwise in connection with or contemplation of such acquisition); and </w:t>
      </w:r>
    </w:p>
    <w:p>
      <w:pPr>
        <w:pStyle w:val="TextBody"/>
        <w:bidi w:val="0"/>
        <w:spacing w:before="120" w:after="0"/>
        <w:jc w:val="left"/>
        <w:rPr>
          <w:rFonts w:ascii="Times New Roman" w:hAnsi="Times New Roman"/>
          <w:sz w:val="20"/>
        </w:rPr>
      </w:pPr>
      <w:r>
        <w:rPr>
          <w:rFonts w:ascii="Times New Roman" w:hAnsi="Times New Roman"/>
          <w:sz w:val="20"/>
        </w:rPr>
        <w:t xml:space="preserve">(xv) Junior Debt Repayments of Jones Act Notes;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of the following shall be permitted: payments of regularly scheduled principal interest (including at the default rate) and fees on Junior Financing, payments of closing and consent fees related to Junior Financing, indemnity and expense reimbursement payments in connection with Junior Financing, and mandatory prepayments, mandatory redemptions and mandatory purchases (and mandatory offers to do any of the foregoing), in each case pursuant to the terms of Junior Financing Documentation.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Junior Debt Repayment at any time shall be the amount of cash and the Fair Market Value of other property used to make the Junior Debt Repayment at the time such Junior Debt Repayment is made. For purposes of determining compliance with this </w:t>
      </w:r>
      <w:r>
        <w:rPr>
          <w:rFonts w:ascii="Times New Roman" w:hAnsi="Times New Roman"/>
          <w:sz w:val="20"/>
          <w:u w:val="single"/>
        </w:rPr>
        <w:t>Section 7.09(a)</w:t>
      </w:r>
      <w:r>
        <w:rPr>
          <w:rFonts w:ascii="Times New Roman" w:hAnsi="Times New Roman"/>
          <w:sz w:val="20"/>
        </w:rPr>
        <w:t xml:space="preserve">, in the event that any prepayment, repayment, redemption, purchase, defeasance or satisfaction (or any portion thereof) meets the criteria of more than one of the categories set forth above, the Borrower may, in their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u w:val="single"/>
        </w:rPr>
        <w:t>Financial Covenant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Termination Conditions have not been satisfied, the Borrower and each of the Restricted Subsidiaries covenant and agree that: </w:t>
      </w:r>
    </w:p>
    <w:p>
      <w:pPr>
        <w:pStyle w:val="TextBody"/>
        <w:bidi w:val="0"/>
        <w:spacing w:before="12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Financial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Revolving Credit Facility Net Leverage Ratio</w:t>
      </w:r>
      <w:r>
        <w:rPr>
          <w:rFonts w:ascii="Times New Roman" w:hAnsi="Times New Roman"/>
          <w:sz w:val="20"/>
        </w:rPr>
        <w:t>. Commencing with the Test Period ending on the last day of the first full fiscal quarter ended after the Closing Date, the Borrower shall not permit the Revolving Credit Facility Net Leverage Ratio on the last day of each Test Period (each such date, a “</w:t>
      </w:r>
      <w:r>
        <w:rPr>
          <w:rFonts w:ascii="Times New Roman" w:hAnsi="Times New Roman"/>
          <w:b/>
          <w:sz w:val="20"/>
        </w:rPr>
        <w:t>Measurement Date</w:t>
      </w:r>
      <w:r>
        <w:rPr>
          <w:rFonts w:ascii="Times New Roman" w:hAnsi="Times New Roman"/>
          <w:sz w:val="20"/>
        </w:rPr>
        <w:t xml:space="preserve">”) to be greater than 1.00 to 1.00 if any Revolving Loans or Letters of Credit are drawn (and, in the case of Letters of Credit, not reimbursed) at such time. Compliance with this </w:t>
      </w:r>
      <w:r>
        <w:rPr>
          <w:rFonts w:ascii="Times New Roman" w:hAnsi="Times New Roman"/>
          <w:sz w:val="20"/>
          <w:u w:val="single"/>
        </w:rPr>
        <w:t>Section 8.01(a)</w:t>
      </w:r>
      <w:r>
        <w:rPr>
          <w:rFonts w:ascii="Times New Roman" w:hAnsi="Times New Roman"/>
          <w:sz w:val="20"/>
        </w:rPr>
        <w:t xml:space="preserve"> shall be tested on the date that the Compliance Certificate for the applicable Test Period is required to be delivered pursuant to </w:t>
      </w:r>
      <w:r>
        <w:rPr>
          <w:rFonts w:ascii="Times New Roman" w:hAnsi="Times New Roman"/>
          <w:sz w:val="20"/>
          <w:u w:val="single"/>
        </w:rPr>
        <w:t>Section 6.02(a)</w:t>
      </w:r>
      <w:r>
        <w:rPr>
          <w:rFonts w:ascii="Times New Roman" w:hAnsi="Times New Roman"/>
          <w:sz w:val="20"/>
        </w:rPr>
        <w:t xml:space="preserve"> and not prior to such date (each such date, the “</w:t>
      </w:r>
      <w:r>
        <w:rPr>
          <w:rFonts w:ascii="Times New Roman" w:hAnsi="Times New Roman"/>
          <w:b/>
          <w:sz w:val="20"/>
        </w:rPr>
        <w:t>Testing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Collateral Coverage Ratio</w:t>
      </w:r>
      <w:r>
        <w:rPr>
          <w:rFonts w:ascii="Times New Roman" w:hAnsi="Times New Roman"/>
          <w:sz w:val="20"/>
        </w:rPr>
        <w:t xml:space="preserve">. Commencing with the Test Period ending on the last day of the first full fiscal quarter ended after the Closing Date, the Borrower shall not permit the Collateral Coverage Ratio on any Measurement Date to be less than 1.50 to 1.00. To the extent that a portion of the Collateral Value Amount includes cash Collateral which was provided in favor of the Secured Parties, such cash Collateral shall be released after the Borrower demonstrates compliance with this </w:t>
      </w:r>
      <w:r>
        <w:rPr>
          <w:rFonts w:ascii="Times New Roman" w:hAnsi="Times New Roman"/>
          <w:sz w:val="20"/>
          <w:u w:val="single"/>
        </w:rPr>
        <w:t>Section 8.01(b)</w:t>
      </w:r>
      <w:r>
        <w:rPr>
          <w:rFonts w:ascii="Times New Roman" w:hAnsi="Times New Roman"/>
          <w:sz w:val="20"/>
        </w:rPr>
        <w:t xml:space="preserve"> and </w:t>
      </w:r>
      <w:r>
        <w:rPr>
          <w:rFonts w:ascii="Times New Roman" w:hAnsi="Times New Roman"/>
          <w:sz w:val="20"/>
          <w:u w:val="single"/>
        </w:rPr>
        <w:t>Section 8.01(c)</w:t>
      </w:r>
      <w:r>
        <w:rPr>
          <w:rFonts w:ascii="Times New Roman" w:hAnsi="Times New Roman"/>
          <w:sz w:val="20"/>
        </w:rPr>
        <w:t xml:space="preserve"> for two successive Measurement Dates without such cash Collateral. Compliance with this </w:t>
      </w:r>
      <w:r>
        <w:rPr>
          <w:rFonts w:ascii="Times New Roman" w:hAnsi="Times New Roman"/>
          <w:sz w:val="20"/>
          <w:u w:val="single"/>
        </w:rPr>
        <w:t>Section 8.01(b)</w:t>
      </w:r>
      <w:r>
        <w:rPr>
          <w:rFonts w:ascii="Times New Roman" w:hAnsi="Times New Roman"/>
          <w:sz w:val="20"/>
        </w:rPr>
        <w:t xml:space="preserve"> shall be tested on the Measurement Date; </w:t>
      </w:r>
      <w:r>
        <w:rPr>
          <w:rFonts w:ascii="Times New Roman" w:hAnsi="Times New Roman"/>
          <w:i/>
          <w:sz w:val="20"/>
        </w:rPr>
        <w:t>provided</w:t>
      </w:r>
      <w:r>
        <w:rPr>
          <w:rFonts w:ascii="Times New Roman" w:hAnsi="Times New Roman"/>
          <w:sz w:val="20"/>
        </w:rPr>
        <w:t xml:space="preserve">, that to the extent compliance with this </w:t>
      </w:r>
      <w:r>
        <w:rPr>
          <w:rFonts w:ascii="Times New Roman" w:hAnsi="Times New Roman"/>
          <w:sz w:val="20"/>
          <w:u w:val="single"/>
        </w:rPr>
        <w:t>Section 8.01(b)</w:t>
      </w:r>
      <w:r>
        <w:rPr>
          <w:rFonts w:ascii="Times New Roman" w:hAnsi="Times New Roman"/>
          <w:sz w:val="20"/>
        </w:rPr>
        <w:t xml:space="preserve"> is not satisfied as of any applicable Measurement Date, the Borrower shall make a mandatory prepayment in accordance with </w:t>
      </w:r>
      <w:r>
        <w:rPr>
          <w:rFonts w:ascii="Times New Roman" w:hAnsi="Times New Roman"/>
          <w:sz w:val="20"/>
          <w:u w:val="single"/>
        </w:rPr>
        <w:t>Section 2.07(b)(ii)</w:t>
      </w:r>
      <w:r>
        <w:rPr>
          <w:rFonts w:ascii="Times New Roman" w:hAnsi="Times New Roman"/>
          <w:sz w:val="20"/>
        </w:rPr>
        <w:t xml:space="preserve"> and as long as such prepayment is made, no Default or Event of Default shall occur in respect of such breach.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RCF Collateral Coverage Ratio</w:t>
      </w:r>
      <w:r>
        <w:rPr>
          <w:rFonts w:ascii="Times New Roman" w:hAnsi="Times New Roman"/>
          <w:sz w:val="20"/>
        </w:rPr>
        <w:t xml:space="preserve">. Commencing with the Test Period ending on the last day of the first full fiscal quarter ended after the Closing Date, the Borrower shall not permit the RCF Collateral Coverage Ratio on any Measurement Date be less than 3.00 to 1.00. To the extent that a portion of the Collateral Value Amount includes cash Collateral that was provided in favor of the Secured Parties, such cash Collateral shall be released after the Borrower demonstrates compliance with this </w:t>
      </w:r>
      <w:r>
        <w:rPr>
          <w:rFonts w:ascii="Times New Roman" w:hAnsi="Times New Roman"/>
          <w:sz w:val="20"/>
          <w:u w:val="single"/>
        </w:rPr>
        <w:t>Section 8.01(c)</w:t>
      </w:r>
      <w:r>
        <w:rPr>
          <w:rFonts w:ascii="Times New Roman" w:hAnsi="Times New Roman"/>
          <w:sz w:val="20"/>
        </w:rPr>
        <w:t xml:space="preserve"> and </w:t>
      </w:r>
      <w:r>
        <w:rPr>
          <w:rFonts w:ascii="Times New Roman" w:hAnsi="Times New Roman"/>
          <w:sz w:val="20"/>
          <w:u w:val="single"/>
        </w:rPr>
        <w:t>Section 8.01(b)</w:t>
      </w:r>
      <w:r>
        <w:rPr>
          <w:rFonts w:ascii="Times New Roman" w:hAnsi="Times New Roman"/>
          <w:sz w:val="20"/>
        </w:rPr>
        <w:t xml:space="preserve"> for two successive Measurement Dates without such cash Collateral. Compliance with this </w:t>
      </w:r>
      <w:r>
        <w:rPr>
          <w:rFonts w:ascii="Times New Roman" w:hAnsi="Times New Roman"/>
          <w:sz w:val="20"/>
          <w:u w:val="single"/>
        </w:rPr>
        <w:t>Section 8.01(c)</w:t>
      </w:r>
      <w:r>
        <w:rPr>
          <w:rFonts w:ascii="Times New Roman" w:hAnsi="Times New Roman"/>
          <w:sz w:val="20"/>
        </w:rPr>
        <w:t xml:space="preserve"> shall be tested on the Measurement Date; </w:t>
      </w:r>
      <w:r>
        <w:rPr>
          <w:rFonts w:ascii="Times New Roman" w:hAnsi="Times New Roman"/>
          <w:i/>
          <w:sz w:val="20"/>
        </w:rPr>
        <w:t>provided</w:t>
      </w:r>
      <w:r>
        <w:rPr>
          <w:rFonts w:ascii="Times New Roman" w:hAnsi="Times New Roman"/>
          <w:sz w:val="20"/>
        </w:rPr>
        <w:t xml:space="preserve">, that to the extent compliance with this </w:t>
      </w:r>
      <w:r>
        <w:rPr>
          <w:rFonts w:ascii="Times New Roman" w:hAnsi="Times New Roman"/>
          <w:sz w:val="20"/>
          <w:u w:val="single"/>
        </w:rPr>
        <w:t>Section 8.01(c)</w:t>
      </w:r>
      <w:r>
        <w:rPr>
          <w:rFonts w:ascii="Times New Roman" w:hAnsi="Times New Roman"/>
          <w:sz w:val="20"/>
        </w:rPr>
        <w:t xml:space="preserve"> is not satisfied as of any applicable Measurement Date, the Borrower shall make a mandatory prepayment in accordance with </w:t>
      </w:r>
      <w:r>
        <w:rPr>
          <w:rFonts w:ascii="Times New Roman" w:hAnsi="Times New Roman"/>
          <w:sz w:val="20"/>
          <w:u w:val="single"/>
        </w:rPr>
        <w:t>Section 2.07(b)(ii)</w:t>
      </w:r>
      <w:r>
        <w:rPr>
          <w:rFonts w:ascii="Times New Roman" w:hAnsi="Times New Roman"/>
          <w:sz w:val="20"/>
        </w:rPr>
        <w:t xml:space="preserve"> and as long as such prepayment is made, no Default or Event of Default shall occur in respect of such breach.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Minimum Liquidity</w:t>
      </w:r>
      <w:r>
        <w:rPr>
          <w:rFonts w:ascii="Times New Roman" w:hAnsi="Times New Roman"/>
          <w:sz w:val="20"/>
        </w:rPr>
        <w:t xml:space="preserve">. Commencing with the Test Period ending on the last day of the first full fiscal quarter ended after the Closing Date, the Borrower shall not permit the Liquidity on any Measurement Date to be less than $25,000,000.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[Reserved]</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u w:val="single"/>
        </w:rPr>
        <w:t>Events of Default and Remedies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Events of Default</w:t>
      </w:r>
      <w:r>
        <w:rPr>
          <w:rFonts w:ascii="Times New Roman" w:hAnsi="Times New Roman"/>
          <w:sz w:val="20"/>
        </w:rPr>
        <w:t xml:space="preserve">. Each of the events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(j)</w:t>
      </w:r>
      <w:r>
        <w:rPr>
          <w:rFonts w:ascii="Times New Roman" w:hAnsi="Times New Roman"/>
          <w:sz w:val="20"/>
        </w:rPr>
        <w:t xml:space="preserve"> of this </w:t>
      </w:r>
      <w:r>
        <w:rPr>
          <w:rFonts w:ascii="Times New Roman" w:hAnsi="Times New Roman"/>
          <w:sz w:val="20"/>
          <w:u w:val="single"/>
        </w:rPr>
        <w:t>Section 9.01</w:t>
      </w:r>
      <w:r>
        <w:rPr>
          <w:rFonts w:ascii="Times New Roman" w:hAnsi="Times New Roman"/>
          <w:sz w:val="20"/>
        </w:rPr>
        <w:t xml:space="preserve"> constitutes an “</w:t>
      </w:r>
      <w:r>
        <w:rPr>
          <w:rFonts w:ascii="Times New Roman" w:hAnsi="Times New Roman"/>
          <w:b/>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Non-Payment</w:t>
      </w:r>
      <w:r>
        <w:rPr>
          <w:rFonts w:ascii="Times New Roman" w:hAnsi="Times New Roman"/>
          <w:sz w:val="20"/>
        </w:rPr>
        <w:t xml:space="preserve">. Any Loan Party fails to pay (i) when and as required to be paid pursuant to the terms of this Agreement, any amount of principal of any Loan or any Reimbursement Obligation, or (ii) within five Business Days after the same becomes due, any interest on any Loan or any fee or reimbursement obligation (other than a Reimbursement Obligation) or other amount payable pursuant to the terms of a Loan Document;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Covenants</w:t>
      </w:r>
      <w:r>
        <w:rPr>
          <w:rFonts w:ascii="Times New Roman" w:hAnsi="Times New Roman"/>
          <w:sz w:val="20"/>
        </w:rPr>
        <w:t xml:space="preserve">. The Borrower or any Guarantor fails to perform or observe any covenant contained in: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6.03(a)</w:t>
      </w:r>
      <w:r>
        <w:rPr>
          <w:rFonts w:ascii="Times New Roman" w:hAnsi="Times New Roman"/>
          <w:sz w:val="20"/>
        </w:rPr>
        <w:t xml:space="preserve"> (solely to the extent and only for so long as such notice has not been delivered), </w:t>
      </w:r>
      <w:r>
        <w:rPr>
          <w:rFonts w:ascii="Times New Roman" w:hAnsi="Times New Roman"/>
          <w:sz w:val="20"/>
          <w:u w:val="single"/>
        </w:rPr>
        <w:t>Section 6.05</w:t>
      </w:r>
      <w:r>
        <w:rPr>
          <w:rFonts w:ascii="Times New Roman" w:hAnsi="Times New Roman"/>
          <w:sz w:val="20"/>
        </w:rPr>
        <w:t xml:space="preserve"> (solely with respect to the Borrowers), </w:t>
      </w:r>
      <w:r>
        <w:rPr>
          <w:rFonts w:ascii="Times New Roman" w:hAnsi="Times New Roman"/>
          <w:sz w:val="20"/>
          <w:u w:val="single"/>
        </w:rPr>
        <w:t>Section 6.15</w:t>
      </w:r>
      <w:r>
        <w:rPr>
          <w:rFonts w:ascii="Times New Roman" w:hAnsi="Times New Roman"/>
          <w:sz w:val="20"/>
        </w:rPr>
        <w:t xml:space="preserve"> and </w:t>
      </w:r>
      <w:r>
        <w:rPr>
          <w:rFonts w:ascii="Times New Roman" w:hAnsi="Times New Roman"/>
          <w:sz w:val="20"/>
          <w:u w:val="single"/>
        </w:rPr>
        <w:t>Article VII</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Section 8.01,</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Section 9.01(b)(ii)</w:t>
      </w:r>
      <w:r>
        <w:rPr>
          <w:rFonts w:ascii="Times New Roman" w:hAnsi="Times New Roman"/>
          <w:sz w:val="20"/>
        </w:rPr>
        <w:t xml:space="preserve"> shall not result in a Default or an Event of Default (i) at any time when no Loans are outstanding and shall instead be deemed a “</w:t>
      </w:r>
      <w:r>
        <w:rPr>
          <w:rFonts w:ascii="Times New Roman" w:hAnsi="Times New Roman"/>
          <w:b/>
          <w:sz w:val="20"/>
        </w:rPr>
        <w:t>Financial Covenant Blocking Event</w:t>
      </w:r>
      <w:r>
        <w:rPr>
          <w:rFonts w:ascii="Times New Roman" w:hAnsi="Times New Roman"/>
          <w:sz w:val="20"/>
        </w:rPr>
        <w:t xml:space="preserve">” prohibiting the Borrower from borrowing any Revolving Loans under this Agreement until the condition precedent set forth in Section 4.03(c) is satisfied and (ii) so long as a mandatory prepayment is made in accordance with Section 2.07(b)(ii); 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Defaults</w:t>
      </w:r>
      <w:r>
        <w:rPr>
          <w:rFonts w:ascii="Times New Roman" w:hAnsi="Times New Roman"/>
          <w:sz w:val="20"/>
        </w:rPr>
        <w:t xml:space="preserve">. A Loan Party fails to perform or observe any other covenant (not specified in </w:t>
      </w:r>
      <w:r>
        <w:rPr>
          <w:rFonts w:ascii="Times New Roman" w:hAnsi="Times New Roman"/>
          <w:sz w:val="20"/>
          <w:u w:val="single"/>
        </w:rPr>
        <w:t>Section 9.01(a)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contained in any Loan Document on its part to be performed or observed and, (i) with respect to the covenants contained in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Sections 6.02(a)</w:t>
      </w:r>
      <w:r>
        <w:rPr>
          <w:rFonts w:ascii="Times New Roman" w:hAnsi="Times New Roman"/>
          <w:sz w:val="20"/>
        </w:rPr>
        <w:t xml:space="preserve"> and </w:t>
      </w:r>
      <w:r>
        <w:rPr>
          <w:rFonts w:ascii="Times New Roman" w:hAnsi="Times New Roman"/>
          <w:sz w:val="20"/>
          <w:u w:val="single"/>
        </w:rPr>
        <w:t>6.02(b)</w:t>
      </w:r>
      <w:r>
        <w:rPr>
          <w:rFonts w:ascii="Times New Roman" w:hAnsi="Times New Roman"/>
          <w:sz w:val="20"/>
        </w:rPr>
        <w:t xml:space="preserve">, such failure continues for fifteen days, and (ii) with respect to any other affirmative covenants hereunder which, when breached, are capable of being cured, such failure continues for thirty (30) days after receipt by the Borrower of written notice thereof from the Administrative Agent (it being acknowledged that a breach of </w:t>
      </w:r>
      <w:r>
        <w:rPr>
          <w:rFonts w:ascii="Times New Roman" w:hAnsi="Times New Roman"/>
          <w:sz w:val="20"/>
          <w:u w:val="single"/>
        </w:rPr>
        <w:t>Sections 6.14(a)(iii)</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is not capable of being cured); 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Representations and Warranties</w:t>
      </w:r>
      <w:r>
        <w:rPr>
          <w:rFonts w:ascii="Times New Roman" w:hAnsi="Times New Roman"/>
          <w:sz w:val="20"/>
        </w:rPr>
        <w:t xml:space="preserve">. Any representation or warranty made or deemed by any Loan Party in any Loan Document, or in any document required to be delivered pursuant to the terms of a Loan Document shall be untrue in any material respect (or, with respect to any representation or warranty qualified by materiality or “Material Adverse Effect,” shall be untrue in any respect) when made or deemed made; and in the case of any representation and warranty made or deemed made after the Closing Date, such representation or warranty shall remain untrue (in any material respect or in any respect, as applicable) for a period of thirty (30) days after written notice thereof from the Administrative Agent to the Borrower; 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Cross-Default</w:t>
      </w:r>
      <w:r>
        <w:rPr>
          <w:rFonts w:ascii="Times New Roman" w:hAnsi="Times New Roman"/>
          <w:sz w:val="20"/>
        </w:rPr>
        <w:t xml:space="preserve">. A Loan Party: </w:t>
      </w:r>
    </w:p>
    <w:p>
      <w:pPr>
        <w:pStyle w:val="TextBody"/>
        <w:bidi w:val="0"/>
        <w:spacing w:before="120" w:after="0"/>
        <w:jc w:val="left"/>
        <w:rPr>
          <w:rFonts w:ascii="Times New Roman" w:hAnsi="Times New Roman"/>
          <w:sz w:val="20"/>
        </w:rPr>
      </w:pPr>
      <w:r>
        <w:rPr>
          <w:rFonts w:ascii="Times New Roman" w:hAnsi="Times New Roman"/>
          <w:sz w:val="20"/>
        </w:rPr>
        <w:t xml:space="preserve">(i) fails to make any payment of any principal or interest beyond the applicable grace period, if any, whether by scheduled maturity, required prepayment, acceleration, demand, or otherwise, in respect of its Material Indebtedness; or </w:t>
      </w:r>
    </w:p>
    <w:p>
      <w:pPr>
        <w:pStyle w:val="TextBody"/>
        <w:bidi w:val="0"/>
        <w:spacing w:before="120" w:after="0"/>
        <w:jc w:val="left"/>
        <w:rPr>
          <w:rFonts w:ascii="Times New Roman" w:hAnsi="Times New Roman"/>
          <w:sz w:val="20"/>
        </w:rPr>
      </w:pPr>
      <w:r>
        <w:rPr>
          <w:rFonts w:ascii="Times New Roman" w:hAnsi="Times New Roman"/>
          <w:sz w:val="20"/>
        </w:rPr>
        <w:t xml:space="preserve">(ii) fails to perform or observe any covenant, agreement or condition relating to any Material Indebtedness or any other event or condition occurs, the effect of which failure or event or condition is to cause such Material Indebtedness becoming due prior to its scheduled maturity or to enable or permit (with all applicable grace periods having expired) the holder or holders (with the giving of notice or the lapse of time or both) of such Material Indebtedness or any trustee or any agent on its or their behalf to cause such Material Indebtedness to become due, or to require the prepayment, repurchase, redemption or defeasance thereof, prior to its stated maturity, in each case pursuant to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w:t>
      </w:r>
      <w:r>
        <w:rPr>
          <w:rFonts w:ascii="Times New Roman" w:hAnsi="Times New Roman"/>
          <w:sz w:val="20"/>
          <w:u w:val="single"/>
        </w:rPr>
        <w:t>clause (e)(ii)</w:t>
      </w:r>
      <w:r>
        <w:rPr>
          <w:rFonts w:ascii="Times New Roman" w:hAnsi="Times New Roman"/>
          <w:sz w:val="20"/>
        </w:rPr>
        <w:t xml:space="preserve"> shall not apply: (1) to any secured Indebtedness that becomes due as a result of the sale, transfer or other disposition (including as a result of a casualty or condemnation event) of the property or assets securing such Indebtedness or as a result of a “change of control” put right; (2) to the conversion of, or the satisfaction of any condition to the conversion of, any Indebtedness that is convertible or exchangeable for Equity Interests or to any Conversion Settlement; (3) to events of default, termination events or any other similar event under the documents governing Hedge Agreements or (4) to a refinancing of Indebtedness with other Indebtedness permitted by this Agreement; </w:t>
      </w:r>
      <w:r>
        <w:rPr>
          <w:rFonts w:ascii="Times New Roman" w:hAnsi="Times New Roman"/>
          <w:i/>
          <w:sz w:val="20"/>
        </w:rPr>
        <w:t>provided, further,</w:t>
      </w:r>
      <w:r>
        <w:rPr>
          <w:rFonts w:ascii="Times New Roman" w:hAnsi="Times New Roman"/>
          <w:sz w:val="20"/>
        </w:rPr>
        <w:t xml:space="preserve"> that at such times during which no Loans are outstanding, the occurrence of an event that would otherwise be a Default or Event of Default under this </w:t>
      </w:r>
      <w:r>
        <w:rPr>
          <w:rFonts w:ascii="Times New Roman" w:hAnsi="Times New Roman"/>
          <w:sz w:val="20"/>
          <w:u w:val="single"/>
        </w:rPr>
        <w:t>clause (e)</w:t>
      </w:r>
      <w:r>
        <w:rPr>
          <w:rFonts w:ascii="Times New Roman" w:hAnsi="Times New Roman"/>
          <w:sz w:val="20"/>
        </w:rPr>
        <w:t> shall not be a Default or an Event of Default and shall instead be deemed a “</w:t>
      </w:r>
      <w:r>
        <w:rPr>
          <w:rFonts w:ascii="Times New Roman" w:hAnsi="Times New Roman"/>
          <w:b/>
          <w:sz w:val="20"/>
        </w:rPr>
        <w:t>Blocking Event</w:t>
      </w:r>
      <w:r>
        <w:rPr>
          <w:rFonts w:ascii="Times New Roman" w:hAnsi="Times New Roman"/>
          <w:sz w:val="20"/>
        </w:rPr>
        <w:t xml:space="preserve">” until such time as waived by the Required Lenders in accordance with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Insolvency Proceedings, Etc</w:t>
      </w:r>
      <w:r>
        <w:rPr>
          <w:rFonts w:ascii="Times New Roman" w:hAnsi="Times New Roman"/>
          <w:sz w:val="20"/>
        </w:rPr>
        <w:t xml:space="preserve">. (i) Any Loan Party (A) institutes or consents to the institution of any proceeding under any Debtor Relief Law, (B) makes an assignment for the benefit of creditors or (C) applies for or consents to the appointment of any receiver, trustee, custodian, conservator, liquidator, rehabilitator, administrator, administrative receiver or similar officer for it or for all or any material part of its property; (ii) any receiver, trustee, custodian, conservator, liquidator, rehabilitator, administrator, administrative receiver or similar officer is appointed for a Loan Party or any material part of its property without the application or consent of such Loan Party and the appointment continues undischarged or unstayed for sixty (60) calendar days; (iii) any proceeding under any Debtor Relief Law relating to a Loan Party or to all or any material part of its property is instituted without the consent of such Loan Party and continues undismissed or unstayed for sixty (60) calendar days; or (iv) an order for relief is entered in any such proceeding; or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Judgments</w:t>
      </w:r>
      <w:r>
        <w:rPr>
          <w:rFonts w:ascii="Times New Roman" w:hAnsi="Times New Roman"/>
          <w:sz w:val="20"/>
        </w:rPr>
        <w:t xml:space="preserve">. There is entered against a Loan Party a final, enforceable, and non-appealable judgment by a court of competent jurisdiction for the payment of money in an aggregate amount exceeding the Threshold Amount (to the extent not covered by independent third-party insurance or another indemnity obligation) and such judgment or order is not satisfied, vacated, discharged or stayed or bonded for a period of sixty (60) consecutive days; or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Invalidity of Loan Documents</w:t>
      </w:r>
      <w:r>
        <w:rPr>
          <w:rFonts w:ascii="Times New Roman" w:hAnsi="Times New Roman"/>
          <w:sz w:val="20"/>
        </w:rPr>
        <w:t xml:space="preserve">. The material provisions of the Loan Documents, taken as a whole, at any time after their execution and delivery and for any reason cease to be in full force and effect, except (i) as expressly permitted by the Loan Documents (including as a result of a transaction permitted under </w:t>
      </w:r>
      <w:r>
        <w:rPr>
          <w:rFonts w:ascii="Times New Roman" w:hAnsi="Times New Roman"/>
          <w:sz w:val="20"/>
          <w:u w:val="single"/>
        </w:rPr>
        <w:t>Section 7.04</w:t>
      </w:r>
      <w:r>
        <w:rPr>
          <w:rFonts w:ascii="Times New Roman" w:hAnsi="Times New Roman"/>
          <w:sz w:val="20"/>
        </w:rPr>
        <w:t xml:space="preserve"> or </w:t>
      </w:r>
      <w:r>
        <w:rPr>
          <w:rFonts w:ascii="Times New Roman" w:hAnsi="Times New Roman"/>
          <w:sz w:val="20"/>
          <w:u w:val="single"/>
        </w:rPr>
        <w:t>7.05</w:t>
      </w:r>
      <w:r>
        <w:rPr>
          <w:rFonts w:ascii="Times New Roman" w:hAnsi="Times New Roman"/>
          <w:sz w:val="20"/>
        </w:rPr>
        <w:t xml:space="preserve">), (ii) as a result of the satisfaction of the Obligations or (iii) resulting from acts or omissions of a Secured Party or the application of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Collateral Documents and Guarantee</w:t>
      </w:r>
      <w:r>
        <w:rPr>
          <w:rFonts w:ascii="Times New Roman" w:hAnsi="Times New Roman"/>
          <w:sz w:val="20"/>
        </w:rPr>
        <w:t xml:space="preserve">. Any: </w:t>
      </w:r>
    </w:p>
    <w:p>
      <w:pPr>
        <w:pStyle w:val="TextBody"/>
        <w:bidi w:val="0"/>
        <w:spacing w:before="120" w:after="0"/>
        <w:jc w:val="left"/>
        <w:rPr>
          <w:rFonts w:ascii="Times New Roman" w:hAnsi="Times New Roman"/>
          <w:sz w:val="20"/>
        </w:rPr>
      </w:pPr>
      <w:r>
        <w:rPr>
          <w:rFonts w:ascii="Times New Roman" w:hAnsi="Times New Roman"/>
          <w:sz w:val="20"/>
        </w:rPr>
        <w:t xml:space="preserve">(i) Collateral Document (or any material provision thereof) with respect to a material portion of the Collateral with a Fair Market Value exceeding the Threshold Amount after its execution and delivery shall for any reason cease to create a valid and perfected or published, as applicable, Lien, except (A) as otherwise permitted by, or as a result of a transaction not prohibited by, the Loan Documents, (B) resulting from the failure of the Administrative Agent or the Collateral Agent or any of their agents or bailees to maintain possession or control of Collateral, (C) resulting from the making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filing, or the failure to make a filing, under the Uniform Commercial Code or other applicable law, (D) as to Collateral consisting of real property, to the extent that (1) such losses are covered by a lender’s title insurance policy (unless the Borrower in good faith reasonably believe that payment thereunder will not be made by the applicable insurer) or (2) a deficiency arose through no fault of a Loan Party and such deficiency is corrected with reasonable diligence upon obtaining actual knowledge thereof or (E) resulting from acts or omissions of a Secured Party or the application of applicable law so long as such deficiency arose through no fault of a Loan Party and such deficiency is corrected with reasonable diligence upon obtaining actual knowledge thereof; or </w:t>
      </w:r>
    </w:p>
    <w:p>
      <w:pPr>
        <w:pStyle w:val="TextBody"/>
        <w:bidi w:val="0"/>
        <w:spacing w:before="120" w:after="0"/>
        <w:jc w:val="left"/>
        <w:rPr>
          <w:rFonts w:ascii="Times New Roman" w:hAnsi="Times New Roman"/>
          <w:sz w:val="20"/>
        </w:rPr>
      </w:pPr>
      <w:r>
        <w:rPr>
          <w:rFonts w:ascii="Times New Roman" w:hAnsi="Times New Roman"/>
          <w:sz w:val="20"/>
        </w:rPr>
        <w:t xml:space="preserve">(ii) Guarantee with respect to a Guarantor (other than an Excluded Subsidiary) shall for any reason cease to be in full force and effect, except (A) as otherwise permitted by, or as a result of a transaction not prohibited by, the Loan Documents, (B) upon the satisfaction in full of the Obligations, (C) upon the release of such Guarantor as provided for under the Loan Document or in accordance with its terms or (D) resulting from acts or omissions of a Secured Party or the application of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Change of Control</w:t>
      </w:r>
      <w:r>
        <w:rPr>
          <w:rFonts w:ascii="Times New Roman" w:hAnsi="Times New Roman"/>
          <w:sz w:val="20"/>
        </w:rPr>
        <w:t xml:space="preserve">. There occurs any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ERISA</w:t>
      </w:r>
      <w:r>
        <w:rPr>
          <w:rFonts w:ascii="Times New Roman" w:hAnsi="Times New Roman"/>
          <w:sz w:val="20"/>
        </w:rPr>
        <w:t xml:space="preserve">. (i) an ERISA Event or Foreign Plan Event shall have occurred, (ii) the PBGC shall institute proceedings (including giving notice of intent thereof) to terminate any Plan or Plans, (iii) the Borrower or any Guarantor or any ERISA Affiliate shall have been notified by the sponsor of a Multiemployer Plan that such Multiemployer Plan is being terminated, within the meaning of Title IV of ERISA, or (iv) the Borrower or any Guarantor shall engage in any non-exempt “prohibited transaction” (as defined in Section 406 of ERISA or Section 4975 of the Code) involving any Plan; and in each case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above, such event or condition, together with all other such events or conditions, if any,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no Event of Default or breach of any representation or warranty in </w:t>
      </w:r>
      <w:r>
        <w:rPr>
          <w:rFonts w:ascii="Times New Roman" w:hAnsi="Times New Roman"/>
          <w:sz w:val="20"/>
          <w:u w:val="single"/>
        </w:rPr>
        <w:t>Article V</w:t>
      </w:r>
      <w:r>
        <w:rPr>
          <w:rFonts w:ascii="Times New Roman" w:hAnsi="Times New Roman"/>
          <w:sz w:val="20"/>
        </w:rPr>
        <w:t xml:space="preserve"> or any covenant in </w:t>
      </w:r>
      <w:r>
        <w:rPr>
          <w:rFonts w:ascii="Times New Roman" w:hAnsi="Times New Roman"/>
          <w:sz w:val="20"/>
          <w:u w:val="single"/>
        </w:rPr>
        <w:t>Article VI</w:t>
      </w:r>
      <w:r>
        <w:rPr>
          <w:rFonts w:ascii="Times New Roman" w:hAnsi="Times New Roman"/>
          <w:sz w:val="20"/>
        </w:rPr>
        <w:t xml:space="preserve"> or </w:t>
      </w:r>
      <w:r>
        <w:rPr>
          <w:rFonts w:ascii="Times New Roman" w:hAnsi="Times New Roman"/>
          <w:sz w:val="20"/>
          <w:u w:val="single"/>
        </w:rPr>
        <w:t>VII</w:t>
      </w:r>
      <w:r>
        <w:rPr>
          <w:rFonts w:ascii="Times New Roman" w:hAnsi="Times New Roman"/>
          <w:sz w:val="20"/>
        </w:rPr>
        <w:t xml:space="preserve"> shall constitute a Default or Event of Default if such Event of Default or breach of such representation or warranty in </w:t>
      </w:r>
      <w:r>
        <w:rPr>
          <w:rFonts w:ascii="Times New Roman" w:hAnsi="Times New Roman"/>
          <w:sz w:val="20"/>
          <w:u w:val="single"/>
        </w:rPr>
        <w:t>Article V</w:t>
      </w:r>
      <w:r>
        <w:rPr>
          <w:rFonts w:ascii="Times New Roman" w:hAnsi="Times New Roman"/>
          <w:sz w:val="20"/>
        </w:rPr>
        <w:t xml:space="preserve"> or such covenant in </w:t>
      </w:r>
      <w:r>
        <w:rPr>
          <w:rFonts w:ascii="Times New Roman" w:hAnsi="Times New Roman"/>
          <w:sz w:val="20"/>
          <w:u w:val="single"/>
        </w:rPr>
        <w:t>Article VI</w:t>
      </w:r>
      <w:r>
        <w:rPr>
          <w:rFonts w:ascii="Times New Roman" w:hAnsi="Times New Roman"/>
          <w:sz w:val="20"/>
        </w:rPr>
        <w:t xml:space="preserve"> or </w:t>
      </w:r>
      <w:r>
        <w:rPr>
          <w:rFonts w:ascii="Times New Roman" w:hAnsi="Times New Roman"/>
          <w:sz w:val="20"/>
          <w:u w:val="single"/>
        </w:rPr>
        <w:t>VII</w:t>
      </w:r>
      <w:r>
        <w:rPr>
          <w:rFonts w:ascii="Times New Roman" w:hAnsi="Times New Roman"/>
          <w:sz w:val="20"/>
        </w:rPr>
        <w:t xml:space="preserve"> would not have occurred but for a fluctuation (or other adverse change) in Exchange Rates.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the words “exists,” “is continuing” or similar expressions with respect thereto shall mean (x) with respect to a Default, that the Default has not yet been cured in accordance with this Section 9.01 or waived by the Lenders in accordance with Section 11.01, and (y) with respect to an Event of Default, that the Event of Default has not yet been waived by the Lenders in accordance with Section 11.01.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Remedies upon Event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Except as otherwise provided in </w:t>
      </w:r>
      <w:r>
        <w:rPr>
          <w:rFonts w:ascii="Times New Roman" w:hAnsi="Times New Roman"/>
          <w:sz w:val="20"/>
          <w:u w:val="single"/>
        </w:rPr>
        <w:t>Section 9.02(b)</w:t>
      </w:r>
      <w:r>
        <w:rPr>
          <w:rFonts w:ascii="Times New Roman" w:hAnsi="Times New Roman"/>
          <w:sz w:val="20"/>
        </w:rPr>
        <w:t xml:space="preserve"> below, if any Event of Default occurs and is continuing, the Administrative Agent may, and shall at the request of the Required Lenders, take any or all of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(i) declare the Commitments of each Lender and the obligation of each Issuing Bank to issue Letters of Credit to be terminated, whereupon such Commitments and obligation shall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(ii) declare the unpaid principal amount of all outstanding Loans, all interest and premium accrued and unpaid thereon, and all other amounts owing or payable hereunder or under any other Loan Document to be immediately due and payable, without presentment, demand, protest or other notice of any kind, all of which are hereby expressly waived by the Borrower and each Guarantor; </w:t>
      </w:r>
    </w:p>
    <w:p>
      <w:pPr>
        <w:pStyle w:val="TextBody"/>
        <w:bidi w:val="0"/>
        <w:spacing w:before="120" w:after="0"/>
        <w:jc w:val="left"/>
        <w:rPr>
          <w:rFonts w:ascii="Times New Roman" w:hAnsi="Times New Roman"/>
          <w:sz w:val="20"/>
        </w:rPr>
      </w:pPr>
      <w:r>
        <w:rPr>
          <w:rFonts w:ascii="Times New Roman" w:hAnsi="Times New Roman"/>
          <w:sz w:val="20"/>
        </w:rPr>
        <w:t xml:space="preserve">(iii) require that the Borrower Cash Collateralize its Letters of Credit (in an amount equal to 105% of the maximum face amount of all outstanding Letters of Credit); and </w:t>
      </w:r>
    </w:p>
    <w:p>
      <w:pPr>
        <w:pStyle w:val="TextBody"/>
        <w:bidi w:val="0"/>
        <w:spacing w:before="120" w:after="0"/>
        <w:jc w:val="left"/>
        <w:rPr>
          <w:rFonts w:ascii="Times New Roman" w:hAnsi="Times New Roman"/>
          <w:sz w:val="20"/>
        </w:rPr>
      </w:pPr>
      <w:r>
        <w:rPr>
          <w:rFonts w:ascii="Times New Roman" w:hAnsi="Times New Roman"/>
          <w:sz w:val="20"/>
        </w:rPr>
        <w:t xml:space="preserve">(iv) exercise on behalf of itself, the Issuing Banks and the Lenders all rights and remedies available to it, the Issuing Banks and the Lenders under the Loan Documents and/or under applicable Law;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upon the occurrence of an actual or deemed entry of an order for relief with respect to any Loan Party under any Debtor Relief Law, the Commitments of each Lender and the obligations of each Issuing Bank to issue Letters of Credit shall automatically terminate, the unpaid principal amount of all outstanding Loans and all interest and other amounts as aforesaid shall automatically become due and payable and the obligation of the Borrower to Cash Collateralize the Letters of Credit as aforesaid shall automatically become effective, in each case without further act of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Limitations on Remedies</w:t>
      </w:r>
      <w:r>
        <w:rPr>
          <w:rFonts w:ascii="Times New Roman" w:hAnsi="Times New Roman"/>
          <w:sz w:val="20"/>
        </w:rPr>
        <w:t xml:space="preserve">. Notwithstanding anything to the contrary in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Net Short Representations</w:t>
      </w:r>
      <w:r>
        <w:rPr>
          <w:rFonts w:ascii="Times New Roman" w:hAnsi="Times New Roman"/>
          <w:sz w:val="20"/>
        </w:rPr>
        <w:t xml:space="preserve">. Any notice of Default, Event of Default or acceleration provided to the Borrower by the Administrative Agent on behalf of one or more Lenders that have expressly requested that such notice be given to the Borrower must be accompanied by a written Net Short Representation from any such Lender (other than an Unrestricted Lender) delivered to the Borrower (with a copy to the Administrative Agent); </w:t>
      </w:r>
      <w:r>
        <w:rPr>
          <w:rFonts w:ascii="Times New Roman" w:hAnsi="Times New Roman"/>
          <w:i/>
          <w:sz w:val="20"/>
        </w:rPr>
        <w:t>provided</w:t>
      </w:r>
      <w:r>
        <w:rPr>
          <w:rFonts w:ascii="Times New Roman" w:hAnsi="Times New Roman"/>
          <w:sz w:val="20"/>
        </w:rPr>
        <w:t xml:space="preserve"> that (A) in the absence of any such written Net Short Representation, each such Lender shall be deemed to have represented and warranted to the Borrower and the Administrative Agent that it is not a Net Short Lender (it being understood and agreed that the Borrower and the Administrative Agent shall be entitled to rely conclusively on each such representation and deemed representation (including, with respect to the Administrative Agent, as provided in </w:t>
      </w:r>
      <w:r>
        <w:rPr>
          <w:rFonts w:ascii="Times New Roman" w:hAnsi="Times New Roman"/>
          <w:sz w:val="20"/>
          <w:u w:val="single"/>
        </w:rPr>
        <w:t>Section 11.28(f)(i)</w:t>
      </w:r>
      <w:r>
        <w:rPr>
          <w:rFonts w:ascii="Times New Roman" w:hAnsi="Times New Roman"/>
          <w:sz w:val="20"/>
        </w:rPr>
        <w:t xml:space="preserve">)) and (B) no Net Short Representation shall be required to be delivered during the pendency of a Default or Event of Default caused by a bankruptcy or similar insolvency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Application of Funds</w:t>
      </w:r>
      <w:r>
        <w:rPr>
          <w:rFonts w:ascii="Times New Roman" w:hAnsi="Times New Roman"/>
          <w:sz w:val="20"/>
        </w:rPr>
        <w:t xml:space="preserve">. After the exercise of remedies provided for in </w:t>
      </w:r>
      <w:r>
        <w:rPr>
          <w:rFonts w:ascii="Times New Roman" w:hAnsi="Times New Roman"/>
          <w:sz w:val="20"/>
          <w:u w:val="single"/>
        </w:rPr>
        <w:t>Section 9.02</w:t>
      </w:r>
      <w:r>
        <w:rPr>
          <w:rFonts w:ascii="Times New Roman" w:hAnsi="Times New Roman"/>
          <w:sz w:val="20"/>
        </w:rPr>
        <w:t xml:space="preserve"> (or after the Loans have automatically become immediately due and payable as set forth in the proviso to </w:t>
      </w:r>
      <w:r>
        <w:rPr>
          <w:rFonts w:ascii="Times New Roman" w:hAnsi="Times New Roman"/>
          <w:sz w:val="20"/>
          <w:u w:val="single"/>
        </w:rPr>
        <w:t>Section 9.02(a)</w:t>
      </w:r>
      <w:r>
        <w:rPr>
          <w:rFonts w:ascii="Times New Roman" w:hAnsi="Times New Roman"/>
          <w:sz w:val="20"/>
        </w:rPr>
        <w:t>), all amounts received on account of the Obligations (and proceeds of Collateral), all payments or distributions of any kind or nature and all adequate protection payments or plan distributions in any insolvency or similar proceeding (in each case, whether received from any Loan Party, in connection with an exercise of remedies, a credit bid or otherwise) shall, subject to the Existing Junior Lien Intercreditor Agreement and any other applicable Intercreditor Agreement, be applied by the Administrative Agent in the following order (the “</w:t>
      </w:r>
      <w:r>
        <w:rPr>
          <w:rFonts w:ascii="Times New Roman" w:hAnsi="Times New Roman"/>
          <w:b/>
          <w:sz w:val="20"/>
        </w:rPr>
        <w:t>Priority Waterfall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payment of that portion of the Obligations constituting fees, indemnities, expenses and other amounts (other than principal and interest, but including Attorney Costs payable under </w:t>
      </w:r>
      <w:r>
        <w:rPr>
          <w:rFonts w:ascii="Times New Roman" w:hAnsi="Times New Roman"/>
          <w:sz w:val="20"/>
          <w:u w:val="single"/>
        </w:rPr>
        <w:t>Section 11.04</w:t>
      </w:r>
      <w:r>
        <w:rPr>
          <w:rFonts w:ascii="Times New Roman" w:hAnsi="Times New Roman"/>
          <w:sz w:val="20"/>
        </w:rPr>
        <w:t xml:space="preserve"> and amounts payable under </w:t>
      </w:r>
      <w:r>
        <w:rPr>
          <w:rFonts w:ascii="Times New Roman" w:hAnsi="Times New Roman"/>
          <w:sz w:val="20"/>
          <w:u w:val="single"/>
        </w:rPr>
        <w:t>Article</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payable to the Administrative Agent and the Collateral Agent in their capacities as such;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payment in full of Unfunded Advances/Participations (the amounts so applied to be distributed between or among, as applicable, the Administrative Agent and the Issuing Banks </w:t>
      </w:r>
      <w:r>
        <w:rPr>
          <w:rFonts w:ascii="Times New Roman" w:hAnsi="Times New Roman"/>
          <w:i/>
          <w:sz w:val="20"/>
        </w:rPr>
        <w:t>pro rata</w:t>
      </w:r>
      <w:r>
        <w:rPr>
          <w:rFonts w:ascii="Times New Roman" w:hAnsi="Times New Roman"/>
          <w:sz w:val="20"/>
        </w:rPr>
        <w:t xml:space="preserve"> in accordance with the amounts of Unfunded Advances/Participations owed to them on the date of any such distribution);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payment of that portion of the Obligations constituting fees, indemnities and other amounts (other than principal, interest, Letter of Credit fees, Obligations under Secured Hedge Agreements and Cash Management Obligations) payable to the Revolving Lenders and the Issuing Banks (including Attorney Costs payable under </w:t>
      </w:r>
      <w:r>
        <w:rPr>
          <w:rFonts w:ascii="Times New Roman" w:hAnsi="Times New Roman"/>
          <w:sz w:val="20"/>
          <w:u w:val="single"/>
        </w:rPr>
        <w:t>Section 11.04</w:t>
      </w:r>
      <w:r>
        <w:rPr>
          <w:rFonts w:ascii="Times New Roman" w:hAnsi="Times New Roman"/>
          <w:sz w:val="20"/>
        </w:rPr>
        <w:t xml:space="preserve"> and amounts payable under </w:t>
      </w:r>
      <w:r>
        <w:rPr>
          <w:rFonts w:ascii="Times New Roman" w:hAnsi="Times New Roman"/>
          <w:sz w:val="20"/>
          <w:u w:val="single"/>
        </w:rPr>
        <w:t>Article</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ratably among them in proportion to the amounts described in this clause Third payable to them;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to payment of that portion of the Obligations constituting accrued and unpaid Letter of Credit fees and interest on the Revolving Loans and Letter of Credit Usage, ratably among the Revolving Lenders and the Issuing Banks in proportion to the respective amounts described in this clause Fourth held by them; </w:t>
      </w:r>
    </w:p>
    <w:p>
      <w:pPr>
        <w:pStyle w:val="TextBody"/>
        <w:bidi w:val="0"/>
        <w:spacing w:before="120" w:after="0"/>
        <w:jc w:val="left"/>
        <w:rPr>
          <w:rFonts w:ascii="Times New Roman" w:hAnsi="Times New Roman"/>
          <w:sz w:val="20"/>
        </w:rPr>
      </w:pPr>
      <w:r>
        <w:rPr>
          <w:rFonts w:ascii="Times New Roman" w:hAnsi="Times New Roman"/>
          <w:i/>
          <w:sz w:val="20"/>
        </w:rPr>
        <w:t>Fifth</w:t>
      </w:r>
      <w:r>
        <w:rPr>
          <w:rFonts w:ascii="Times New Roman" w:hAnsi="Times New Roman"/>
          <w:sz w:val="20"/>
        </w:rPr>
        <w:t xml:space="preserve">, (a) to payment of that portion of the Obligations constituting unpaid principal of the Revolving Loans, the Letter of Credit Usage and the Obligations under Secured Hedge Agreements with respect to which (x) the Hedge Bank is a Revolving Lender or an Affiliate thereof and (y) such Secured Hedge Agreement is intended to hedge exposure under the Facility, and Cash Management Obligations with respect to which the Cash Management Bank is a Revolving Lender or an Affiliate thereof and (b) to Cash Collateralize Letters of Credit (to the extent not otherwise Cash Collateralized pursuant to the terms of this Agreement) (in an amount equal to 105% of the maximum face amount of all outstanding Letters of Credit) and to further permanently reduce the Commitments by the amount of such Cash Collateralization, ratably among the Secured Parties in proportion to the respective amounts described in this clause Fifth held by them; </w:t>
      </w:r>
      <w:r>
        <w:rPr>
          <w:rFonts w:ascii="Times New Roman" w:hAnsi="Times New Roman"/>
          <w:i/>
          <w:sz w:val="20"/>
        </w:rPr>
        <w:t>provided</w:t>
      </w:r>
      <w:r>
        <w:rPr>
          <w:rFonts w:ascii="Times New Roman" w:hAnsi="Times New Roman"/>
          <w:sz w:val="20"/>
        </w:rPr>
        <w:t xml:space="preserve"> that (i) any such amounts applied pursuant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foregoing </w:t>
      </w:r>
      <w:r>
        <w:rPr>
          <w:rFonts w:ascii="Times New Roman" w:hAnsi="Times New Roman"/>
          <w:sz w:val="20"/>
          <w:u w:val="single"/>
        </w:rPr>
        <w:t>subclause (b)</w:t>
      </w:r>
      <w:r>
        <w:rPr>
          <w:rFonts w:ascii="Times New Roman" w:hAnsi="Times New Roman"/>
          <w:sz w:val="20"/>
        </w:rPr>
        <w:t xml:space="preserve"> shall be paid to the Administrative Agent for the ratable account of the Issuing Banks to Cash Collateralize such Letters of Credit, (ii) subject to </w:t>
      </w:r>
      <w:r>
        <w:rPr>
          <w:rFonts w:ascii="Times New Roman" w:hAnsi="Times New Roman"/>
          <w:sz w:val="20"/>
          <w:u w:val="single"/>
        </w:rPr>
        <w:t>Sections 2.04</w:t>
      </w:r>
      <w:r>
        <w:rPr>
          <w:rFonts w:ascii="Times New Roman" w:hAnsi="Times New Roman"/>
          <w:sz w:val="20"/>
        </w:rPr>
        <w:t xml:space="preserve"> and </w:t>
      </w:r>
      <w:r>
        <w:rPr>
          <w:rFonts w:ascii="Times New Roman" w:hAnsi="Times New Roman"/>
          <w:sz w:val="20"/>
          <w:u w:val="single"/>
        </w:rPr>
        <w:t>2.19</w:t>
      </w:r>
      <w:r>
        <w:rPr>
          <w:rFonts w:ascii="Times New Roman" w:hAnsi="Times New Roman"/>
          <w:sz w:val="20"/>
        </w:rPr>
        <w:t xml:space="preserve">, amounts used to Cash Collateralize the aggregate undrawn amount of Letters of Credit pursuant to this clause Fifth shall be applied to satisfy drawings under such Letters of Credit as they occur and (iii) upon the expiration of any Letter of Credit, the </w:t>
      </w:r>
      <w:r>
        <w:rPr>
          <w:rFonts w:ascii="Times New Roman" w:hAnsi="Times New Roman"/>
          <w:i/>
          <w:sz w:val="20"/>
        </w:rPr>
        <w:t>pro rata</w:t>
      </w:r>
      <w:r>
        <w:rPr>
          <w:rFonts w:ascii="Times New Roman" w:hAnsi="Times New Roman"/>
          <w:sz w:val="20"/>
        </w:rPr>
        <w:t xml:space="preserve"> share of Cash Collateral attributable to such expired Letter of Credit shall be applied by the Administrative Agent in accordance with the priority of payments set forth in this </w:t>
      </w:r>
      <w:r>
        <w:rPr>
          <w:rFonts w:ascii="Times New Roman" w:hAnsi="Times New Roman"/>
          <w:sz w:val="20"/>
          <w:u w:val="single"/>
        </w:rPr>
        <w:t>Section 9.03</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 </w:t>
      </w:r>
    </w:p>
    <w:p>
      <w:pPr>
        <w:pStyle w:val="TextBody"/>
        <w:bidi w:val="0"/>
        <w:spacing w:before="120" w:after="0"/>
        <w:jc w:val="left"/>
        <w:rPr>
          <w:rFonts w:ascii="Times New Roman" w:hAnsi="Times New Roman"/>
          <w:sz w:val="20"/>
        </w:rPr>
      </w:pPr>
      <w:r>
        <w:rPr>
          <w:rFonts w:ascii="Times New Roman" w:hAnsi="Times New Roman"/>
          <w:i/>
          <w:sz w:val="20"/>
        </w:rPr>
        <w:t>Sixth</w:t>
      </w:r>
      <w:r>
        <w:rPr>
          <w:rFonts w:ascii="Times New Roman" w:hAnsi="Times New Roman"/>
          <w:sz w:val="20"/>
        </w:rPr>
        <w:t xml:space="preserve">, to the payment of all other Obligations that are due and payable to the Revolving Lenders on such date, ratably based upon the respective aggregate amounts of all such Obligations owing to the Revolving Lenders on such date; </w:t>
      </w:r>
    </w:p>
    <w:p>
      <w:pPr>
        <w:pStyle w:val="TextBody"/>
        <w:bidi w:val="0"/>
        <w:spacing w:before="120" w:after="0"/>
        <w:jc w:val="left"/>
        <w:rPr>
          <w:rFonts w:ascii="Times New Roman" w:hAnsi="Times New Roman"/>
          <w:sz w:val="20"/>
        </w:rPr>
      </w:pPr>
      <w:r>
        <w:rPr>
          <w:rFonts w:ascii="Times New Roman" w:hAnsi="Times New Roman"/>
          <w:i/>
          <w:sz w:val="20"/>
        </w:rPr>
        <w:t xml:space="preserve">Seventh, </w:t>
      </w:r>
      <w:r>
        <w:rPr>
          <w:rFonts w:ascii="Times New Roman" w:hAnsi="Times New Roman"/>
          <w:sz w:val="20"/>
        </w:rPr>
        <w:t xml:space="preserve">to payment of that portion of the Obligations under Secured Hedge Agreements with respect to which the Hedge Bank is a Revolving Lender or an Affiliate thereof but such Secured Hedge Agreement does not hedge exposure under the Facility, in proportion to the respective amounts described in this clause Seventh held by them; </w:t>
      </w:r>
      <w:r>
        <w:rPr>
          <w:rFonts w:ascii="Times New Roman" w:hAnsi="Times New Roman"/>
          <w:i/>
          <w:sz w:val="20"/>
        </w:rPr>
        <w:t>provided</w:t>
      </w:r>
      <w:r>
        <w:rPr>
          <w:rFonts w:ascii="Times New Roman" w:hAnsi="Times New Roman"/>
          <w:sz w:val="20"/>
        </w:rPr>
        <w:t xml:space="preserve"> that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 </w:t>
      </w:r>
    </w:p>
    <w:p>
      <w:pPr>
        <w:pStyle w:val="TextBody"/>
        <w:bidi w:val="0"/>
        <w:spacing w:before="120" w:after="0"/>
        <w:jc w:val="left"/>
        <w:rPr>
          <w:rFonts w:ascii="Times New Roman" w:hAnsi="Times New Roman"/>
          <w:sz w:val="20"/>
        </w:rPr>
      </w:pPr>
      <w:r>
        <w:rPr>
          <w:rFonts w:ascii="Times New Roman" w:hAnsi="Times New Roman"/>
          <w:i/>
          <w:sz w:val="20"/>
        </w:rPr>
        <w:t>Eighth</w:t>
      </w:r>
      <w:r>
        <w:rPr>
          <w:rFonts w:ascii="Times New Roman" w:hAnsi="Times New Roman"/>
          <w:sz w:val="20"/>
        </w:rPr>
        <w:t xml:space="preserve">, to payment of that portion of the Obligations under Secured Hedge Agreements with respect to which the Hedge Bank is not a Revolving Lender or an Affiliate thereof and Cash Management Obligations with respect to which the Cash Management Bank is not a Revolving Lender or an Affiliate thereof, ratably among the Secured Parties in proportion to the respective amounts described in this clause Eighth held by them; </w:t>
      </w:r>
      <w:r>
        <w:rPr>
          <w:rFonts w:ascii="Times New Roman" w:hAnsi="Times New Roman"/>
          <w:i/>
          <w:sz w:val="20"/>
        </w:rPr>
        <w:t>provided</w:t>
      </w:r>
      <w:r>
        <w:rPr>
          <w:rFonts w:ascii="Times New Roman" w:hAnsi="Times New Roman"/>
          <w:sz w:val="20"/>
        </w:rPr>
        <w:t xml:space="preserve"> that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 </w:t>
      </w:r>
    </w:p>
    <w:p>
      <w:pPr>
        <w:pStyle w:val="TextBody"/>
        <w:bidi w:val="0"/>
        <w:spacing w:before="120" w:after="0"/>
        <w:jc w:val="left"/>
        <w:rPr>
          <w:rFonts w:ascii="Times New Roman" w:hAnsi="Times New Roman"/>
          <w:sz w:val="20"/>
        </w:rPr>
      </w:pPr>
      <w:r>
        <w:rPr>
          <w:rFonts w:ascii="Times New Roman" w:hAnsi="Times New Roman"/>
          <w:i/>
          <w:sz w:val="20"/>
        </w:rPr>
        <w:t>Ninth</w:t>
      </w:r>
      <w:r>
        <w:rPr>
          <w:rFonts w:ascii="Times New Roman" w:hAnsi="Times New Roman"/>
          <w:sz w:val="20"/>
        </w:rPr>
        <w:t xml:space="preserve">, to the payment of all other Obligations that are due and payable to the Administrative Agent and the other Secured Parties on such date, ratably based upon the respective aggregate amounts of all such Obligations owing to the Administrative Agent and other Secured Parties on such date; </w:t>
      </w:r>
    </w:p>
    <w:p>
      <w:pPr>
        <w:pStyle w:val="TextBody"/>
        <w:bidi w:val="0"/>
        <w:spacing w:before="120" w:after="0"/>
        <w:jc w:val="left"/>
        <w:rPr>
          <w:rFonts w:ascii="Times New Roman" w:hAnsi="Times New Roman"/>
          <w:sz w:val="20"/>
        </w:rPr>
      </w:pPr>
      <w:r>
        <w:rPr>
          <w:rFonts w:ascii="Times New Roman" w:hAnsi="Times New Roman"/>
          <w:i/>
          <w:sz w:val="20"/>
        </w:rPr>
        <w:t>Last</w:t>
      </w:r>
      <w:r>
        <w:rPr>
          <w:rFonts w:ascii="Times New Roman" w:hAnsi="Times New Roman"/>
          <w:sz w:val="20"/>
        </w:rPr>
        <w:t xml:space="preserve">, the balance, if any, after all of the Obligations have been paid in full, to the Borrower or as otherwise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u w:val="single"/>
        </w:rPr>
        <w:t>Administrative Agent and Other Agents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Appointment and Authority of the Administrative Agent and</w:t>
      </w:r>
      <w:r>
        <w:rPr>
          <w:rFonts w:ascii="Times New Roman" w:hAnsi="Times New Roman"/>
          <w:sz w:val="20"/>
        </w:rPr>
        <w:t xml:space="preserve"> </w:t>
      </w:r>
      <w:r>
        <w:rPr>
          <w:rFonts w:ascii="Times New Roman" w:hAnsi="Times New Roman"/>
          <w:sz w:val="20"/>
          <w:u w:val="single"/>
        </w:rPr>
        <w:t>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and each Issuing Bank hereby irrevocably appoints DNB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hAnsi="Times New Roman"/>
          <w:sz w:val="20"/>
          <w:u w:val="single"/>
        </w:rPr>
        <w:t>Article X</w:t>
      </w:r>
      <w:r>
        <w:rPr>
          <w:rFonts w:ascii="Times New Roman" w:hAnsi="Times New Roman"/>
          <w:sz w:val="20"/>
        </w:rPr>
        <w:t xml:space="preserve"> (other than Sections 10.09 and 10.11) are solely for the benefit of the Administrative Agent and the Lenders, and neither the Borrower nor any Loan Party shall have any rights as a third party beneficiary of any such provision. Each Issuing Bank shall act on behalf of the Revolving Lenders with respect to any Letters of Credit issued by it and the documents associated therewith, and each Issuing Bank shall have all of the benefits and immunities (i) provided to the Agents in this </w:t>
      </w:r>
      <w:r>
        <w:rPr>
          <w:rFonts w:ascii="Times New Roman" w:hAnsi="Times New Roman"/>
          <w:sz w:val="20"/>
          <w:u w:val="single"/>
        </w:rPr>
        <w:t>Article X</w:t>
      </w:r>
      <w:r>
        <w:rPr>
          <w:rFonts w:ascii="Times New Roman" w:hAnsi="Times New Roman"/>
          <w:sz w:val="20"/>
        </w:rPr>
        <w:t xml:space="preserve"> with respect to any acts taken or omissions suffered by such Issuing Bank in connection with Letters of Credit issued by it or proposed to be issued by it and the Letter of Credit Documents pertaining to such Letters of Credit as fully as if the term “Agent” as used in this </w:t>
      </w:r>
      <w:r>
        <w:rPr>
          <w:rFonts w:ascii="Times New Roman" w:hAnsi="Times New Roman"/>
          <w:sz w:val="20"/>
          <w:u w:val="single"/>
        </w:rPr>
        <w:t>Article X</w:t>
      </w:r>
      <w:r>
        <w:rPr>
          <w:rFonts w:ascii="Times New Roman" w:hAnsi="Times New Roman"/>
          <w:sz w:val="20"/>
        </w:rPr>
        <w:t xml:space="preserve"> and the definition of “Agent Related Person” included such Issuing Bank with respect to such acts or omissions, and (ii) as additionally provided herein with respect to each Issuing Bank. </w:t>
      </w:r>
    </w:p>
    <w:p>
      <w:pPr>
        <w:pStyle w:val="TextBody"/>
        <w:bidi w:val="0"/>
        <w:spacing w:before="240" w:after="0"/>
        <w:jc w:val="left"/>
        <w:rPr>
          <w:rFonts w:ascii="Times New Roman" w:hAnsi="Times New Roman"/>
          <w:sz w:val="20"/>
        </w:rPr>
      </w:pPr>
      <w:r>
        <w:rPr>
          <w:rFonts w:ascii="Times New Roman" w:hAnsi="Times New Roman"/>
          <w:sz w:val="20"/>
        </w:rPr>
        <w:t xml:space="preserve">(b) Each Lender and each Issuing Bank hereby irrevocably appoints Wilmington Trust, National Association to act on its behalf as the Collateral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Wilmington Trust, National Association shall also irrevocably act as the “collateral agent” or “collateral trustee” under the Loan Documents, and each of the Lenders (including in its capacities as a potential Hedge Bank and/or Cash Management Bank) and each of the Issuing Banks hereby irrevocably appoints and authorizes the Collateral Agent to act as the agent of (and to hold any security interest created by the Collateral Documents for and on behalf of or in trust for) such Lender and such Issuing Bank for purposes of acquiring, holding and enforcing any and all Liens on Collateral granted by any of the Loan Parties to secure any of the Obligations, together with such powers and discretion as are reasonably incidental thereto. In this connection, the Collateral Agent, as “collateral agent” or “collateral trustee” (and any co-agents, sub-agents and attorneys-in-fact appointed by the Administrative Agent pursuant to </w:t>
      </w:r>
      <w:r>
        <w:rPr>
          <w:rFonts w:ascii="Times New Roman" w:hAnsi="Times New Roman"/>
          <w:sz w:val="20"/>
          <w:u w:val="single"/>
        </w:rPr>
        <w:t>Sections 10.05</w:t>
      </w:r>
      <w:r>
        <w:rPr>
          <w:rFonts w:ascii="Times New Roman" w:hAnsi="Times New Roman"/>
          <w:sz w:val="20"/>
        </w:rPr>
        <w:t xml:space="preserve"> and </w:t>
      </w:r>
      <w:r>
        <w:rPr>
          <w:rFonts w:ascii="Times New Roman" w:hAnsi="Times New Roman"/>
          <w:sz w:val="20"/>
          <w:u w:val="single"/>
        </w:rPr>
        <w:t>10.12</w:t>
      </w:r>
      <w:r>
        <w:rPr>
          <w:rFonts w:ascii="Times New Roman" w:hAnsi="Times New Roman"/>
          <w:sz w:val="20"/>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sz w:val="20"/>
          <w:u w:val="single"/>
        </w:rPr>
        <w:t>Article X</w:t>
      </w:r>
      <w:r>
        <w:rPr>
          <w:rFonts w:ascii="Times New Roman" w:hAnsi="Times New Roman"/>
          <w:sz w:val="20"/>
        </w:rPr>
        <w:t xml:space="preserve"> (including </w:t>
      </w:r>
      <w:r>
        <w:rPr>
          <w:rFonts w:ascii="Times New Roman" w:hAnsi="Times New Roman"/>
          <w:sz w:val="20"/>
          <w:u w:val="single"/>
        </w:rPr>
        <w:t>Section 10.07</w:t>
      </w:r>
      <w:r>
        <w:rPr>
          <w:rFonts w:ascii="Times New Roman" w:hAnsi="Times New Roman"/>
          <w:sz w:val="20"/>
        </w:rPr>
        <w:t xml:space="preserve">, as though such co-agents, sub-agents and attorneys-in-fact were the “collateral agent” or “collateral trustee” under the Loan Documents) as if set forth in full herein with respect thereto. Without limiting the generality of the foregoing, the Lenders hereby expressly authorize the Collateral Agent to execute any and all documents (including releases) with respect to the Collateral and the rights of the Secured Parties with respect thereto (including the Existing Junior Lien Intercreditor Agreement), as contemplated by and in accordance with the provisions of this Agreement and the Collateral Documents and acknowledge and agree that any such action by any Agent shall bind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Rights as a Lender</w:t>
      </w:r>
      <w:r>
        <w:rPr>
          <w:rFonts w:ascii="Times New Roman" w:hAnsi="Times New Roman"/>
          <w:sz w:val="20"/>
        </w:rPr>
        <w:t xml:space="preserve">. Any Lender that is also serving as an Agent (including as Administrative Agent) hereunder shall have the same rights and powers (and no additional duties or obligations) in its capacity as a Lender as any other Lender and may exercise the same as though it were not an Agent, and the term “Lender” or “Lenders” shall, unless otherwise expressly indicated or unless the context otherwise requires, include each Lender (if any) serving as an Agent hereunder in its individual capacity. Any Person serving as an Agent and its Affiliates may accept deposits from, lend money to, own securities of, act as the financial advisor or in any other advisory capacity for and generally engage in any kind of banking, trust or other business with the Borrower or any Subsidiary or other Affiliate thereof as if such Person were not an Agent hereunder and without any duty to account therefor to the Lenders, and may accept fees and other consideration from the Borrower for services in connection herewith and otherwise without having to account for the same to the Lenders. The Lenders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Exculpatory Provisions</w:t>
      </w:r>
      <w:r>
        <w:rPr>
          <w:rFonts w:ascii="Times New Roman" w:hAnsi="Times New Roman"/>
          <w:sz w:val="20"/>
        </w:rPr>
        <w:t xml:space="preserve">. None of the Administrative Agent, the Collateral Agent, any of the other Agents, any of their respective Affiliates, nor any of the officers, partners, directors, employees or agents of the foregoing shall have any duties or obligations except those expressly set forth in the Loan Documents. Without limiting the generality of the foregoing or </w:t>
      </w:r>
      <w:r>
        <w:rPr>
          <w:rFonts w:ascii="Times New Roman" w:hAnsi="Times New Roman"/>
          <w:sz w:val="20"/>
          <w:u w:val="single"/>
        </w:rPr>
        <w:t>Section 10.11</w:t>
      </w:r>
      <w:r>
        <w:rPr>
          <w:rFonts w:ascii="Times New Roman" w:hAnsi="Times New Roman"/>
          <w:sz w:val="20"/>
        </w:rPr>
        <w:t xml:space="preserve">, an Agent or any of their respective officers, partners, directors, employees or agents: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hAnsi="Times New Roman"/>
          <w:i/>
          <w:sz w:val="20"/>
        </w:rPr>
        <w:t>provided</w:t>
      </w:r>
      <w:r>
        <w:rPr>
          <w:rFonts w:ascii="Times New Roman" w:hAnsi="Times New Roman"/>
          <w:sz w:val="20"/>
        </w:rPr>
        <w:t xml:space="preserve"> that, notwithstanding any direction by the Required Lenders to the contrary, no Agent shall be required to take any action that, in its opinion or the opinion of its counsel, may expose such Agent to liability, risk its own funds or incur any financial liability or that is contrary to any Loan Document or applicable Law,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shall not, except as expressly set forth herein and in the other Loan Documents, have any duty to disclose, and shall not be liable for the failure to disclose, any information relating to the Borrower or any of their Affiliates that is communicated to or obtained by any Person serving as an Agent or any of its Affiliates in any capacity; </w:t>
      </w:r>
    </w:p>
    <w:p>
      <w:pPr>
        <w:pStyle w:val="TextBody"/>
        <w:bidi w:val="0"/>
        <w:spacing w:before="240" w:after="0"/>
        <w:jc w:val="left"/>
        <w:rPr>
          <w:rFonts w:ascii="Times New Roman" w:hAnsi="Times New Roman"/>
          <w:sz w:val="20"/>
        </w:rPr>
      </w:pPr>
      <w:r>
        <w:rPr>
          <w:rFonts w:ascii="Times New Roman" w:hAnsi="Times New Roman"/>
          <w:sz w:val="20"/>
        </w:rPr>
        <w:t xml:space="preserve">(d) shall have no responsibility or liability for any loss which may result from any investment or sale of investment made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shall have no obligation to file UCC financing statements or monitor security interests and the perfection thereof; and </w:t>
      </w:r>
    </w:p>
    <w:p>
      <w:pPr>
        <w:pStyle w:val="TextBody"/>
        <w:bidi w:val="0"/>
        <w:spacing w:before="240" w:after="0"/>
        <w:jc w:val="left"/>
        <w:rPr>
          <w:rFonts w:ascii="Times New Roman" w:hAnsi="Times New Roman"/>
          <w:sz w:val="20"/>
        </w:rPr>
      </w:pPr>
      <w:r>
        <w:rPr>
          <w:rFonts w:ascii="Times New Roman" w:hAnsi="Times New Roman"/>
          <w:sz w:val="20"/>
        </w:rPr>
        <w:t xml:space="preserve">(f) shall not be liable to the Lenders for any action taken or omitted to be taken under or in connection with any of the Loan Documents except to the extent caused by such Agent’s gross negligence or willful misconduct, as determined by a final,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Agents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w:t>
      </w:r>
      <w:r>
        <w:rPr>
          <w:rFonts w:ascii="Times New Roman" w:hAnsi="Times New Roman"/>
          <w:sz w:val="20"/>
          <w:u w:val="single"/>
        </w:rPr>
        <w:t>Sections 9.02</w:t>
      </w:r>
      <w:r>
        <w:rPr>
          <w:rFonts w:ascii="Times New Roman" w:hAnsi="Times New Roman"/>
          <w:sz w:val="20"/>
        </w:rPr>
        <w:t xml:space="preserve"> and </w:t>
      </w:r>
      <w:r>
        <w:rPr>
          <w:rFonts w:ascii="Times New Roman" w:hAnsi="Times New Roman"/>
          <w:sz w:val="20"/>
          <w:u w:val="single"/>
        </w:rPr>
        <w:t>11.01</w:t>
      </w:r>
      <w:r>
        <w:rPr>
          <w:rFonts w:ascii="Times New Roman" w:hAnsi="Times New Roman"/>
          <w:sz w:val="20"/>
        </w:rPr>
        <w:t xml:space="preserve">) or (ii) in the absence of its own gross negligence or willful misconduct as determined by a final, non-appealable judgment of a court of competent jurisdiction, in connection with its duties expressly set forth herein. The Agents shall be deemed not to have knowledge of any Default or Event of Default unless and until notice describing such Default or Event of Default is given to the Agents by the Borrower or the Required Lenders in writing. The permissive rights of the Agents set forth in this Agreement shall not be construed as a duty or obligation of the Agents. </w:t>
      </w:r>
    </w:p>
    <w:p>
      <w:pPr>
        <w:pStyle w:val="TextBody"/>
        <w:bidi w:val="0"/>
        <w:spacing w:before="240" w:after="0"/>
        <w:jc w:val="left"/>
        <w:rPr>
          <w:rFonts w:ascii="Times New Roman" w:hAnsi="Times New Roman"/>
          <w:sz w:val="20"/>
        </w:rPr>
      </w:pPr>
      <w:r>
        <w:rPr>
          <w:rFonts w:ascii="Times New Roman" w:hAnsi="Times New Roman"/>
          <w:sz w:val="20"/>
        </w:rPr>
        <w:t xml:space="preserve">No Agent-Related Person shall be responsible for or have any duty to ascertain or inquire into (i) any recital, statement, warranty or representation made in or in connection with any Loan Document, (ii) the contents of any certificate, report, statement or agreement or other document delivered hereunder or thereunder or in connection herewith or therewith or referred to or provided for in, or received by the Administrative Agent under or in connection with any Loan Document,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Agents, or to inspect the properties, books or records of any Loan Party or any Affiliate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Reliance by the Agents</w:t>
      </w:r>
      <w:r>
        <w:rPr>
          <w:rFonts w:ascii="Times New Roman" w:hAnsi="Times New Roman"/>
          <w:sz w:val="20"/>
        </w:rPr>
        <w:t xml:space="preserve">. The Agents shall be entitled to rely upon, and shall not incur any liability for relying upon, any notice, request, certificate, consent, statement, instrument, legal order,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each Agent may presume that such condition is satisfactory to such Lender or Issuing Bank unless the Agents shall have received notice to the contrary from such Lender or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Each Agent shall be fully justified in failing or refusing to take any action that is not required or explicitly approved by the Lenders under any Loan Document unless it shall first receive such advice or concurrence of the Required Lenders (or other requisite percentage of Lenders) as it deems appropriate and, if it so requests, it shall first be indemnified to its satisfaction by the Lenders against any and all liability and expense which may be incurred by it by reason of taking or continuing to take any such action. The Agents shall in all cases be fully protected in taking any action, or in refraining from taking any action, under any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Times New Roman" w:hAnsi="Times New Roman"/>
          <w:i/>
          <w:sz w:val="20"/>
        </w:rPr>
        <w:t>provided</w:t>
      </w:r>
      <w:r>
        <w:rPr>
          <w:rFonts w:ascii="Times New Roman" w:hAnsi="Times New Roman"/>
          <w:sz w:val="20"/>
        </w:rPr>
        <w:t xml:space="preserve"> that the Agents shall not be required to take any action that, in their opinion or in the opinion of their counsel, may expose such Agent to liability or that is contrary to any Loan Document or applicable Law. Notwithstanding the foregoing, the Administrative Agent and the Collateral Agent shall not act (or refrain from acting, as applicable) upon any direction from the Required Lenders (or other requisite percentage of Lenders) that would cause the Administrative Agent or the Collateral Agent to be in breach of any express term or provision of this Agreement. The Required Lenders agree not to instruct the Administrative Agent or Collateral Agent to take any action, or refrain from taking any action, that would, in each case, cause it to violate an express duty or obligation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Delegation of Duties</w:t>
      </w:r>
      <w:r>
        <w:rPr>
          <w:rFonts w:ascii="Times New Roman" w:hAnsi="Times New Roman"/>
          <w:sz w:val="20"/>
        </w:rPr>
        <w:t xml:space="preserve">. Each Agent may perform any and all of its duties and exercise its rights and powers hereunder or under any other Loan Documents by or through any one or more sub agents appointed by such Agent. Each Agent and any such sub agent may perform any and all of its duties and exercise its rights and powers by or through their respective Agent-Related Persons. The exculpatory provisions of this </w:t>
      </w:r>
      <w:r>
        <w:rPr>
          <w:rFonts w:ascii="Times New Roman" w:hAnsi="Times New Roman"/>
          <w:sz w:val="20"/>
          <w:u w:val="single"/>
        </w:rPr>
        <w:t>Article X</w:t>
      </w:r>
      <w:r>
        <w:rPr>
          <w:rFonts w:ascii="Times New Roman" w:hAnsi="Times New Roman"/>
          <w:sz w:val="20"/>
        </w:rPr>
        <w:t xml:space="preserve"> shall apply to any such sub agent and to the Agent-Related Persons of the Agents and any such sub agent, and shall apply to their respective activities in connection with the syndication of the credit facilities provided for herein as well as activities as the Agents. Notwithstanding anything herein to the contrary, with respect to each sub agent appointed by an Agent, (i) such sub agent shall be a third party beneficiary under this Agreement with respect to all such rights, benefits and privileges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 agent, and (iii) such sub agent shall only have obligations to the Agent that appointed it as sub agent and not to any Loan Party, Lender or any other Person and no Loan Party, Lender or any other Person shall have any rights, directly or indirectly, as a third party beneficiary or otherwise, against such sub agent. Each Agent shall not be responsible for the negligence or misconduct of any sub-agents except to the extent that a court of competent jurisdiction determines in a final and non-appealable judgment that such Agent acted with gross negligence or willful misconduct in the selection of such sub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Non-Reliance on Agents and Other Lenders; Disclosure of</w:t>
      </w:r>
      <w:r>
        <w:rPr>
          <w:rFonts w:ascii="Times New Roman" w:hAnsi="Times New Roman"/>
          <w:sz w:val="20"/>
        </w:rPr>
        <w:t xml:space="preserve"> </w:t>
      </w:r>
      <w:r>
        <w:rPr>
          <w:rFonts w:ascii="Times New Roman" w:hAnsi="Times New Roman"/>
          <w:sz w:val="20"/>
          <w:u w:val="single"/>
        </w:rPr>
        <w:t>Information by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and each Issuing Bank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and each Issuing Bank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and each Issuing Bank also represents that it will, independently and without reliance upon any Agent, any other Lender or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w:t>
      </w:r>
    </w:p>
    <w:p>
      <w:pPr>
        <w:pStyle w:val="TextBody"/>
        <w:bidi w:val="0"/>
        <w:spacing w:before="240" w:after="0"/>
        <w:jc w:val="left"/>
        <w:rPr>
          <w:rFonts w:ascii="Times New Roman" w:hAnsi="Times New Roman"/>
          <w:sz w:val="20"/>
        </w:rPr>
      </w:pPr>
      <w:r>
        <w:rPr>
          <w:rFonts w:ascii="Times New Roman" w:hAnsi="Times New Roman"/>
          <w:sz w:val="20"/>
        </w:rPr>
        <w:t xml:space="preserve">(b) Each Lender, by delivering its signature page to this Agreement or an Assignment and Assumption and funding its Revolving Loans on the Closing Date, shall be deemed to have acknowledged receipt of, and consented to and approved, each Loan Document and each other document required to be approved by any Agent, Required Lenders or Lenders, as applicable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Lender acknowledges that certain Affiliates of the Loan Parties, including the Sponsors or entities controlled by the Sponsors, are Eligible Assignees hereunder and may purchase Loans and/or Commitments hereunder from the Lenders from time to time, subject to the restrictions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Indemnification of Agents</w:t>
      </w:r>
      <w:r>
        <w:rPr>
          <w:rFonts w:ascii="Times New Roman" w:hAnsi="Times New Roman"/>
          <w:sz w:val="20"/>
        </w:rPr>
        <w:t xml:space="preserve"> . Whether or not the transactions contemplated hereby are consummated, the Lenders shall indemnify upon demand each Agent, each Issuing Bank and each other Agent-Related Person (solely to the extent any such Agent-Related Person was performing services on behalf of any Agent or any Issuing Bank, as applicable) (to the extent not reimbursed by or on behalf of any Loan Party and without limiting the obligation of any Loan Party to do so), pro rata, and hold harmless the Administrative Agent, each Agent, each Issuing Bank and each other Agent-Related Person (solely to the extent any such Agent-Related Person was performing services on behalf of any Agent or each Issuing Bank, as applicable) from and against any and all Indemnified Liabilities incurred by it; </w:t>
      </w:r>
      <w:r>
        <w:rPr>
          <w:rFonts w:ascii="Times New Roman" w:hAnsi="Times New Roman"/>
          <w:i/>
          <w:sz w:val="20"/>
        </w:rPr>
        <w:t>provided</w:t>
      </w:r>
      <w:r>
        <w:rPr>
          <w:rFonts w:ascii="Times New Roman" w:hAnsi="Times New Roman"/>
          <w:sz w:val="20"/>
        </w:rPr>
        <w:t xml:space="preserve"> that no Lender shall be liable for the payment to any Agent-Related Person of any portion of such Indemnified Liabilities resulting from such Agent-Related Person’s own gross negligence or willful misconduct, as determined by a final, non-appealable judgment of a court of competent jurisdiction; </w:t>
      </w:r>
      <w:r>
        <w:rPr>
          <w:rFonts w:ascii="Times New Roman" w:hAnsi="Times New Roman"/>
          <w:i/>
          <w:sz w:val="20"/>
        </w:rPr>
        <w:t>provided</w:t>
      </w:r>
      <w:r>
        <w:rPr>
          <w:rFonts w:ascii="Times New Roman" w:hAnsi="Times New Roman"/>
          <w:sz w:val="20"/>
        </w:rPr>
        <w:t xml:space="preserve"> that, to the extent each Issuing Bank is entitled to indemnification under this </w:t>
      </w:r>
      <w:r>
        <w:rPr>
          <w:rFonts w:ascii="Times New Roman" w:hAnsi="Times New Roman"/>
          <w:sz w:val="20"/>
          <w:u w:val="single"/>
        </w:rPr>
        <w:t>Section 10.07</w:t>
      </w:r>
      <w:r>
        <w:rPr>
          <w:rFonts w:ascii="Times New Roman" w:hAnsi="Times New Roman"/>
          <w:sz w:val="20"/>
        </w:rPr>
        <w:t xml:space="preserve"> solely in its capacity and role as an Issuing Bank, only the Revolving Lenders shall be required to indemnify the applicable Issuing Bank in accordance with this </w:t>
      </w:r>
      <w:r>
        <w:rPr>
          <w:rFonts w:ascii="Times New Roman" w:hAnsi="Times New Roman"/>
          <w:sz w:val="20"/>
          <w:u w:val="single"/>
        </w:rPr>
        <w:t>Section 10.07</w:t>
      </w:r>
      <w:r>
        <w:rPr>
          <w:rFonts w:ascii="Times New Roman" w:hAnsi="Times New Roman"/>
          <w:sz w:val="20"/>
        </w:rPr>
        <w:t xml:space="preserve"> (determined as of the time that the applicable payment is sought based on each Revolving Lender’s Pro Rata Share thereof at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action taken in accordance with the terms of a Loan Document or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hAnsi="Times New Roman"/>
          <w:sz w:val="20"/>
          <w:u w:val="single"/>
        </w:rPr>
        <w:t>Section 10.07</w:t>
      </w:r>
      <w:r>
        <w:rPr>
          <w:rFonts w:ascii="Times New Roman" w:hAnsi="Times New Roman"/>
          <w:sz w:val="20"/>
        </w:rPr>
        <w:t xml:space="preserve">. If any indemnity furnished to any Agent or any Issuing Bank for any purpose shall, in the opinion of such Agent or such Issuing Bank be insufficient or become impaired, such Agent or such Issuing Bank, as applicable, may call for additional indemnity and cease, or not commence, to do the acts indemnified against until such additional indemnity is furnished; </w:t>
      </w:r>
      <w:r>
        <w:rPr>
          <w:rFonts w:ascii="Times New Roman" w:hAnsi="Times New Roman"/>
          <w:i/>
          <w:sz w:val="20"/>
        </w:rPr>
        <w:t>provided</w:t>
      </w:r>
      <w:r>
        <w:rPr>
          <w:rFonts w:ascii="Times New Roman" w:hAnsi="Times New Roman"/>
          <w:sz w:val="20"/>
        </w:rPr>
        <w:t xml:space="preserve">, in no event shall this sentence require any Lender to indemnify any Agent or any Issuing Bank against any Indemnified Liabilities in excess of such Lender’s pro rata share thereof; and </w:t>
      </w:r>
      <w:r>
        <w:rPr>
          <w:rFonts w:ascii="Times New Roman" w:hAnsi="Times New Roman"/>
          <w:i/>
          <w:sz w:val="20"/>
        </w:rPr>
        <w:t>provided further</w:t>
      </w:r>
      <w:r>
        <w:rPr>
          <w:rFonts w:ascii="Times New Roman" w:hAnsi="Times New Roman"/>
          <w:sz w:val="20"/>
        </w:rPr>
        <w:t xml:space="preserve">, this sentence shall not be deemed to require any Lender to indemnify any Agent or any Issuing Bank against any Indemnified Liabilities described in the first proviso in the immediately preceding sentence. In the case of any investigation, litigation or proceeding giving rise to any Indemnified Liabilities, this </w:t>
      </w:r>
      <w:r>
        <w:rPr>
          <w:rFonts w:ascii="Times New Roman" w:hAnsi="Times New Roman"/>
          <w:sz w:val="20"/>
          <w:u w:val="single"/>
        </w:rPr>
        <w:t>Section 10.07</w:t>
      </w:r>
      <w:r>
        <w:rPr>
          <w:rFonts w:ascii="Times New Roman" w:hAnsi="Times New Roman"/>
          <w:sz w:val="20"/>
        </w:rPr>
        <w:t xml:space="preserve"> applies whether any such investigation, litigation or proceeding is brought by any Lender or any other Person. Without limitation of the foregoing, each Lender shall reimburse each Agent or each Issuing Bank, as applicable, upon demand for its ratable share of any costs or out-of-pocket expenses (including Attorney Costs) incurred by such Agent or such Issuing Bank, as applicable,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 or such Issuing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 as applicable, is not reimbursed for such expenses by or on behalf of the Borrower; </w:t>
      </w:r>
      <w:r>
        <w:rPr>
          <w:rFonts w:ascii="Times New Roman" w:hAnsi="Times New Roman"/>
          <w:i/>
          <w:sz w:val="20"/>
        </w:rPr>
        <w:t xml:space="preserve">provided </w:t>
      </w:r>
      <w:r>
        <w:rPr>
          <w:rFonts w:ascii="Times New Roman" w:hAnsi="Times New Roman"/>
          <w:sz w:val="20"/>
        </w:rPr>
        <w:t xml:space="preserve">that such reimbursement by the Lenders shall not affect the Borrower’s continuing reimbursement obligations with respect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failure of any Lender to indemnify or reimburse such Agent or such Issuing Bank, as applicable, shall not relieve any other Lender of its obligation in respect thereof. The undertaking in this </w:t>
      </w:r>
      <w:r>
        <w:rPr>
          <w:rFonts w:ascii="Times New Roman" w:hAnsi="Times New Roman"/>
          <w:sz w:val="20"/>
          <w:u w:val="single"/>
        </w:rPr>
        <w:t>Section 10.07</w:t>
      </w:r>
      <w:r>
        <w:rPr>
          <w:rFonts w:ascii="Times New Roman" w:hAnsi="Times New Roman"/>
          <w:sz w:val="20"/>
        </w:rPr>
        <w:t xml:space="preserve"> shall survive termination of the Aggregate Commitments, the payment of all other Obligations and the resignation of the Administrative Agent, Collateral Agent, other Agents or any Issuing Bank.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No Other Duties; Other Agents, Lead Arrangers, Etc</w:t>
      </w:r>
      <w:r>
        <w:rPr>
          <w:rFonts w:ascii="Times New Roman" w:hAnsi="Times New Roman"/>
          <w:sz w:val="20"/>
        </w:rPr>
        <w:t xml:space="preserve">. The Lead Arrangers are each hereby appointed as Lead Arranger hereunder, and each Lender hereby authorizes such Lead Arrangers to act as Lead Arranger in accordance with the terms hereof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Each Agent hereby agrees to act in its capacity as such upon the express conditions contained herein and the other Loan Documents, as applicable. Anything herein to the contrary notwithstanding, none of the Lead Arranger or the other Agents listed on the cover page hereof (or any of their respective Affiliates) shall have any powers, duties or responsibilities under this Agreement or any of the other Loan Documents, except (x) in its capacity, as applicable, as the Administrative Agent, the Collateral Agent or a Lender hereunder and (y) as provided in </w:t>
      </w:r>
      <w:r>
        <w:rPr>
          <w:rFonts w:ascii="Times New Roman" w:hAnsi="Times New Roman"/>
          <w:sz w:val="20"/>
          <w:u w:val="single"/>
        </w:rPr>
        <w:t>Section 11.01(d)</w:t>
      </w:r>
      <w:r>
        <w:rPr>
          <w:rFonts w:ascii="Times New Roman" w:hAnsi="Times New Roman"/>
          <w:sz w:val="20"/>
        </w:rPr>
        <w:t xml:space="preserve"> and the last sentence of </w:t>
      </w:r>
      <w:r>
        <w:rPr>
          <w:rFonts w:ascii="Times New Roman" w:hAnsi="Times New Roman"/>
          <w:sz w:val="20"/>
          <w:u w:val="single"/>
        </w:rPr>
        <w:t>Section 11.01</w:t>
      </w:r>
      <w:r>
        <w:rPr>
          <w:rFonts w:ascii="Times New Roman" w:hAnsi="Times New Roman"/>
          <w:sz w:val="20"/>
        </w:rPr>
        <w:t xml:space="preserve">, and such Persons shall have the benefit of this </w:t>
      </w:r>
      <w:r>
        <w:rPr>
          <w:rFonts w:ascii="Times New Roman" w:hAnsi="Times New Roman"/>
          <w:sz w:val="20"/>
          <w:u w:val="single"/>
        </w:rPr>
        <w:t>Article X</w:t>
      </w:r>
      <w:r>
        <w:rPr>
          <w:rFonts w:ascii="Times New Roman" w:hAnsi="Times New Roman"/>
          <w:sz w:val="20"/>
        </w:rPr>
        <w:t xml:space="preserve">. Without limiting the foregoing, none of the Lenders or other Persons so identified shall have or be deemed to have any agency or fiduciary or trust relationship with any Lender, the Borrower or any of their respective Subsidiaries. Each Lender acknowledges that it has not relied, and will not rely, on any of the Lenders or other Persons so identified in deciding to enter into this Agreement or in taking or not taking action hereunder. Any Agent may resign from such role at any time, with immediate effect, by giving prior written notice thereof to the Administrative Agent and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Resignation of Agent</w:t>
      </w:r>
      <w:r>
        <w:rPr>
          <w:rFonts w:ascii="Times New Roman" w:hAnsi="Times New Roman"/>
          <w:sz w:val="20"/>
        </w:rPr>
        <w:t xml:space="preserve">. The Agents may at any time give notice of its resignation to the Lenders and the Borrower. Upon receipt of any such notice of resignation, the Required Lenders shall have the right, subject to the consent of the Borrower (such consent not to be unreasonably withheld, conditioned or delayed), at all times other than during the existence of a Specified Event of Default, to appoint a successor, which shall be a Lender or a bank with an office in the United States, or an Affiliate of any such Lender or bank with an office in the United States. If no such successor shall have been so appointed by the Required Lenders and shall have accepted such appointment within thirty (30) days after the retiring Agent gives notice of its resignation, then the retiring Agent may on behalf of the Lenders, appoint a successor Agent meeting the qualifications set forth above; </w:t>
      </w:r>
      <w:r>
        <w:rPr>
          <w:rFonts w:ascii="Times New Roman" w:hAnsi="Times New Roman"/>
          <w:i/>
          <w:sz w:val="20"/>
        </w:rPr>
        <w:t>provided</w:t>
      </w:r>
      <w:r>
        <w:rPr>
          <w:rFonts w:ascii="Times New Roman" w:hAnsi="Times New Roman"/>
          <w:sz w:val="20"/>
        </w:rPr>
        <w:t xml:space="preserve"> that if the retiring Agent shall notify the Borrower and the Lenders that no qualifying Person has accepted such appointment, then such resignation shall nonetheless become effective in accordance with such notice and (a) the retiring Agent shall be discharged from its duties and obligations hereunder and under the other Loan Documents (except that in the case of any collateral security held by the Collateral Agent on behalf of the Lenders under any of the Loan Documents, the retiring Agent shall continue to hold such collateral security until such time as a successor of such Agent is appointed) and (b) except for any indemnity payments or other amounts owed to the retiring or retired Agents, all payments, communications and determinations provided to be made by, 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the retiring Agent shall instead be made by or to each Lender directly, until such time as the Required Lenders appoint a successor Agent as provided for above in this Section. If neither the Required Lenders nor the retired Agent have appointed a successor Agent, the Required Lenders shall be deemed to have succeeded to and become vested with all the rights, powers, privileges and duties of the retiring Agent (subject to the proviso in the sentence above). Upon the acceptance of a successor’s appointment as replacement Agent hereunder and upon the execution and filing or recording of such financing statements, or amendments thereto, and such amendments or supplements to the Vessel Mortgages, and such other instruments or notices, as may be necessary or desirable, or as the Required Lenders may request, in order to perfect or continue the perfection of the Liens granted or purported to be granted by the Collateral Documents, such successor shall succeed to and become vested with all of the rights, powers, privileges and duties of the retiring (or retired) Agent (other than any rights to indemnity payments or other amounts owed to the retiring or retired Agent), and the retiring Agent shall be discharged from all of its duties and obligations hereunder or under the other Loan Documents (if not already discharged therefrom as provided above in this Section). The fees payable by the Borrower to a successor Agent shall be the same as those payable to its predecessor unless otherwise agreed between the Borrower and such successor. After the retiring Agent’s resignation hereunder and under the other Loan Documents, the provisions of this </w:t>
      </w:r>
      <w:r>
        <w:rPr>
          <w:rFonts w:ascii="Times New Roman" w:hAnsi="Times New Roman"/>
          <w:sz w:val="20"/>
          <w:u w:val="single"/>
        </w:rPr>
        <w:t>Article X</w:t>
      </w:r>
      <w:r>
        <w:rPr>
          <w:rFonts w:ascii="Times New Roman" w:hAnsi="Times New Roman"/>
          <w:sz w:val="20"/>
        </w:rPr>
        <w:t xml:space="preserve"> and </w:t>
      </w:r>
      <w:r>
        <w:rPr>
          <w:rFonts w:ascii="Times New Roman" w:hAnsi="Times New Roman"/>
          <w:sz w:val="20"/>
          <w:u w:val="single"/>
        </w:rPr>
        <w:t>Sections 11.04</w:t>
      </w:r>
      <w:r>
        <w:rPr>
          <w:rFonts w:ascii="Times New Roman" w:hAnsi="Times New Roman"/>
          <w:sz w:val="20"/>
        </w:rPr>
        <w:t xml:space="preserve"> and </w:t>
      </w:r>
      <w:r>
        <w:rPr>
          <w:rFonts w:ascii="Times New Roman" w:hAnsi="Times New Roman"/>
          <w:sz w:val="20"/>
          <w:u w:val="single"/>
        </w:rPr>
        <w:t>11.05</w:t>
      </w:r>
      <w:r>
        <w:rPr>
          <w:rFonts w:ascii="Times New Roman" w:hAnsi="Times New Roman"/>
          <w:sz w:val="20"/>
        </w:rPr>
        <w:t xml:space="preserve"> shall continue in effect for the benefit of such retiring Agent, its sub-agents and their respective Agent-Related Persons in respect of any actions taken or omitted to be taken by any of them while the retiring Agent was acting as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Administrative Agent May File Proofs of Claim; Credit Bidding</w:t>
      </w:r>
      <w:r>
        <w:rPr>
          <w:rFonts w:ascii="Times New Roman" w:hAnsi="Times New Roman"/>
          <w:sz w:val="20"/>
        </w:rPr>
        <w:t xml:space="preserve">. In case of the pendency of any proceeding under any Debtor Relief Law or any other judicial proceeding relative to any Loan Party, the Administrative Agent (irrespective of whether the principal of any Loan or in respect of Letter of Credit Obligations shall then be due and payable as herein expressed or by declaration or otherwise and irrespective of whether the Administrative Agent shall have made any demand on the Borrower) shall be entitled and empowered (but not obligated),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 verified statement pursuant to rule 2019 of the Federal Rules of Bankruptcy Procedure that, in its sole opinion, complies with such rule’s disclosure requirements for entities representing more than one creditor; </w:t>
      </w:r>
    </w:p>
    <w:p>
      <w:pPr>
        <w:pStyle w:val="TextBody"/>
        <w:bidi w:val="0"/>
        <w:spacing w:before="240" w:after="0"/>
        <w:jc w:val="left"/>
        <w:rPr>
          <w:rFonts w:ascii="Times New Roman" w:hAnsi="Times New Roman"/>
          <w:sz w:val="20"/>
        </w:rPr>
      </w:pPr>
      <w:r>
        <w:rPr>
          <w:rFonts w:ascii="Times New Roman" w:hAnsi="Times New Roman"/>
          <w:sz w:val="20"/>
        </w:rPr>
        <w:t xml:space="preserve">(b) 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11.04</w:t>
      </w:r>
      <w:r>
        <w:rPr>
          <w:rFonts w:ascii="Times New Roman" w:hAnsi="Times New Roman"/>
          <w:sz w:val="20"/>
        </w:rPr>
        <w:t xml:space="preserve">)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(c) to collect and receive any monies or other property payable or deliverable on any such claims and to distribute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for the reasonable compensation, expenses, disbursements and advances of the Agents and their respective agents and counsel, and any other amounts due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11.04</w:t>
      </w:r>
      <w:r>
        <w:rPr>
          <w:rFonts w:ascii="Times New Roman" w:hAnsi="Times New Roman"/>
          <w:sz w:val="20"/>
        </w:rPr>
        <w:t xml:space="preserve">. To the extent that the payment of any such compensation, expenses, disbursements and advances of the Administrative Agent, its agents and counsel, and any other amounts due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11.04</w:t>
      </w:r>
      <w:r>
        <w:rPr>
          <w:rFonts w:ascii="Times New Roman" w:hAnsi="Times New Roman"/>
          <w:sz w:val="20"/>
        </w:rPr>
        <w:t xml:space="preserve"> 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or under any plan of reorganization or arrangement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Secured Obligations (as defined in the applicable Collateral Agreement) pursuant to a deed in lieu of foreclosure or otherwise) and in such manner purchase (either directly or through one or more acquisition vehicles) all or any portion of the Collateral (i) at any sale thereof conducted under the provisions of the U.S. Bankruptcy Code, including under Sections 363, 1123 or 1129 of the U.S. Bankruptcy Code,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of </w:t>
      </w:r>
      <w:r>
        <w:rPr>
          <w:rFonts w:ascii="Times New Roman" w:hAnsi="Times New Roman"/>
          <w:sz w:val="20"/>
          <w:u w:val="single"/>
        </w:rPr>
        <w:t>Section 11.01</w:t>
      </w:r>
      <w:r>
        <w:rPr>
          <w:rFonts w:ascii="Times New Roman" w:hAnsi="Times New Roman"/>
          <w:sz w:val="20"/>
        </w:rPr>
        <w:t xml:space="preserve"> of this Agreement), (C) the Administrative Agent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(D)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Collateral and Guaranty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Agent, each Lender (including in its capacities as a potential Cash Management Bank and a potential Hedge Bank), each Issuing Bank, and each other Secured Party irrevocably authorizes the Administrative Agent and Collateral Agent to be the agent for and representative of the Lenders with respect to the Guaranty, the Collateral and the Collateral Documents and agrees that, notwithstanding anything to the contrary in any Loan Document: </w:t>
      </w:r>
    </w:p>
    <w:p>
      <w:pPr>
        <w:pStyle w:val="TextBody"/>
        <w:bidi w:val="0"/>
        <w:spacing w:before="120" w:after="0"/>
        <w:jc w:val="left"/>
        <w:rPr>
          <w:rFonts w:ascii="Times New Roman" w:hAnsi="Times New Roman"/>
          <w:sz w:val="20"/>
        </w:rPr>
      </w:pPr>
      <w:r>
        <w:rPr>
          <w:rFonts w:ascii="Times New Roman" w:hAnsi="Times New Roman"/>
          <w:sz w:val="20"/>
        </w:rPr>
        <w:t>(i) Liens on any property granted to or held by an Agent or in favor of any Secured Party under any Loan Document will be automatically and immediately released, and each Secured Party irrevocably authorizes and directs the Agents to enter into, and each agrees that it will enter into, the necessary or advisable documents requested by the Borrower and associated therewith, upon the occurrence of any of the following events (each, a “</w:t>
      </w:r>
      <w:r>
        <w:rPr>
          <w:rFonts w:ascii="Times New Roman" w:hAnsi="Times New Roman"/>
          <w:b/>
          <w:sz w:val="20"/>
        </w:rPr>
        <w:t>Lien Release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payment in full in cash of all the Obligations (other than (1) Cash Management Obligations, Swap Obligations and Contingent Obligations in respect of which no claim has been made and (2) obligations in respect of Letters of Credit that have been backstopped or cash collateralized on terms satisfactory to the applicable Issuing Bank); </w:t>
      </w:r>
    </w:p>
    <w:p>
      <w:pPr>
        <w:pStyle w:val="TextBody"/>
        <w:bidi w:val="0"/>
        <w:spacing w:before="120" w:after="0"/>
        <w:jc w:val="left"/>
        <w:rPr>
          <w:rFonts w:ascii="Times New Roman" w:hAnsi="Times New Roman"/>
          <w:sz w:val="20"/>
        </w:rPr>
      </w:pPr>
      <w:r>
        <w:rPr>
          <w:rFonts w:ascii="Times New Roman" w:hAnsi="Times New Roman"/>
          <w:sz w:val="20"/>
        </w:rPr>
        <w:t xml:space="preserve">(B) a transfer of the property subject to such Lien as part of, or in connection with, a transaction that is permitted by the terms of the Loan Documents to any Person that is not a Loan Party; </w:t>
      </w:r>
    </w:p>
    <w:p>
      <w:pPr>
        <w:pStyle w:val="TextBody"/>
        <w:bidi w:val="0"/>
        <w:spacing w:before="120" w:after="0"/>
        <w:jc w:val="left"/>
        <w:rPr>
          <w:rFonts w:ascii="Times New Roman" w:hAnsi="Times New Roman"/>
          <w:sz w:val="20"/>
        </w:rPr>
      </w:pPr>
      <w:r>
        <w:rPr>
          <w:rFonts w:ascii="Times New Roman" w:hAnsi="Times New Roman"/>
          <w:sz w:val="20"/>
        </w:rPr>
        <w:t>(C) with respect to property owned by any Guarantor or with respect to which any Guarantor has rights, the release of such Guarantor from its obligations under its Guaranty or hereunder, as applicable, pursuant to clause (</w:t>
      </w:r>
      <w:r>
        <w:rPr>
          <w:rFonts w:ascii="Times New Roman" w:hAnsi="Times New Roman"/>
          <w:strike/>
          <w:color w:val="FF0000"/>
          <w:sz w:val="20"/>
        </w:rPr>
        <w:t>iii</w:t>
      </w:r>
      <w:r>
        <w:rPr>
          <w:rFonts w:ascii="Times New Roman" w:hAnsi="Times New Roman"/>
          <w:color w:val="0000FF"/>
          <w:sz w:val="20"/>
          <w:u w:val="single"/>
          <w:bdr w:val="double" w:sz="2" w:space="1" w:color="000000"/>
        </w:rPr>
        <w:t>iv</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(D) the approval, authorization or ratification of the release of such Lien by the Required Lenders, or such percentage as may be required pursuant to </w:t>
      </w:r>
      <w:r>
        <w:rPr>
          <w:rFonts w:ascii="Times New Roman" w:hAnsi="Times New Roman"/>
          <w:sz w:val="20"/>
          <w:u w:val="single"/>
        </w:rPr>
        <w:t>Section 11.01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such property becoming an Excluded Asset, Excluded Vessel (including, for the avoidance of doubt, pursuant to any Permitted Reflagging Transaction), Excluded Equity Interest or an asset owned by an Excluded Subsidiary or with respect to which an Excluded Subsidiary has rights; </w:t>
      </w:r>
    </w:p>
    <w:p>
      <w:pPr>
        <w:pStyle w:val="TextBody"/>
        <w:bidi w:val="0"/>
        <w:spacing w:before="120" w:after="0"/>
        <w:jc w:val="left"/>
        <w:rPr>
          <w:rFonts w:ascii="Times New Roman" w:hAnsi="Times New Roman"/>
          <w:sz w:val="20"/>
        </w:rPr>
      </w:pPr>
      <w:r>
        <w:rPr>
          <w:rFonts w:ascii="Times New Roman" w:hAnsi="Times New Roman"/>
          <w:sz w:val="20"/>
        </w:rPr>
        <w:t xml:space="preserve">(F) as to the assets </w:t>
      </w:r>
      <w:r>
        <w:rPr>
          <w:rFonts w:ascii="Times New Roman" w:hAnsi="Times New Roman"/>
          <w:color w:val="0000FF"/>
          <w:sz w:val="20"/>
          <w:u w:val="single"/>
          <w:bdr w:val="double" w:sz="2" w:space="1" w:color="000000"/>
        </w:rPr>
        <w:t xml:space="preserve">(other than Vessel Collateral) </w:t>
      </w:r>
      <w:r>
        <w:rPr>
          <w:rFonts w:ascii="Times New Roman" w:hAnsi="Times New Roman"/>
          <w:sz w:val="20"/>
        </w:rPr>
        <w:t>owned by such Excluded Subsidiary (or with respect to which an Excluded Subsidiary has rights), upon any Person becoming an Excluded Subsidiary</w:t>
      </w:r>
      <w:r>
        <w:rPr>
          <w:rFonts w:ascii="Times New Roman" w:hAnsi="Times New Roman"/>
          <w:color w:val="0000FF"/>
          <w:sz w:val="20"/>
          <w:u w:val="single"/>
          <w:bdr w:val="double" w:sz="2" w:space="1" w:color="000000"/>
        </w:rPr>
        <w:t>, in each case other than any Guarantor or Shipowner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trike/>
          <w:color w:val="FF0000"/>
          <w:sz w:val="20"/>
        </w:rPr>
        <w:t>any such property becoming subject to a Securitization Financing to the extent required by the terms of such Securitization Financing</w:t>
      </w:r>
      <w:r>
        <w:rPr>
          <w:rFonts w:ascii="Times New Roman" w:hAnsi="Times New Roman"/>
          <w:color w:val="0000FF"/>
          <w:sz w:val="20"/>
          <w:u w:val="single"/>
          <w:bdr w:val="double" w:sz="2" w:space="1" w:color="000000"/>
        </w:rPr>
        <w:t>[reserved]</w:t>
      </w:r>
      <w:r>
        <w:rPr>
          <w:rFonts w:ascii="Times New Roman" w:hAnsi="Times New Roman"/>
          <w:sz w:val="20"/>
        </w:rPr>
        <w:t xml:space="preserve">; and/or </w:t>
      </w:r>
    </w:p>
    <w:p>
      <w:pPr>
        <w:pStyle w:val="TextBody"/>
        <w:bidi w:val="0"/>
        <w:spacing w:before="120" w:after="0"/>
        <w:jc w:val="left"/>
        <w:rPr>
          <w:rFonts w:ascii="Times New Roman" w:hAnsi="Times New Roman"/>
          <w:sz w:val="20"/>
        </w:rPr>
      </w:pPr>
      <w:r>
        <w:rPr>
          <w:rFonts w:ascii="Times New Roman" w:hAnsi="Times New Roman"/>
          <w:sz w:val="20"/>
        </w:rPr>
        <w:t xml:space="preserve">(H) with respect to Vessel Collateral, such Vessel Collateral becoming subject to a reflagging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trike/>
          <w:color w:val="FF0000"/>
          <w:sz w:val="20"/>
        </w:rPr>
        <w:t>upon the request of the Borrower (such request, the“</w:t>
      </w:r>
      <w:r>
        <w:rPr>
          <w:rFonts w:ascii="Times New Roman" w:hAnsi="Times New Roman"/>
          <w:b/>
          <w:strike/>
          <w:color w:val="FF0000"/>
          <w:sz w:val="20"/>
        </w:rPr>
        <w:t>Release/Subordination Event</w:t>
      </w:r>
      <w:r>
        <w:rPr>
          <w:rFonts w:ascii="Times New Roman" w:hAnsi="Times New Roman"/>
          <w:strike/>
          <w:color w:val="FF0000"/>
          <w:sz w:val="20"/>
        </w:rPr>
        <w:t xml:space="preserve">”) it will release or subordinate any Lien on any property granted to or held by the Administrative Agent or the Collateral Agent under any Loan Document to the holder of any Lien on such property that is permitted by </w:t>
      </w:r>
      <w:r>
        <w:rPr>
          <w:rFonts w:ascii="Times New Roman" w:hAnsi="Times New Roman"/>
          <w:strike/>
          <w:color w:val="FF0000"/>
          <w:sz w:val="20"/>
          <w:u w:val="single"/>
        </w:rPr>
        <w:t>Sections 7.01(d)</w:t>
      </w:r>
      <w:r>
        <w:rPr>
          <w:rFonts w:ascii="Times New Roman" w:hAnsi="Times New Roman"/>
          <w:strike/>
          <w:color w:val="FF0000"/>
          <w:sz w:val="20"/>
        </w:rPr>
        <w:t xml:space="preserve"> and </w:t>
      </w:r>
      <w:r>
        <w:rPr>
          <w:rFonts w:ascii="Times New Roman" w:hAnsi="Times New Roman"/>
          <w:strike/>
          <w:color w:val="FF0000"/>
          <w:sz w:val="20"/>
          <w:u w:val="single"/>
        </w:rPr>
        <w:t>7.01(n)</w:t>
      </w:r>
      <w:r>
        <w:rPr>
          <w:rFonts w:ascii="Times New Roman" w:hAnsi="Times New Roman"/>
          <w:strike/>
          <w:color w:val="FF0000"/>
          <w:sz w:val="20"/>
        </w:rPr>
        <w:t xml:space="preserve">; </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upon the request of the Borrower (such request, the “</w:t>
      </w:r>
      <w:r>
        <w:rPr>
          <w:rFonts w:ascii="Times New Roman" w:hAnsi="Times New Roman"/>
          <w:b/>
          <w:sz w:val="20"/>
        </w:rPr>
        <w:t>Permitted Consent</w:t>
      </w:r>
      <w:r>
        <w:rPr>
          <w:rFonts w:ascii="Times New Roman" w:hAnsi="Times New Roman"/>
          <w:sz w:val="20"/>
        </w:rPr>
        <w:t xml:space="preserve"> </w:t>
      </w:r>
      <w:r>
        <w:rPr>
          <w:rFonts w:ascii="Times New Roman" w:hAnsi="Times New Roman"/>
          <w:b/>
          <w:sz w:val="20"/>
        </w:rPr>
        <w:t>Event</w:t>
      </w:r>
      <w:r>
        <w:rPr>
          <w:rFonts w:ascii="Times New Roman" w:hAnsi="Times New Roman"/>
          <w:sz w:val="20"/>
        </w:rPr>
        <w:t xml:space="preserve">”), each Secured Party irrevocably authorizes and directs the Agents to enter into, and each Secured Party and the Agents agrees that the Agents will enter into, the necessary or advisable documents requested by the Borrower in connection with a transaction that is permitted by the terms of the Loan Documents; </w:t>
      </w:r>
      <w:r>
        <w:rPr>
          <w:rFonts w:ascii="Times New Roman" w:hAnsi="Times New Roman"/>
          <w:i/>
          <w:color w:val="0000FF"/>
          <w:sz w:val="20"/>
          <w:u w:val="single"/>
          <w:bdr w:val="double" w:sz="2" w:space="1" w:color="000000"/>
        </w:rPr>
        <w:t>provided, however,</w:t>
      </w:r>
      <w:r>
        <w:rPr>
          <w:rFonts w:ascii="Times New Roman" w:hAnsi="Times New Roman"/>
          <w:color w:val="0000FF"/>
          <w:sz w:val="20"/>
          <w:u w:val="single"/>
          <w:bdr w:val="double" w:sz="2" w:space="1" w:color="000000"/>
        </w:rPr>
        <w:t xml:space="preserve"> the Agents shall not be required to enter into any documents to release any Collateral or subordinate any Lien on any Collateral except as expressly set forth herein;</w:t>
      </w:r>
      <w:r>
        <w:rPr>
          <w:rFonts w:ascii="Times New Roman" w:hAnsi="Times New Roman"/>
          <w:color w:val="0000FF"/>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 Guarantor will be automatically and immediately released from its obligations under the Guaranty upon (A) such Guarantor ceasing to be a Subsidiary of the Borrower, (B) such Guarantor becoming an Immaterial Subsidiary, or (C) such Guarantor becoming an Excluded Subsidiary as a result of a transaction permitted hereunder; </w:t>
      </w:r>
      <w:r>
        <w:rPr>
          <w:rFonts w:ascii="Times New Roman" w:hAnsi="Times New Roman"/>
          <w:i/>
          <w:sz w:val="20"/>
        </w:rPr>
        <w:t xml:space="preserve">provided </w:t>
      </w:r>
      <w:r>
        <w:rPr>
          <w:rFonts w:ascii="Times New Roman" w:hAnsi="Times New Roman"/>
          <w:sz w:val="20"/>
        </w:rPr>
        <w:t xml:space="preserve">that if such Guarantor becomes an Excluded Subsidiary solely as a result of such Guarantor becoming an Excluded Subsidiary of the type described in </w:t>
      </w:r>
      <w:r>
        <w:rPr>
          <w:rFonts w:ascii="Times New Roman" w:hAnsi="Times New Roman"/>
          <w:sz w:val="20"/>
          <w:u w:val="single"/>
        </w:rPr>
        <w:t>clause (a)</w:t>
      </w:r>
      <w:r>
        <w:rPr>
          <w:rFonts w:ascii="Times New Roman" w:hAnsi="Times New Roman"/>
          <w:sz w:val="20"/>
        </w:rPr>
        <w:t> of the definition thereof, such release shall only be permitted if, at the time such Guarantor becomes such an Excluded Subsidiary, (i) no Default or Event of Default has occurred and is continuing or would result therefrom and (ii) such Guarantor so becomes such an Excluded Subsidiary as a result of a joint venture or other strategic transaction permitted hereunder that was not entered into for the primary purpose of releasing the Guaranty of such Guarantor (as determined by the Borrower in good faith) (</w:t>
      </w:r>
      <w:r>
        <w:rPr>
          <w:rFonts w:ascii="Times New Roman" w:hAnsi="Times New Roman"/>
          <w:sz w:val="20"/>
          <w:u w:val="single"/>
        </w:rPr>
        <w:t>clauses (A)-(C)</w:t>
      </w:r>
      <w:r>
        <w:rPr>
          <w:rFonts w:ascii="Times New Roman" w:hAnsi="Times New Roman"/>
          <w:sz w:val="20"/>
        </w:rPr>
        <w:t>, each a “</w:t>
      </w:r>
      <w:r>
        <w:rPr>
          <w:rFonts w:ascii="Times New Roman" w:hAnsi="Times New Roman"/>
          <w:b/>
          <w:sz w:val="20"/>
        </w:rPr>
        <w:t>Guaranty Release Event</w:t>
      </w:r>
      <w:r>
        <w:rPr>
          <w:rFonts w:ascii="Times New Roman" w:hAnsi="Times New Roman"/>
          <w:sz w:val="20"/>
        </w:rPr>
        <w:t xml:space="preserve">”), and each Secured Party irrevocably authorizes and directs the Agents to enter into, and each Agent agrees it will enter into, the necessary and advisable documents requested by the Borrower to (1) release (or acknowledge the release of) such Guarantor from its obligations under the Guaranty and (2) release (or acknowledge the release of) any Liens granted by such Subsidiary or Liens on the Equity Interests of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Administrative Agent and the Collateral Agent will exclusively exercise the rights and remedies under the Loan Documents, and neither the Lenders nor any other Secured Party will exercise such rights and remedies (other than the Required Lenders through the Administrative Agent); </w:t>
      </w:r>
      <w:r>
        <w:rPr>
          <w:rFonts w:ascii="Times New Roman" w:hAnsi="Times New Roman"/>
          <w:i/>
          <w:sz w:val="20"/>
        </w:rPr>
        <w:t>provided</w:t>
      </w:r>
      <w:r>
        <w:rPr>
          <w:rFonts w:ascii="Times New Roman" w:hAnsi="Times New Roman"/>
          <w:sz w:val="20"/>
        </w:rPr>
        <w:t xml:space="preserve"> that the foregoing shall not preclude any Lender from exercising any right of set-off in accordance with the provisions of </w:t>
      </w:r>
      <w:r>
        <w:rPr>
          <w:rFonts w:ascii="Times New Roman" w:hAnsi="Times New Roman"/>
          <w:sz w:val="20"/>
          <w:u w:val="single"/>
        </w:rPr>
        <w:t>Section 11.09</w:t>
      </w:r>
      <w:r>
        <w:rPr>
          <w:rFonts w:ascii="Times New Roman" w:hAnsi="Times New Roman"/>
          <w:sz w:val="20"/>
        </w:rPr>
        <w:t xml:space="preserve"> or enforcing compliance with the provisions set forth in </w:t>
      </w:r>
      <w:r>
        <w:rPr>
          <w:rFonts w:ascii="Times New Roman" w:hAnsi="Times New Roman"/>
          <w:sz w:val="20"/>
          <w:u w:val="single"/>
        </w:rPr>
        <w:t>Section 11.01(b)</w:t>
      </w:r>
      <w:r>
        <w:rPr>
          <w:rFonts w:ascii="Times New Roman" w:hAnsi="Times New Roman"/>
          <w:sz w:val="20"/>
        </w:rPr>
        <w:t xml:space="preserve"> or from exercising rights and remedies (other than the enforcement of Collateral) with respect to any payment default after the occurrence of the Maturity Date with respect to any Loans made by it or filing proofs of claim or appearing and filing pleadings on its own behalf during the pendency of a proceeding relative to any Loan Party under the U.S. Bankruptcy Code or any other Debtor Relief Law; and </w:t>
      </w:r>
    </w:p>
    <w:p>
      <w:pPr>
        <w:pStyle w:val="TextBody"/>
        <w:bidi w:val="0"/>
        <w:spacing w:before="240" w:after="0"/>
        <w:jc w:val="left"/>
        <w:rPr>
          <w:rFonts w:ascii="Times New Roman" w:hAnsi="Times New Roman"/>
          <w:sz w:val="20"/>
        </w:rPr>
      </w:pPr>
      <w:r>
        <w:rPr>
          <w:rFonts w:ascii="Times New Roman" w:hAnsi="Times New Roman"/>
          <w:sz w:val="20"/>
        </w:rPr>
        <w:t xml:space="preserve">(vi) the Administrative Agent and Collateral Agent shall, and the Lenders and other Secured Parties irrevocably authorize and instruct the Administrative Agent and Collateral Agent to, from time to time on and after the Closing Date, without any further consent of any Lender, Issuing Bank, counterparty to any Cash Management Obligation or Swap Obligation or other Secured Party, enter into any Intercreditor Agreement or other intercreditor agreement with the collateral agent, collateral trustee or other representative of the holders of Indebtedness that is secured by a Lien on Collateral that is expressly permitted under this Agreement. </w:t>
      </w:r>
    </w:p>
    <w:p>
      <w:pPr>
        <w:pStyle w:val="TextBody"/>
        <w:bidi w:val="0"/>
        <w:spacing w:before="240" w:after="0"/>
        <w:jc w:val="left"/>
        <w:rPr>
          <w:rFonts w:ascii="Times New Roman" w:hAnsi="Times New Roman"/>
          <w:sz w:val="20"/>
        </w:rPr>
      </w:pPr>
      <w:r>
        <w:rPr>
          <w:rFonts w:ascii="Times New Roman" w:hAnsi="Times New Roman"/>
          <w:sz w:val="20"/>
        </w:rPr>
        <w:t>Each Agent, each Lender and each other Secured Party agrees that it will promptly take such action and execute any such documents as may be reasonably requested by the Borrower (such actions and such execution, the “</w:t>
      </w:r>
      <w:r>
        <w:rPr>
          <w:rFonts w:ascii="Times New Roman" w:hAnsi="Times New Roman"/>
          <w:b/>
          <w:sz w:val="20"/>
        </w:rPr>
        <w:t>Release Actions</w:t>
      </w:r>
      <w:r>
        <w:rPr>
          <w:rFonts w:ascii="Times New Roman" w:hAnsi="Times New Roman"/>
          <w:sz w:val="20"/>
        </w:rPr>
        <w:t xml:space="preserve">”), at the Borrower’s sole cost and expense, in connection with a Lien Release </w:t>
      </w:r>
      <w:r>
        <w:rPr>
          <w:rFonts w:ascii="Times New Roman" w:hAnsi="Times New Roman"/>
          <w:strike/>
          <w:color w:val="FF0000"/>
          <w:sz w:val="20"/>
        </w:rPr>
        <w:t xml:space="preserve">Event, Release/Subordination </w:t>
      </w:r>
      <w:r>
        <w:rPr>
          <w:rFonts w:ascii="Times New Roman" w:hAnsi="Times New Roman"/>
          <w:sz w:val="20"/>
        </w:rPr>
        <w:t xml:space="preserve">Event, Permitted Consent Event or Guaranty Release Event and that such actions are not discretionary. Without limitation, the Release Actions may include, as applicable, (a) executing (if required) and delivering to the Loan Parties (or any designee of the Loan Parties) any such lien releases, mortgage releases, discharges of security interests, pledges and guarantees and other similar discharge or release documents, as are reasonably requested by a Loan Party in connection with the release, as of record, of the Liens (and all notices of security interests and Liens previously filed) the subject of a Lien Release Event or </w:t>
      </w:r>
      <w:r>
        <w:rPr>
          <w:rFonts w:ascii="Times New Roman" w:hAnsi="Times New Roman"/>
          <w:strike/>
          <w:color w:val="FF0000"/>
          <w:sz w:val="20"/>
        </w:rPr>
        <w:t xml:space="preserve">Release/Subordination Event or </w:t>
      </w:r>
      <w:r>
        <w:rPr>
          <w:rFonts w:ascii="Times New Roman" w:hAnsi="Times New Roman"/>
          <w:sz w:val="20"/>
        </w:rPr>
        <w:t xml:space="preserve">the release of any applicable Guarantee in connection with a Guaranty Release Event and (b) delivering to the Loan Parties (or any designee of the Loan Parties) all instruments evidencing pledged debt and all equity certificates and any other collateral previously delivered in physical form by the Loan Parties to a Secured Party.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Lien Release </w:t>
      </w:r>
      <w:r>
        <w:rPr>
          <w:rFonts w:ascii="Times New Roman" w:hAnsi="Times New Roman"/>
          <w:strike/>
          <w:color w:val="FF0000"/>
          <w:sz w:val="20"/>
        </w:rPr>
        <w:t xml:space="preserve">Event, Release/Subordination </w:t>
      </w:r>
      <w:r>
        <w:rPr>
          <w:rFonts w:ascii="Times New Roman" w:hAnsi="Times New Roman"/>
          <w:sz w:val="20"/>
        </w:rPr>
        <w:t>Event, Permitted Consent Event, Guaranty Release Event or Release Action, each of the Collateral Agent and the Administrative Agent shall be entitled to rely and shall rely exclusively on an officer’s certificate of the Borrower (the “</w:t>
      </w:r>
      <w:r>
        <w:rPr>
          <w:rFonts w:ascii="Times New Roman" w:hAnsi="Times New Roman"/>
          <w:b/>
          <w:sz w:val="20"/>
        </w:rPr>
        <w:t>Release Certificate</w:t>
      </w:r>
      <w:r>
        <w:rPr>
          <w:rFonts w:ascii="Times New Roman" w:hAnsi="Times New Roman"/>
          <w:sz w:val="20"/>
        </w:rPr>
        <w:t>”)</w:t>
      </w:r>
      <w:r>
        <w:rPr>
          <w:rFonts w:ascii="Times New Roman" w:hAnsi="Times New Roman"/>
          <w:color w:val="0000FF"/>
          <w:sz w:val="20"/>
          <w:u w:val="single"/>
          <w:bdr w:val="double" w:sz="2" w:space="1" w:color="000000"/>
        </w:rPr>
        <w:t>,</w:t>
      </w:r>
      <w:r>
        <w:rPr>
          <w:rFonts w:ascii="Times New Roman" w:hAnsi="Times New Roman"/>
          <w:sz w:val="20"/>
        </w:rPr>
        <w:t xml:space="preserve"> confirming that (a) such Lien Release </w:t>
      </w:r>
      <w:r>
        <w:rPr>
          <w:rFonts w:ascii="Times New Roman" w:hAnsi="Times New Roman"/>
          <w:strike/>
          <w:color w:val="FF0000"/>
          <w:sz w:val="20"/>
        </w:rPr>
        <w:t xml:space="preserve">Event,Release/Subordination </w:t>
      </w:r>
      <w:r>
        <w:rPr>
          <w:rFonts w:ascii="Times New Roman" w:hAnsi="Times New Roman"/>
          <w:sz w:val="20"/>
        </w:rPr>
        <w:t xml:space="preserve">Event, Permitted Consent Event or a Guaranty Release Event, as applicable, has occurred or will upon consummation of one or more identified transactions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Identified Transaction</w:t>
      </w:r>
      <w:r>
        <w:rPr>
          <w:rFonts w:ascii="Times New Roman" w:hAnsi="Times New Roman"/>
          <w:sz w:val="20"/>
        </w:rPr>
        <w:t xml:space="preserve">”) occur, (b) the conditions to any such Lien Release Event, </w:t>
      </w:r>
      <w:r>
        <w:rPr>
          <w:rFonts w:ascii="Times New Roman" w:hAnsi="Times New Roman"/>
          <w:strike/>
          <w:color w:val="FF0000"/>
          <w:sz w:val="20"/>
        </w:rPr>
        <w:t xml:space="preserve">Release/Subordination Event, </w:t>
      </w:r>
      <w:r>
        <w:rPr>
          <w:rFonts w:ascii="Times New Roman" w:hAnsi="Times New Roman"/>
          <w:sz w:val="20"/>
        </w:rPr>
        <w:t xml:space="preserve">Permitted Consent Event or Guaranty Release Event have occurred or will occur upon consummation of an Identified Transaction, and (c) that any such Identified Transaction is permitted by (or not prohibited by) the Loan Documents. The Collateral Agent and the Administrative Agent will be fully exculpated from any liability and shall be fully protected and shall not have any liability whatsoever to any Secured Party as a result of such reliance or the consummation of any Release Action. A Release Certificate may be delivered in advance of the consummation of any applicable Identified Transaction. </w:t>
      </w:r>
    </w:p>
    <w:p>
      <w:pPr>
        <w:pStyle w:val="TextBody"/>
        <w:bidi w:val="0"/>
        <w:spacing w:before="240" w:after="0"/>
        <w:jc w:val="left"/>
        <w:rPr>
          <w:rFonts w:ascii="Times New Roman" w:hAnsi="Times New Roman"/>
          <w:sz w:val="20"/>
        </w:rPr>
      </w:pPr>
      <w:r>
        <w:rPr>
          <w:rFonts w:ascii="Times New Roman" w:hAnsi="Times New Roman"/>
          <w:sz w:val="20"/>
        </w:rPr>
        <w:t xml:space="preserve">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w:t>
      </w:r>
      <w:r>
        <w:rPr>
          <w:rFonts w:ascii="Times New Roman" w:hAnsi="Times New Roman"/>
          <w:sz w:val="20"/>
          <w:u w:val="single"/>
        </w:rPr>
        <w:t>Section 10.11</w:t>
      </w:r>
      <w:r>
        <w:rPr>
          <w:rFonts w:ascii="Times New Roman" w:hAnsi="Times New Roman"/>
          <w:sz w:val="20"/>
        </w:rPr>
        <w:t xml:space="preserve">. Neither the Administrative Agent nor the Collateral Agent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 Administrative Agent or Collateral Agent be responsible or liable to the Lenders for any failure to monitor or maintain any portion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(b) Anything contained in any of the Loan Documents to the contrary notwithstanding, each Agent, each Lender and each Secured Party hereby agree that: </w:t>
      </w:r>
    </w:p>
    <w:p>
      <w:pPr>
        <w:pStyle w:val="TextBody"/>
        <w:bidi w:val="0"/>
        <w:spacing w:before="120" w:after="0"/>
        <w:jc w:val="left"/>
        <w:rPr>
          <w:rFonts w:ascii="Times New Roman" w:hAnsi="Times New Roman"/>
          <w:sz w:val="20"/>
        </w:rPr>
      </w:pPr>
      <w:r>
        <w:rPr>
          <w:rFonts w:ascii="Times New Roman" w:hAnsi="Times New Roman"/>
          <w:sz w:val="20"/>
        </w:rPr>
        <w:t xml:space="preserve">(i) no Lender or other Secured Party shall have any right individually to realize upon any of the Collateral or to enforce the Guaranty or any other Loan Document, it being understood and agreed that all powers, rights and remedies hereunder and under any of the Loan Documents may be exercised solely by the Administrative Agent or the Collateral Agent, as applicable, for the benefit of the Lenders in accordance with the terms hereof and thereof, and all powers, rights and remedies under the Collateral Documents may be exercised solely by the Collateral Agent for the benefit of the Lenders in accordance with the terms thereof;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of a foreclosure or similar enforcement action by the Collateral Agent on any of the Collateral pursuant to a public or private sale or other disposition (including, without limitation, pursuant to Section 363(k), Section 1129(b)(2)(a)(ii) or otherwise of the U.S. Bankruptcy Code), only the Collateral Agent (except with respect to a “credit bid” pursuant to Section 363(k), Section 1129(b)(2)(a)(ii) or otherwise of the U.S. Bankruptcy Code) may be the purchaser or licensor of any or all of such Collateral at any such sale or other disposition, and the Collateral Agent, as agent for and representative of Lenders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w:t>
      </w:r>
    </w:p>
    <w:p>
      <w:pPr>
        <w:pStyle w:val="TextBody"/>
        <w:bidi w:val="0"/>
        <w:spacing w:before="0" w:after="0"/>
        <w:jc w:val="left"/>
        <w:rPr>
          <w:rFonts w:ascii="Times New Roman" w:hAnsi="Times New Roman"/>
          <w:sz w:val="20"/>
        </w:rPr>
      </w:pPr>
      <w:r>
        <w:rPr>
          <w:rFonts w:ascii="Times New Roman" w:hAnsi="Times New Roman"/>
          <w:sz w:val="20"/>
        </w:rPr>
        <w:t xml:space="preserve">purchase price for any collateral payable by the Collateral Agent at such sale or other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provision of any Loan Documents shall require the creation, perfection or maintenance of pledges of or security interests or hypothecs in, or the obtaining of title insurance or abstracts with respect to, any Excluded Assets and any other particular assets, if and for so long as, in the reasonable judgment of the Administrative Agent (as so directed to the Collateral Agent), the cost of creating, perfecting or maintaining such pledges or security interests or hypothecs in such other particular assets or obtaining title insurance or abstracts in respect of such other particular assets is excessive in view of the Fair Market Value of such assets or the practical benefit to the Lenders afforded thereby; and </w:t>
      </w:r>
    </w:p>
    <w:p>
      <w:pPr>
        <w:pStyle w:val="TextBody"/>
        <w:bidi w:val="0"/>
        <w:spacing w:before="120" w:after="0"/>
        <w:jc w:val="left"/>
        <w:rPr>
          <w:rFonts w:ascii="Times New Roman" w:hAnsi="Times New Roman"/>
          <w:sz w:val="20"/>
        </w:rPr>
      </w:pPr>
      <w:r>
        <w:rPr>
          <w:rFonts w:ascii="Times New Roman" w:hAnsi="Times New Roman"/>
          <w:sz w:val="20"/>
        </w:rPr>
        <w:t xml:space="preserve">(iv) the Administrative Agent (as so directed to the Collateral Agent) may grant extensions of time for the creation or perfection of security interests or hypothecs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Borrower, that creation or perfection cannot be accomplished without undue effort or expense by the time or times at which it would otherwise be required by this Agreement or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Appointment of Supplemental Administrative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collateral trustee, administrative sub-agent or administrative co-agent (any such additional individual or institution being referred to herein individually, as a “</w:t>
      </w:r>
      <w:r>
        <w:rPr>
          <w:rFonts w:ascii="Times New Roman" w:hAnsi="Times New Roman"/>
          <w:b/>
          <w:sz w:val="20"/>
        </w:rPr>
        <w:t>Supplemental Administrative Agent</w:t>
      </w:r>
      <w:r>
        <w:rPr>
          <w:rFonts w:ascii="Times New Roman" w:hAnsi="Times New Roman"/>
          <w:sz w:val="20"/>
        </w:rPr>
        <w:t>” and, collectively, as “</w:t>
      </w:r>
      <w:r>
        <w:rPr>
          <w:rFonts w:ascii="Times New Roman" w:hAnsi="Times New Roman"/>
          <w:b/>
          <w:sz w:val="20"/>
        </w:rPr>
        <w:t>Supplemental</w:t>
      </w:r>
      <w:r>
        <w:rPr>
          <w:rFonts w:ascii="Times New Roman" w:hAnsi="Times New Roman"/>
          <w:sz w:val="20"/>
        </w:rPr>
        <w:t xml:space="preserve"> </w:t>
      </w:r>
      <w:r>
        <w:rPr>
          <w:rFonts w:ascii="Times New Roman" w:hAnsi="Times New Roman"/>
          <w:b/>
          <w:sz w:val="20"/>
        </w:rPr>
        <w:t>Administrative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hAnsi="Times New Roman"/>
          <w:sz w:val="20"/>
          <w:u w:val="single"/>
        </w:rPr>
        <w:t>Article X</w:t>
      </w:r>
      <w:r>
        <w:rPr>
          <w:rFonts w:ascii="Times New Roman" w:hAnsi="Times New Roman"/>
          <w:sz w:val="20"/>
        </w:rPr>
        <w:t xml:space="preserve"> and of </w:t>
      </w:r>
      <w:r>
        <w:rPr>
          <w:rFonts w:ascii="Times New Roman" w:hAnsi="Times New Roman"/>
          <w:sz w:val="20"/>
          <w:u w:val="single"/>
        </w:rPr>
        <w:t>Sections 11.04</w:t>
      </w:r>
      <w:r>
        <w:rPr>
          <w:rFonts w:ascii="Times New Roman" w:hAnsi="Times New Roman"/>
          <w:sz w:val="20"/>
        </w:rPr>
        <w:t xml:space="preserve"> and </w:t>
      </w:r>
      <w:r>
        <w:rPr>
          <w:rFonts w:ascii="Times New Roman" w:hAnsi="Times New Roman"/>
          <w:sz w:val="20"/>
          <w:u w:val="single"/>
        </w:rPr>
        <w:t>11.05</w:t>
      </w:r>
      <w:r>
        <w:rPr>
          <w:rFonts w:ascii="Times New Roman" w:hAnsi="Times New Roman"/>
          <w:sz w:val="20"/>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(c) 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Intercreditor Agreements</w:t>
      </w:r>
      <w:r>
        <w:rPr>
          <w:rFonts w:ascii="Times New Roman" w:hAnsi="Times New Roman"/>
          <w:sz w:val="20"/>
        </w:rPr>
        <w:t xml:space="preserve">. Notwithstanding anything to the contrary set forth in any Loan Document, to the extent the Administrative Agent enters into a Junior Lien Intercreditor Agreement (including, for the avoidance of doubt, pursuant to a joinder to the Existing Junior Lien Intercreditor Agreement), an Equal Priority Intercreditor Agreement or any other Intercreditor Agreement in accordance with the terms hereof, this Agreement will be subject to the terms and provisions of such Intercreditor Agreements, as applicable. In the event of any inconsistency between the provisions of this Agreement or any other Loan Document and the Junior Lien Intercreditor Agreement or any other Intercreditor Agreement, the provisions of the Junior Lien Intercreditor Agreement or such other Intercreditor Agreement govern and control. The Lenders acknowledge and agree that each Agent is authorized to, and each Agent agrees that, with respect to any secured Indebtedness, upon request by the Borrower, it shall, enter into a Junior Lien Intercreditor Agreement or an Equal Priority Intercreditor Agreement, as applicable, or any other Intercreditor Agreement with the Collateral Agent or other Debt Representative of the holders of such Indebtedness unless such Indebtedness and any related Liens (including the priority of such Liens) are not permitted by Sections 7.01 and 7.03, respectively, of this Agreement. The Lenders hereby authorize and instruct the Administrative Agent to (a) enter into any such Junior Lien Intercreditor Agreement, Equal Priority Intercreditor Agreement or any such other Intercreditor Agreement, (b) bind the Lenders on the terms set forth in such Junior Lien Intercreditor Agreement, Equal Priority Intercreditor Agreement or any such other Intercreditor Agreement and (c) perform and observe its obligations under such Junior Lien Intercreditor Agreement, Equal Priority Intercreditor Agreement or any such other Intercreditor Agreement. The Agents and each Secured Party agree that the Agents shall be entitled to rely and shall rely exclusively on an officer’s certificate of the Borrower in determining whether it is permitted to enter into an Intercreditor Agreement pursuant to this Section. Each Secured Party covenants and agrees not to give the Collateral Agent or Administrative Agent any instruction that is not consistent with the provisions of this </w:t>
      </w:r>
      <w:r>
        <w:rPr>
          <w:rFonts w:ascii="Times New Roman" w:hAnsi="Times New Roman"/>
          <w:sz w:val="20"/>
          <w:u w:val="single"/>
        </w:rPr>
        <w:t>Section 10.13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Cash Management Agreements and Hedge Agreements</w:t>
      </w:r>
      <w:r>
        <w:rPr>
          <w:rFonts w:ascii="Times New Roman" w:hAnsi="Times New Roman"/>
          <w:sz w:val="20"/>
        </w:rPr>
        <w:t xml:space="preserve">. Except as otherwise expressly set forth herein or in any Guaranty or any Collateral Document, no Cash Management Bank or Hedge Bank that obtains the benefits of </w:t>
      </w:r>
      <w:r>
        <w:rPr>
          <w:rFonts w:ascii="Times New Roman" w:hAnsi="Times New Roman"/>
          <w:sz w:val="20"/>
          <w:u w:val="single"/>
        </w:rPr>
        <w:t>Section 9.03</w:t>
      </w:r>
      <w:r>
        <w:rPr>
          <w:rFonts w:ascii="Times New Roman" w:hAnsi="Times New Roman"/>
          <w:sz w:val="20"/>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or any Guaranty (including the release or impairment of any Collateral or Guaranty) other than in its capacity as a Lender and, in such case, only to the extent expressly provided in the Loan Documents. Notwithstanding any other provision of this </w:t>
      </w:r>
      <w:r>
        <w:rPr>
          <w:rFonts w:ascii="Times New Roman" w:hAnsi="Times New Roman"/>
          <w:sz w:val="20"/>
          <w:u w:val="single"/>
        </w:rPr>
        <w:t>Article X</w:t>
      </w:r>
      <w:r>
        <w:rPr>
          <w:rFonts w:ascii="Times New Roman" w:hAnsi="Times New Roman"/>
          <w:sz w:val="20"/>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Cash Management Obligations or such Obligations arising under Secured Hedge Agreements, together with such supporting documentation as the Administrative Agent may request, from the applicable Cash Management Bank or Hedge Bank,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Withholding Taxes</w:t>
      </w:r>
      <w:r>
        <w:rPr>
          <w:rFonts w:ascii="Times New Roman" w:hAnsi="Times New Roman"/>
          <w:sz w:val="20"/>
        </w:rPr>
        <w:t xml:space="preserve">. To the extent required by any applicable Law, the Administrative Agent may withhold from any payment to any Lender an amount equivalent to any applicable withholding Tax. If any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(1) represents and warrants, as of the date such Person became a Lender party hereto, to, and (2)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any of the Loan Parties,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for purposes of Title I of ERISA or Section 4975 of the Code) of one or more Benefit Plans in connection with the Loans, the Letters of Credit, the Commitments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and each other Lead Arranger, on the one hand, in their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(b) In addition, unless either (1)</w:t>
      </w:r>
      <w:r>
        <w:rPr>
          <w:rFonts w:ascii="Times New Roman" w:hAnsi="Times New Roman"/>
          <w:sz w:val="20"/>
          <w:u w:val="single"/>
        </w:rPr>
        <w:t> sub-clause (i)</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is true with respect to a Lender or (2) a Lender has provided another representation, warranty and covenant in accordance with sub-clause (iv) in the immediately preceding </w:t>
      </w:r>
      <w:r>
        <w:rPr>
          <w:rFonts w:ascii="Times New Roman" w:hAnsi="Times New Roman"/>
          <w:sz w:val="20"/>
          <w:u w:val="single"/>
        </w:rPr>
        <w:t>clause (a)</w:t>
      </w:r>
      <w:r>
        <w:rPr>
          <w:rFonts w:ascii="Times New Roman" w:hAnsi="Times New Roman"/>
          <w:sz w:val="20"/>
        </w:rPr>
        <w:t xml:space="preserve">, such Lender further (1) represents and warrants, as of the date such Person became a Lender party hereto, to and (2)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the Borrower or any other Loan Party, that none of the Administrative Agent or any other Lead Arranger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Administrative Agent notifies a Lender, Issuing Bank or Secured Party, or any Person who has received funds on behalf of a Lender, Issuing Bank or Secured Party (any such Lender, Issuing Bank, Secured Party or other recipient, a “</w:t>
      </w:r>
      <w:r>
        <w:rPr>
          <w:rFonts w:ascii="Times New Roman" w:hAnsi="Times New Roman"/>
          <w:b/>
          <w:sz w:val="20"/>
        </w:rPr>
        <w:t>Payment Recipient</w:t>
      </w:r>
      <w:r>
        <w:rPr>
          <w:rFonts w:ascii="Times New Roman" w:hAnsi="Times New Roman"/>
          <w:sz w:val="20"/>
        </w:rPr>
        <w:t xml:space="preserve">”) that the Administrative Agent has determined in its sole discretion (whether or not after receipt of any notice under immediately succeeding </w:t>
      </w:r>
      <w:r>
        <w:rPr>
          <w:rFonts w:ascii="Times New Roman" w:hAnsi="Times New Roman"/>
          <w:sz w:val="20"/>
          <w:u w:val="single"/>
        </w:rPr>
        <w:t>clause (b)</w:t>
      </w:r>
      <w:r>
        <w:rPr>
          <w:rFonts w:ascii="Times New Roman" w:hAnsi="Times New Roman"/>
          <w:sz w:val="20"/>
        </w:rPr>
        <w:t xml:space="preserve">) that any funds received by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hAnsi="Times New Roman"/>
          <w:b/>
          <w:sz w:val="20"/>
        </w:rPr>
        <w:t>Erroneous Payment</w:t>
      </w:r>
      <w:r>
        <w:rPr>
          <w:rFonts w:ascii="Times New Roman" w:hAnsi="Times New Roman"/>
          <w:sz w:val="20"/>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Overnight Rate. A notice of the Administrative Agent to any Payment Recipient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xml:space="preserve">, each Lender, Issuing Bank or Secured Party, or any Person who has received funds on behalf of a Lender, Issuing Bank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that such Lender, Issuing Bank or Secured Party, or other such recipient, otherwise becomes aware was transmitted, or received, in error or by mistake (in whole or in part) in each case: </w:t>
      </w:r>
    </w:p>
    <w:p>
      <w:pPr>
        <w:pStyle w:val="TextBody"/>
        <w:bidi w:val="0"/>
        <w:spacing w:before="120" w:after="0"/>
        <w:jc w:val="left"/>
        <w:rPr>
          <w:rFonts w:ascii="Times New Roman" w:hAnsi="Times New Roman"/>
          <w:sz w:val="20"/>
        </w:rPr>
      </w:pPr>
      <w:r>
        <w:rPr>
          <w:rFonts w:ascii="Times New Roman" w:hAnsi="Times New Roman"/>
          <w:sz w:val="20"/>
        </w:rPr>
        <w:t xml:space="preserve">(i) (A) in the case of immediately preceding </w:t>
      </w:r>
      <w:r>
        <w:rPr>
          <w:rFonts w:ascii="Times New Roman" w:hAnsi="Times New Roman"/>
          <w:sz w:val="20"/>
          <w:u w:val="single"/>
        </w:rPr>
        <w:t>clauses (x)</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an error shall be presumed to have been made (absent written confirmation from the Administrative Agent to the contrary) or (B) an error has been made (in the case of immediately preceding </w:t>
      </w:r>
      <w:r>
        <w:rPr>
          <w:rFonts w:ascii="Times New Roman" w:hAnsi="Times New Roman"/>
          <w:sz w:val="20"/>
          <w:u w:val="single"/>
        </w:rPr>
        <w:t>clause (z)</w:t>
      </w:r>
      <w:r>
        <w:rPr>
          <w:rFonts w:ascii="Times New Roman" w:hAnsi="Times New Roman"/>
          <w:sz w:val="20"/>
        </w:rPr>
        <w:t xml:space="preserve">), in each case, with respect to such payment, prepayment or repayment; and </w:t>
      </w:r>
    </w:p>
    <w:p>
      <w:pPr>
        <w:pStyle w:val="TextBody"/>
        <w:bidi w:val="0"/>
        <w:spacing w:before="120" w:after="0"/>
        <w:jc w:val="left"/>
        <w:rPr>
          <w:rFonts w:ascii="Times New Roman" w:hAnsi="Times New Roman"/>
          <w:sz w:val="20"/>
        </w:rPr>
      </w:pPr>
      <w:r>
        <w:rPr>
          <w:rFonts w:ascii="Times New Roman" w:hAnsi="Times New Roman"/>
          <w:sz w:val="20"/>
        </w:rPr>
        <w:t xml:space="preserve">(ii) 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sz w:val="20"/>
          <w:u w:val="single"/>
        </w:rPr>
        <w:t>Section 10.17(b)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Lender, Issuing Bank or Secured Party hereby authorizes the Administrative Agent to set off, net and apply any and all amounts at any time owing to such Lender, Issuing Bank or Secured Party under any Loan Document against any amount due to the Administrative Agent under immediately preceding </w:t>
      </w:r>
      <w:r>
        <w:rPr>
          <w:rFonts w:ascii="Times New Roman" w:hAnsi="Times New Roman"/>
          <w:sz w:val="20"/>
          <w:u w:val="single"/>
        </w:rPr>
        <w:t>clause (a)</w:t>
      </w:r>
      <w:r>
        <w:rPr>
          <w:rFonts w:ascii="Times New Roman" w:hAnsi="Times New Roman"/>
          <w:sz w:val="20"/>
        </w:rPr>
        <w:t xml:space="preserve"> or under the indemnification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an Erroneous Payment (or portion thereof) is not recovered by the Administrative Agent for any reason, after demand therefor by the Administrative Agent in accordance with immediately preceding </w:t>
      </w:r>
      <w:r>
        <w:rPr>
          <w:rFonts w:ascii="Times New Roman" w:hAnsi="Times New Roman"/>
          <w:sz w:val="20"/>
          <w:u w:val="single"/>
        </w:rPr>
        <w:t>clause (a)</w:t>
      </w:r>
      <w:r>
        <w:rPr>
          <w:rFonts w:ascii="Times New Roman" w:hAnsi="Times New Roman"/>
          <w:sz w:val="20"/>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hAnsi="Times New Roman"/>
          <w:b/>
          <w:sz w:val="20"/>
        </w:rPr>
        <w:t>Erroneous Payment Return Deficiency</w:t>
      </w:r>
      <w:r>
        <w:rPr>
          <w:rFonts w:ascii="Times New Roman" w:hAnsi="Times New Roman"/>
          <w:sz w:val="20"/>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hAnsi="Times New Roman"/>
          <w:b/>
          <w:sz w:val="20"/>
        </w:rPr>
        <w:t>Erroneous Payment Impacted Class</w:t>
      </w:r>
      <w:r>
        <w:rPr>
          <w:rFonts w:ascii="Times New Roman" w:hAnsi="Times New Roman"/>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b/>
          <w:sz w:val="20"/>
        </w:rPr>
        <w:t>Erroneous Payment Deficiency Assignment</w:t>
      </w:r>
      <w:r>
        <w:rPr>
          <w:rFonts w:ascii="Times New Roman" w:hAnsi="Times New Roman"/>
          <w:sz w:val="20"/>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Issuing Bank shall deliver any Revolving Loan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 w:hAnsi="Times New Roman"/>
          <w:b/>
          <w:sz w:val="20"/>
        </w:rPr>
        <w:t>Erroneous Payment Subrogation Rights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(g) Each party’s obligations, agreements and waivers under this </w:t>
      </w:r>
      <w:r>
        <w:rPr>
          <w:rFonts w:ascii="Times New Roman" w:hAnsi="Times New Roman"/>
          <w:sz w:val="20"/>
          <w:u w:val="single"/>
        </w:rPr>
        <w:t>Section 10.17</w:t>
      </w:r>
      <w:r>
        <w:rPr>
          <w:rFonts w:ascii="Times New Roman" w:hAnsi="Times New Roman"/>
          <w:sz w:val="20"/>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Amendments, Waivers,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Rule</w:t>
      </w:r>
      <w:r>
        <w:rPr>
          <w:rFonts w:ascii="Times New Roman" w:hAnsi="Times New Roman"/>
          <w:sz w:val="20"/>
        </w:rPr>
        <w:t xml:space="preserve">.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Any amendment or waiver of this Agreement or any other Loan Document that affects the Collateral Agent’s rights, protections, immunities, indemnities, duties or obligations, shall not be effective unless consented to by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Lender Approvals</w:t>
      </w:r>
      <w:r>
        <w:rPr>
          <w:rFonts w:ascii="Times New Roman" w:hAnsi="Times New Roman"/>
          <w:sz w:val="20"/>
        </w:rPr>
        <w:t xml:space="preserve">. Notwithstanding the provisions of </w:t>
      </w:r>
      <w:r>
        <w:rPr>
          <w:rFonts w:ascii="Times New Roman" w:hAnsi="Times New Roman"/>
          <w:sz w:val="20"/>
          <w:u w:val="single"/>
        </w:rPr>
        <w:t>Section 11.01(a)</w:t>
      </w:r>
      <w:r>
        <w:rPr>
          <w:rFonts w:ascii="Times New Roman" w:hAnsi="Times New Roman"/>
          <w:sz w:val="20"/>
        </w:rPr>
        <w:t xml:space="preserve">, no such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(i) extend or increase the Commitment of any Lender, increase the Total Utilization of Commitments (or otherwise waive any excess of Total Utilization of Commitments above the Commitments then in effect) or extend the final expiration date of any Letter of Credit beyond the Letter of Credit Expiration Date without the written consent of each Lender directly and adversely affected thereby, it being understood that a waiver of any condition precedent set forth in </w:t>
      </w:r>
      <w:r>
        <w:rPr>
          <w:rFonts w:ascii="Times New Roman" w:hAnsi="Times New Roman"/>
          <w:sz w:val="20"/>
          <w:u w:val="single"/>
        </w:rPr>
        <w:t>Section 4.03</w:t>
      </w:r>
      <w:r>
        <w:rPr>
          <w:rFonts w:ascii="Times New Roman" w:hAnsi="Times New Roman"/>
          <w:sz w:val="20"/>
        </w:rPr>
        <w:t xml:space="preserve"> or the waiver of any Default, mandatory prepayment or mandatory reduction of the Commitments shall not constitute an extension or increase of any Commitment of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postpone any date scheduled for, or reduce the amount of, any payment of principal or interest with respect to any Loan or Letter of Credit or with respect to any fees payable under </w:t>
      </w:r>
      <w:r>
        <w:rPr>
          <w:rFonts w:ascii="Times New Roman" w:hAnsi="Times New Roman"/>
          <w:sz w:val="20"/>
          <w:u w:val="single"/>
        </w:rPr>
        <w:t>Section 2.11(b)</w:t>
      </w:r>
      <w:r>
        <w:rPr>
          <w:rFonts w:ascii="Times New Roman" w:hAnsi="Times New Roman"/>
          <w:sz w:val="20"/>
        </w:rPr>
        <w:t xml:space="preserve"> without the written consent of each Lender directly and adversely affected thereby, it being understood that a waiver of any mandatory prepayment set forth in </w:t>
      </w:r>
      <w:r>
        <w:rPr>
          <w:rFonts w:ascii="Times New Roman" w:hAnsi="Times New Roman"/>
          <w:sz w:val="20"/>
          <w:u w:val="single"/>
        </w:rPr>
        <w:t>Section 2.07(b)</w:t>
      </w:r>
      <w:r>
        <w:rPr>
          <w:rFonts w:ascii="Times New Roman" w:hAnsi="Times New Roman"/>
          <w:sz w:val="20"/>
        </w:rPr>
        <w:t xml:space="preserve"> (other than </w:t>
      </w:r>
      <w:r>
        <w:rPr>
          <w:rFonts w:ascii="Times New Roman" w:hAnsi="Times New Roman"/>
          <w:sz w:val="20"/>
          <w:u w:val="single"/>
        </w:rPr>
        <w:t>Section 2.07(b)</w:t>
      </w:r>
      <w:r>
        <w:rPr>
          <w:rFonts w:ascii="Times New Roman" w:hAnsi="Times New Roman"/>
          <w:sz w:val="20"/>
        </w:rPr>
        <w:t xml:space="preserve">(i)) or the waiver of any Default (other than a Default under </w:t>
      </w:r>
      <w:r>
        <w:rPr>
          <w:rFonts w:ascii="Times New Roman" w:hAnsi="Times New Roman"/>
          <w:sz w:val="20"/>
          <w:u w:val="single"/>
        </w:rPr>
        <w:t>Section 9.01(a))</w:t>
      </w:r>
      <w:r>
        <w:rPr>
          <w:rFonts w:ascii="Times New Roman" w:hAnsi="Times New Roman"/>
          <w:sz w:val="20"/>
        </w:rPr>
        <w:t xml:space="preserve"> shall not constitute a postponement of any date scheduled for, or a reduction in the amount of, any payment of interest or any payment of fees;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principal of, or the rate of interest specified herein on, any Loan or Letter of Credit or any fees or other amounts payable hereunder or under any other Loan Document (except interest due at the Default Rate or as expressly set forth in </w:t>
      </w:r>
      <w:r>
        <w:rPr>
          <w:rFonts w:ascii="Times New Roman" w:hAnsi="Times New Roman"/>
          <w:sz w:val="20"/>
          <w:u w:val="single"/>
        </w:rPr>
        <w:t>clause (h)</w:t>
      </w:r>
      <w:r>
        <w:rPr>
          <w:rFonts w:ascii="Times New Roman" w:hAnsi="Times New Roman"/>
          <w:sz w:val="20"/>
        </w:rPr>
        <w:t xml:space="preserve"> of this </w:t>
      </w:r>
      <w:r>
        <w:rPr>
          <w:rFonts w:ascii="Times New Roman" w:hAnsi="Times New Roman"/>
          <w:sz w:val="20"/>
          <w:u w:val="single"/>
        </w:rPr>
        <w:t>Section 11.01</w:t>
      </w:r>
      <w:r>
        <w:rPr>
          <w:rFonts w:ascii="Times New Roman" w:hAnsi="Times New Roman"/>
          <w:sz w:val="20"/>
        </w:rPr>
        <w:t xml:space="preserve">) (including by modifying the “Grid” set forth in the definition of “Applicable Rate”) without the written consent of each Lender, it being understood that any change to the definitions of Total Net Leverage Ratio or in the component definitions thereof shall not constitute a reduction in the rate of interest as long as the intent of such change is not to cause a reduced interest rate; </w:t>
      </w:r>
    </w:p>
    <w:p>
      <w:pPr>
        <w:pStyle w:val="TextBody"/>
        <w:bidi w:val="0"/>
        <w:spacing w:before="120" w:after="0"/>
        <w:jc w:val="left"/>
        <w:rPr>
          <w:rFonts w:ascii="Times New Roman" w:hAnsi="Times New Roman"/>
          <w:sz w:val="20"/>
        </w:rPr>
      </w:pPr>
      <w:r>
        <w:rPr>
          <w:rFonts w:ascii="Times New Roman" w:hAnsi="Times New Roman"/>
          <w:sz w:val="20"/>
        </w:rPr>
        <w:t xml:space="preserve">(iv) change any provision of this </w:t>
      </w:r>
      <w:r>
        <w:rPr>
          <w:rFonts w:ascii="Times New Roman" w:hAnsi="Times New Roman"/>
          <w:sz w:val="20"/>
          <w:u w:val="single"/>
        </w:rPr>
        <w:t>Section 11.01</w:t>
      </w:r>
      <w:r>
        <w:rPr>
          <w:rFonts w:ascii="Times New Roman" w:hAnsi="Times New Roman"/>
          <w:sz w:val="20"/>
        </w:rPr>
        <w:t xml:space="preserve"> or the definition of “Required Lenders” or “Pro Rata Share” or any other provision specifying the number of Lenders or portion of the Loans or Commitments required to take any action under the Loan Documents,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 other than in connection with a transfer or other transaction permitted under the Loan Documents (including, for the avoidance of doubt, Permitted Reflagging Transactions), (i) release all or substantially all of the Collateral in any transaction or series of related transactions, without the written consent of each Lender or (ii) release any Vessel Collateral representing in the aggregate for all such released Vessel Collateral a Vessel Collateral Value Amount in excess of the greater of $180,400,000 or 10% of the aggregate Vessel Collateral Value Amount as determined on or about the applicable release date or date of entry into a binding commitment to release (but, in any case, no earlier than thirty (30) days prior to the applicable release date or entry date,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(vi) other than in connection with a transfer or other transaction permitted under the Loan Documents, release all or substantially all of the aggregate value of the Guaranty or all or substantially all of the Guarantors or the Borrower,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(vii) modify </w:t>
      </w:r>
      <w:r>
        <w:rPr>
          <w:rFonts w:ascii="Times New Roman" w:hAnsi="Times New Roman"/>
          <w:sz w:val="20"/>
          <w:u w:val="single"/>
        </w:rPr>
        <w:t>Section 2.15</w:t>
      </w:r>
      <w:r>
        <w:rPr>
          <w:rFonts w:ascii="Times New Roman" w:hAnsi="Times New Roman"/>
          <w:sz w:val="20"/>
        </w:rPr>
        <w:t xml:space="preserve"> or </w:t>
      </w:r>
      <w:r>
        <w:rPr>
          <w:rFonts w:ascii="Times New Roman" w:hAnsi="Times New Roman"/>
          <w:sz w:val="20"/>
          <w:u w:val="single"/>
        </w:rPr>
        <w:t>9.03</w:t>
      </w:r>
      <w:r>
        <w:rPr>
          <w:rFonts w:ascii="Times New Roman" w:hAnsi="Times New Roman"/>
          <w:sz w:val="20"/>
        </w:rPr>
        <w:t xml:space="preserve"> without the written consent of each Lender directly and adversely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modify </w:t>
      </w:r>
      <w:r>
        <w:rPr>
          <w:rFonts w:ascii="Times New Roman" w:hAnsi="Times New Roman"/>
          <w:sz w:val="20"/>
          <w:u w:val="single"/>
        </w:rPr>
        <w:t>Section 2.16(b)</w:t>
      </w:r>
      <w:r>
        <w:rPr>
          <w:rFonts w:ascii="Times New Roman" w:hAnsi="Times New Roman"/>
          <w:sz w:val="20"/>
        </w:rPr>
        <w:t xml:space="preserve">, </w:t>
      </w:r>
      <w:r>
        <w:rPr>
          <w:rFonts w:ascii="Times New Roman" w:hAnsi="Times New Roman"/>
          <w:sz w:val="20"/>
          <w:u w:val="single"/>
        </w:rPr>
        <w:t>Section 4.01</w:t>
      </w:r>
      <w:r>
        <w:rPr>
          <w:rFonts w:ascii="Times New Roman" w:hAnsi="Times New Roman"/>
          <w:sz w:val="20"/>
        </w:rPr>
        <w:t xml:space="preserve">, </w:t>
      </w:r>
      <w:r>
        <w:rPr>
          <w:rFonts w:ascii="Times New Roman" w:hAnsi="Times New Roman"/>
          <w:sz w:val="20"/>
          <w:u w:val="single"/>
        </w:rPr>
        <w:t>Section 4.02</w:t>
      </w:r>
      <w:r>
        <w:rPr>
          <w:rFonts w:ascii="Times New Roman" w:hAnsi="Times New Roman"/>
          <w:sz w:val="20"/>
        </w:rPr>
        <w:t xml:space="preserve"> or </w:t>
      </w:r>
      <w:r>
        <w:rPr>
          <w:rFonts w:ascii="Times New Roman" w:hAnsi="Times New Roman"/>
          <w:sz w:val="20"/>
          <w:u w:val="single"/>
        </w:rPr>
        <w:t>Section 4.03</w:t>
      </w:r>
      <w:r>
        <w:rPr>
          <w:rFonts w:ascii="Times New Roman" w:hAnsi="Times New Roman"/>
          <w:sz w:val="20"/>
        </w:rPr>
        <w:t xml:space="preserve"> without the written consent of each Lender; or </w:t>
      </w:r>
    </w:p>
    <w:p>
      <w:pPr>
        <w:pStyle w:val="TextBody"/>
        <w:bidi w:val="0"/>
        <w:spacing w:before="120" w:after="0"/>
        <w:jc w:val="left"/>
        <w:rPr>
          <w:rFonts w:ascii="Times New Roman" w:hAnsi="Times New Roman"/>
          <w:sz w:val="20"/>
        </w:rPr>
      </w:pPr>
      <w:r>
        <w:rPr>
          <w:rFonts w:ascii="Times New Roman" w:hAnsi="Times New Roman"/>
          <w:sz w:val="20"/>
        </w:rPr>
        <w:t xml:space="preserve">(ix) prior to an Event of Default under </w:t>
      </w:r>
      <w:r>
        <w:rPr>
          <w:rFonts w:ascii="Times New Roman" w:hAnsi="Times New Roman"/>
          <w:sz w:val="20"/>
          <w:u w:val="single"/>
        </w:rPr>
        <w:t>Section 9.01(f)</w:t>
      </w:r>
      <w:r>
        <w:rPr>
          <w:rFonts w:ascii="Times New Roman" w:hAnsi="Times New Roman"/>
          <w:sz w:val="20"/>
        </w:rPr>
        <w:t>, amend or modify any term or provision of any Loan Document to permit the issuance or incurrence of any Indebtedness for Borrowed Money (excluding Indebtedness that is expressly permitted by this Agreement as in effect on the Closing Date to be senior to the applicable Class of Obligations and/or to be secured by a Lien that is senior to the Lien securing such Class of Obligations) with respect to which (x) the Liens on the Collateral securing the Obligations of any Class would be subordinated or (y) all or any portion of the Obligations of any Class would be subordinated in right of payment (any such other Indebtedness to which such Liens securing any of the Obligations or such Obligations, as applicable, are subordinated, “</w:t>
      </w:r>
      <w:r>
        <w:rPr>
          <w:rFonts w:ascii="Times New Roman" w:hAnsi="Times New Roman"/>
          <w:b/>
          <w:sz w:val="20"/>
        </w:rPr>
        <w:t>Senior Indebtedness</w:t>
      </w:r>
      <w:r>
        <w:rPr>
          <w:rFonts w:ascii="Times New Roman" w:hAnsi="Times New Roman"/>
          <w:sz w:val="20"/>
        </w:rPr>
        <w:t>”), in each case without the written consent of each Lender of such Class directly and adversely affected thereby, unless each adversely affected Lender (A)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 w:hAnsi="Times New Roman"/>
          <w:b/>
          <w:sz w:val="20"/>
        </w:rPr>
        <w:t>Ancillary Fees</w:t>
      </w:r>
      <w:r>
        <w:rPr>
          <w:rFonts w:ascii="Times New Roman" w:hAnsi="Times New Roman"/>
          <w:sz w:val="20"/>
        </w:rPr>
        <w:t xml:space="preserve">”) as offered to all other providers (or their Affiliates) of the Senior Indebtedness, and (B) decides to participate in the Senior Indebtedness and receives its pro rata share of the fees and any other similar benefit (other than Ancillary Fees) of the Senior Indebtedness afforded to the providers of the Senior Indebtedness (or any of their Affiliates) in connection with providing the Senior Indebtedness; or </w:t>
      </w:r>
    </w:p>
    <w:p>
      <w:pPr>
        <w:pStyle w:val="TextBody"/>
        <w:bidi w:val="0"/>
        <w:spacing w:before="120" w:after="0"/>
        <w:jc w:val="left"/>
        <w:rPr>
          <w:rFonts w:ascii="Times New Roman" w:hAnsi="Times New Roman"/>
          <w:sz w:val="20"/>
        </w:rPr>
      </w:pPr>
      <w:r>
        <w:rPr>
          <w:rFonts w:ascii="Times New Roman" w:hAnsi="Times New Roman"/>
          <w:sz w:val="20"/>
        </w:rPr>
        <w:t xml:space="preserve">(x) modify any provision of this Agreement to permit the Borrower or Restricted Subsidiaries to incur Indebtedness for Borrowed Money that is senior in payment or Lien priority or pari passu in payment priority with the Obligations (excluding any Incremental Facility, which may for the avoidance of doubt be pari passu in payment priority with the Obligations), or otherwise subordinate the Obligations to any other Indebtedness for Borrowed Money, in each case, without the written consent of each Lender of such Class directly and adversely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Specific Approvals</w:t>
      </w:r>
      <w:r>
        <w:rPr>
          <w:rFonts w:ascii="Times New Roman" w:hAnsi="Times New Roman"/>
          <w:sz w:val="20"/>
        </w:rPr>
        <w:t xml:space="preserve">. Notwithstanding the provisions of </w:t>
      </w:r>
      <w:r>
        <w:rPr>
          <w:rFonts w:ascii="Times New Roman" w:hAnsi="Times New Roman"/>
          <w:sz w:val="20"/>
          <w:u w:val="single"/>
        </w:rPr>
        <w:t>Section 11.01(a)</w:t>
      </w:r>
      <w:r>
        <w:rPr>
          <w:rFonts w:ascii="Times New Roman" w:hAnsi="Times New Roman"/>
          <w:sz w:val="20"/>
        </w:rPr>
        <w:t xml:space="preserve"> or </w:t>
      </w:r>
      <w:r>
        <w:rPr>
          <w:rFonts w:ascii="Times New Roman" w:hAnsi="Times New Roman"/>
          <w:sz w:val="20"/>
          <w:u w:val="single"/>
        </w:rPr>
        <w:t>Section 11.01(b)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amendment, waiver or consent shall, unless in writing and signed by an Issuing Bank in addition to the Lenders required above, affect the rights or duties of, or any fees or other amounts payable to, such Issuing Bank under this Agreement, any Issuance Notice or any other Loan Document relating to any Letter of Credit issued or to be issued by it, </w:t>
      </w:r>
    </w:p>
    <w:p>
      <w:pPr>
        <w:pStyle w:val="TextBody"/>
        <w:bidi w:val="0"/>
        <w:spacing w:before="120" w:after="0"/>
        <w:jc w:val="left"/>
        <w:rPr>
          <w:rFonts w:ascii="Times New Roman" w:hAnsi="Times New Roman"/>
          <w:sz w:val="20"/>
        </w:rPr>
      </w:pPr>
      <w:r>
        <w:rPr>
          <w:rFonts w:ascii="Times New Roman" w:hAnsi="Times New Roman"/>
          <w:sz w:val="20"/>
        </w:rPr>
        <w:t xml:space="preserve">(ii)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amendment, waiver or consent shall, unless in writing and signed by the Collateral Agent in addition to the Lenders required above, affect the rights or duties of, or any fees or other amounts payable to, the Collateral Agent under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Section 11.07(g)</w:t>
      </w:r>
      <w:r>
        <w:rPr>
          <w:rFonts w:ascii="Times New Roman" w:hAnsi="Times New Roman"/>
          <w:sz w:val="20"/>
        </w:rPr>
        <w:t xml:space="preserve"> may not be amended, waived or otherwise modified without the consent of each Granting Lender all or any part of whose Loans are being funded by an SPC at the time of such amendment, waiver or other modification, and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trike/>
          <w:color w:val="FF0000"/>
          <w:sz w:val="20"/>
        </w:rPr>
        <w:t>any amendments or modifications to the Loan Documents to reflect a Collateral Trust Agreement structure (including replacing references to the Collateral Agent with references to the Collateral Trustee and modifying the Collateral Documents so that such Collateral Documents secure all Indebtedness subject to the Collateral Trust Agreement) shall be effected by an amendment in writing signed by the Borrower, the applicable Loan Parties and the Administrative Agent (such consent to the amendment not to be unreasonably withheld, conditioned or delayed).</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Intercreditor Agreements</w:t>
      </w:r>
      <w:r>
        <w:rPr>
          <w:rFonts w:ascii="Times New Roman" w:hAnsi="Times New Roman"/>
          <w:sz w:val="20"/>
        </w:rPr>
        <w:t xml:space="preserve">. No Lender or Issuing Bank consent is required to effect any amendment or supplement to the Intercreditor Agreements or any other intercreditor agreement that is, (i) for the purpose of adding the holders of Pari Passu Lien Debt, Junior Lien Debt, Incremental Equivalent Debt, Permitted Pari Passu Secured Refinancing Debt or Permitted Junior Secured Refinancing Debt (or a Debt Representative with respect to any Indebtedness with respect to which it is a representative or agent)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 (ii) expressly contemplated by the Intercreditor Agreements or any other intercreditor agreement expressly permitted to be entered into hereunder, </w:t>
      </w:r>
      <w:r>
        <w:rPr>
          <w:rFonts w:ascii="Times New Roman" w:hAnsi="Times New Roman"/>
          <w:i/>
          <w:sz w:val="20"/>
        </w:rPr>
        <w:t>provided</w:t>
      </w:r>
      <w:r>
        <w:rPr>
          <w:rFonts w:ascii="Times New Roman" w:hAnsi="Times New Roman"/>
          <w:sz w:val="20"/>
        </w:rPr>
        <w:t xml:space="preserve"> that such amendment or supplement in either case shall not effectuate an amendment prohibited by </w:t>
      </w:r>
      <w:r>
        <w:rPr>
          <w:rFonts w:ascii="Times New Roman" w:hAnsi="Times New Roman"/>
          <w:sz w:val="20"/>
          <w:u w:val="single"/>
        </w:rPr>
        <w:t>Section 11.01(b)(ix)</w:t>
      </w:r>
      <w:r>
        <w:rPr>
          <w:rFonts w:ascii="Times New Roman" w:hAnsi="Times New Roman"/>
          <w:sz w:val="20"/>
        </w:rPr>
        <w:t xml:space="preserve"> or </w:t>
      </w:r>
      <w:r>
        <w:rPr>
          <w:rFonts w:ascii="Times New Roman" w:hAnsi="Times New Roman"/>
          <w:sz w:val="20"/>
          <w:u w:val="single"/>
        </w:rPr>
        <w:t>(x)</w:t>
      </w:r>
      <w:r>
        <w:rPr>
          <w:rFonts w:ascii="Times New Roman" w:hAnsi="Times New Roman"/>
          <w:sz w:val="20"/>
        </w:rPr>
        <w:t xml:space="preserve"> without the written consent of each directly and adversely effected Lender. </w:t>
      </w:r>
    </w:p>
    <w:p>
      <w:pPr>
        <w:pStyle w:val="TextBody"/>
        <w:bidi w:val="0"/>
        <w:spacing w:before="240" w:after="0"/>
        <w:jc w:val="left"/>
        <w:rPr>
          <w:rFonts w:ascii="Times New Roman" w:hAnsi="Times New Roman"/>
          <w:sz w:val="20"/>
        </w:rPr>
      </w:pPr>
      <w:r>
        <w:rPr>
          <w:rFonts w:ascii="Times New Roman" w:hAnsi="Times New Roman"/>
          <w:sz w:val="20"/>
        </w:rPr>
        <w:t xml:space="preserve">(e) [Reserved]. </w:t>
      </w:r>
    </w:p>
    <w:p>
      <w:pPr>
        <w:pStyle w:val="TextBody"/>
        <w:bidi w:val="0"/>
        <w:spacing w:before="240" w:after="0"/>
        <w:jc w:val="left"/>
        <w:rPr>
          <w:rFonts w:ascii="Times New Roman" w:hAnsi="Times New Roman"/>
          <w:sz w:val="20"/>
        </w:rPr>
      </w:pPr>
      <w:r>
        <w:rPr>
          <w:rFonts w:ascii="Times New Roman" w:hAnsi="Times New Roman"/>
          <w:sz w:val="20"/>
        </w:rPr>
        <w:t xml:space="preserve">(f) [Reserved]. </w:t>
      </w:r>
    </w:p>
    <w:p>
      <w:pPr>
        <w:pStyle w:val="TextBody"/>
        <w:bidi w:val="0"/>
        <w:spacing w:before="240" w:after="0"/>
        <w:jc w:val="left"/>
        <w:rPr>
          <w:rFonts w:ascii="Times New Roman" w:hAnsi="Times New Roman"/>
          <w:sz w:val="20"/>
        </w:rPr>
      </w:pPr>
      <w:r>
        <w:rPr>
          <w:rFonts w:ascii="Times New Roman" w:hAnsi="Times New Roman"/>
          <w:sz w:val="20"/>
        </w:rPr>
        <w:t xml:space="preserve">(g) [Reserved].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Certain Amendments to Loan Documents</w:t>
      </w:r>
      <w:r>
        <w:rPr>
          <w:rFonts w:ascii="Times New Roman" w:hAnsi="Times New Roman"/>
          <w:sz w:val="20"/>
        </w:rPr>
        <w:t xml:space="preserve">. The Guaranty, the Collateral Documents and related documents executed by the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errors or defects (as reasonably determined by the Administrative Agent and the Borrower with such determination being conclusive and binding), (iii) to cause such Guaranty, Collateral Document or other document to be consistent with this Agreement and the other Loan Documents or (iv) for administrative clarity (as conclusively determined by the Administrative Agent and the Borrower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Defaulting Lenders, Disqualified Lenders and Net Short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Defaulting Lenders and Disqualified Lenders</w:t>
      </w:r>
      <w:r>
        <w:rPr>
          <w:rFonts w:ascii="Times New Roman" w:hAnsi="Times New Roman"/>
          <w:sz w:val="20"/>
        </w:rPr>
        <w:t xml:space="preserve">. No Defaulting Lender or Disqualified Lender shall have any right to approve or disapprove any amendment, waiver or consent hereunder (and any amendment, waiver or consent which by its terms requires the consent of all Lenders, the Required Lenders or each affected Lender may be effected with the consent of the applicable Lenders other than Defaulting Lenders or Disqualified Lender), except that (A) the Commitment of any Defaulting Lender or Disqualified Lender may not be increased or extended without the consent of such Defaulting Lender or such Disqualified Lender and (B) any waiver, amendment or modification requiring the consent of all Lenders or each affected Lender that by its terms affects any Defaulting Lender or Disqualified Lender (other than any Disqualified Lender described in </w:t>
      </w:r>
      <w:r>
        <w:rPr>
          <w:rFonts w:ascii="Times New Roman" w:hAnsi="Times New Roman"/>
          <w:sz w:val="20"/>
          <w:u w:val="single"/>
        </w:rPr>
        <w:t>clause (d)</w:t>
      </w:r>
      <w:r>
        <w:rPr>
          <w:rFonts w:ascii="Times New Roman" w:hAnsi="Times New Roman"/>
          <w:sz w:val="20"/>
        </w:rPr>
        <w:t xml:space="preserve"> of the definition thereof) more adversely than other affected Lenders shall require the consent of such Defaulting Lender or Disqualified Lender,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Net Short</w:t>
      </w:r>
      <w:r>
        <w:rPr>
          <w:rFonts w:ascii="Times New Roman" w:hAnsi="Times New Roman"/>
          <w:sz w:val="20"/>
        </w:rPr>
        <w:t xml:space="preserve"> Lenders. Net Short Lenders shall have the right to approve or disapprove any amendment, waiver or consent only to the extent set forth in </w:t>
      </w:r>
      <w:r>
        <w:rPr>
          <w:rFonts w:ascii="Times New Roman" w:hAnsi="Times New Roman"/>
          <w:sz w:val="20"/>
          <w:u w:val="single"/>
        </w:rPr>
        <w:t>Section 11.28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Notices and Other Communications; Facsimile Copies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e-mail as follows, and all notices and other communications expressly permitted hereunder to be given by telephone shall be made to the applicable telephone number,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the Borrower, the Issuing Banks, the Collateral Agent or the Administrative Agent, to the address, electronic mail address or telephone number specified for such Person on </w:t>
      </w:r>
      <w:r>
        <w:rPr>
          <w:rFonts w:ascii="Times New Roman" w:hAnsi="Times New Roman"/>
          <w:sz w:val="20"/>
          <w:u w:val="single"/>
        </w:rPr>
        <w:t>Schedule 11.02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Lender, to the address, electronic mail addresses or telephone number specified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and notices deposited in the United States mail with postage prepaid and properly addressed shall be deemed to have been given within three Business Days of such deposit; </w:t>
      </w:r>
      <w:r>
        <w:rPr>
          <w:rFonts w:ascii="Times New Roman" w:hAnsi="Times New Roman"/>
          <w:i/>
          <w:sz w:val="20"/>
        </w:rPr>
        <w:t xml:space="preserve">provided </w:t>
      </w:r>
      <w:r>
        <w:rPr>
          <w:rFonts w:ascii="Times New Roman" w:hAnsi="Times New Roman"/>
          <w:sz w:val="20"/>
        </w:rPr>
        <w:t xml:space="preserve">that no notice to any Agent shall be effective until received by such Agent. Notices and other communications delivered through electronic communications to the extent provided in subsection (b) below shall be effective as provided in such subsection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w:t>
      </w:r>
      <w:r>
        <w:rPr>
          <w:rFonts w:ascii="Times New Roman" w:hAnsi="Times New Roman"/>
          <w:sz w:val="20"/>
        </w:rPr>
        <w:t xml:space="preserve">. Notices and other communications to any Agent, the Lenders and the Issuing Banks hereunder may be delivered or furnished by electronic communication (including e-mail and Internet or intranet websites, including the Platform) pursuant to procedures approved by the Administrative Agent, </w:t>
      </w:r>
      <w:r>
        <w:rPr>
          <w:rFonts w:ascii="Times New Roman" w:hAnsi="Times New Roman"/>
          <w:i/>
          <w:sz w:val="20"/>
        </w:rPr>
        <w:t xml:space="preserve">provided </w:t>
      </w:r>
      <w:r>
        <w:rPr>
          <w:rFonts w:ascii="Times New Roman" w:hAnsi="Times New Roman"/>
          <w:sz w:val="20"/>
        </w:rPr>
        <w:t xml:space="preserve">that the foregoing shall not apply to notices to any Agent, Lender or the Issuing Banks pursuant to </w:t>
      </w:r>
      <w:r>
        <w:rPr>
          <w:rFonts w:ascii="Times New Roman" w:hAnsi="Times New Roman"/>
          <w:sz w:val="20"/>
          <w:u w:val="single"/>
        </w:rPr>
        <w:t>Article II</w:t>
      </w:r>
      <w:r>
        <w:rPr>
          <w:rFonts w:ascii="Times New Roman" w:hAnsi="Times New Roman"/>
          <w:sz w:val="20"/>
        </w:rPr>
        <w:t xml:space="preserve"> if such Person,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i/>
          <w:sz w:val="20"/>
        </w:rPr>
        <w:t xml:space="preserve">provided </w:t>
      </w:r>
      <w:r>
        <w:rPr>
          <w:rFonts w:ascii="Times New Roman" w:hAnsi="Times New Roman"/>
          <w:sz w:val="20"/>
        </w:rPr>
        <w:t xml:space="preserve">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Receipt</w:t>
      </w:r>
      <w:r>
        <w:rPr>
          <w:rFonts w:ascii="Times New Roman" w:hAnsi="Times New Roman"/>
          <w:sz w:val="20"/>
        </w:rPr>
        <w:t xml:space="preserve">.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i/>
          <w:sz w:val="20"/>
        </w:rPr>
        <w:t xml:space="preserve">provided </w:t>
      </w:r>
      <w:r>
        <w:rPr>
          <w:rFonts w:ascii="Times New Roman" w:hAnsi="Times New Roman"/>
          <w:sz w:val="20"/>
        </w:rPr>
        <w:t xml:space="preserve">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hAnsi="Times New Roman"/>
          <w:sz w:val="20"/>
          <w:u w:val="single"/>
        </w:rPr>
        <w:t>clause (i)</w:t>
      </w:r>
      <w:r>
        <w:rPr>
          <w:rFonts w:ascii="Times New Roman" w:hAnsi="Times New Roman"/>
          <w:sz w:val="20"/>
        </w:rPr>
        <w:t xml:space="preserve">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Risks of Electronic Communications</w:t>
      </w:r>
      <w:r>
        <w:rPr>
          <w:rFonts w:ascii="Times New Roman" w:hAnsi="Times New Roman"/>
          <w:sz w:val="20"/>
        </w:rPr>
        <w:t xml:space="preserve">. Each Loan Party understands that the distribution of materials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any Lender or any Issuing Bank as determined by a final,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The Platform</w:t>
      </w:r>
      <w:r>
        <w:rPr>
          <w:rFonts w:ascii="Times New Roman" w:hAnsi="Times New Roman"/>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OR IN THE PLATFORM.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or any Lead Arranger (collectively, the “</w:t>
      </w:r>
      <w:r>
        <w:rPr>
          <w:rFonts w:ascii="Times New Roman" w:hAnsi="Times New Roman"/>
          <w:b/>
          <w:sz w:val="20"/>
        </w:rPr>
        <w:t>Agent Parties</w:t>
      </w:r>
      <w:r>
        <w:rPr>
          <w:rFonts w:ascii="Times New Roman" w:hAnsi="Times New Roman"/>
          <w:sz w:val="20"/>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willful misconduct of such Agent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any Agent Party have any liability to the Borrower, any Lender, any Issuing Bank or any other Person for indirect, special, incidental, consequential or punitive damages (as opposed to direct or actual damages). Each Loan Party, each Lender, each Issuing Bank and each Agent agrees that the Administrative Agent may, but shall not be obligated to, store any Borrower Materials on the Platform in accordance with the Administrative Agent’s customary document retention procedures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Change of Address</w:t>
      </w:r>
      <w:r>
        <w:rPr>
          <w:rFonts w:ascii="Times New Roman" w:hAnsi="Times New Roman"/>
          <w:sz w:val="20"/>
        </w:rPr>
        <w:t xml:space="preserve">. Each of the Borrower, the Administrative Agent and the Issuing Banks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the Borrower, the Administrative Agent, the Collateral Agent and the Issuing Banks.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the Agents, the Issuing Banks and the Lenders</w:t>
      </w:r>
      <w:r>
        <w:rPr>
          <w:rFonts w:ascii="Times New Roman" w:hAnsi="Times New Roman"/>
          <w:sz w:val="20"/>
        </w:rPr>
        <w:t xml:space="preserve">. The Agents, the Issuing Banks and the Lenders shall be entitled to rely and act upon any notices (including Committed Loan Notices and Issuance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any Agent may be recorded by the Administrative Agent, and each of the parties hereto hereby consents to such recording. The Borrower shall indemnify the Agents, the Issuing Banks and the Lenders and each Agent-Related Person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Private-Side Information Contacts</w:t>
      </w:r>
      <w:r>
        <w:rPr>
          <w:rFonts w:ascii="Times New Roman" w:hAnsi="Times New Roman"/>
          <w:sz w:val="20"/>
        </w:rPr>
        <w:t xml:space="preserve">. Each Public Lender agrees to cause at least one individual at or on behalf of such Public Lender to at all times have selected the “Private-Side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“Public-Side Information” portion of the Platform and that may contain Private-Side Information with respect to the Borrower, its Subsidiaries or their 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 any responsibility for such Public Lender’s decision to limit the scope of the information it has obtained in connection with this Agreement and the other Loan Documents and (B) any duty to disclose such information to such Public Lender or to use such information on behalf of such Public Lender, and shall not be liable for the failure to so disclose or use,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No Waiver; Cumulative Remedies</w:t>
      </w:r>
      <w:r>
        <w:rPr>
          <w:rFonts w:ascii="Times New Roman" w:hAnsi="Times New Roman"/>
          <w:sz w:val="20"/>
        </w:rPr>
        <w:t xml:space="preserve">. No forbearance, failure or delay by any Lender or any Agent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Article X</w:t>
      </w:r>
      <w:r>
        <w:rPr>
          <w:rFonts w:ascii="Times New Roman" w:hAnsi="Times New Roman"/>
          <w:sz w:val="20"/>
        </w:rPr>
        <w:t xml:space="preserve"> for the benefit of all the Lenders and the Issuing Banks; </w:t>
      </w:r>
      <w:r>
        <w:rPr>
          <w:rFonts w:ascii="Times New Roman" w:hAnsi="Times New Roman"/>
          <w:i/>
          <w:sz w:val="20"/>
        </w:rPr>
        <w:t>provided</w:t>
      </w:r>
      <w:r>
        <w:rPr>
          <w:rFonts w:ascii="Times New Roman" w:hAnsi="Times New Roman"/>
          <w:sz w:val="20"/>
        </w:rPr>
        <w:t xml:space="preserve"> that the foregoing shall not prohibit (i) the Administrative Agent from exercising on its own behalf the rights and remedies that inure to its benefit (solely in its capacity as Administrative Agent) hereunder and under the other Loan Documents, (ii) any Issuing Bank from exercising on its own behalf the rights and remedies that inure to its benefit (solely in its capacity as an Issuing Bank) hereunder and under the other Loan Documents, (iii) any Lender from exercising setoff rights in accordance with </w:t>
      </w:r>
      <w:r>
        <w:rPr>
          <w:rFonts w:ascii="Times New Roman" w:hAnsi="Times New Roman"/>
          <w:sz w:val="20"/>
          <w:u w:val="single"/>
        </w:rPr>
        <w:t>Section 11.09</w:t>
      </w:r>
      <w:r>
        <w:rPr>
          <w:rFonts w:ascii="Times New Roman" w:hAnsi="Times New Roman"/>
          <w:sz w:val="20"/>
        </w:rPr>
        <w:t xml:space="preserve"> (subject to the terms of </w:t>
      </w:r>
      <w:r>
        <w:rPr>
          <w:rFonts w:ascii="Times New Roman" w:hAnsi="Times New Roman"/>
          <w:sz w:val="20"/>
          <w:u w:val="single"/>
        </w:rPr>
        <w:t>Section 2.15</w:t>
      </w:r>
      <w:r>
        <w:rPr>
          <w:rFonts w:ascii="Times New Roman" w:hAnsi="Times New Roman"/>
          <w:sz w:val="20"/>
        </w:rPr>
        <w:t xml:space="preserve">) or (iv) any Lender from filing proofs of claim or appearing and filing pleadings on its own behalf during the pendency of a proceeding relative to the Borrower under any Debtor Relief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at any time there is no Person acting as Administrative Agent hereunder and under the other Loan Documents, then (A) the Required Lenders shall have the rights otherwise provided to the Administrative Agent pursuant to </w:t>
      </w:r>
      <w:r>
        <w:rPr>
          <w:rFonts w:ascii="Times New Roman" w:hAnsi="Times New Roman"/>
          <w:sz w:val="20"/>
          <w:u w:val="single"/>
        </w:rPr>
        <w:t>Article X</w:t>
      </w:r>
      <w:r>
        <w:rPr>
          <w:rFonts w:ascii="Times New Roman" w:hAnsi="Times New Roman"/>
          <w:sz w:val="20"/>
        </w:rPr>
        <w:t xml:space="preserve"> and (B) in addition to the matters set forth in </w:t>
      </w:r>
      <w:r>
        <w:rPr>
          <w:rFonts w:ascii="Times New Roman" w:hAnsi="Times New Roman"/>
          <w:sz w:val="20"/>
          <w:u w:val="single"/>
        </w:rPr>
        <w:t>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the preceding proviso and subject to </w:t>
      </w:r>
      <w:r>
        <w:rPr>
          <w:rFonts w:ascii="Times New Roman" w:hAnsi="Times New Roman"/>
          <w:sz w:val="20"/>
          <w:u w:val="single"/>
        </w:rPr>
        <w:t>Section 2.15</w:t>
      </w:r>
      <w:r>
        <w:rPr>
          <w:rFonts w:ascii="Times New Roman" w:hAnsi="Times New Roman"/>
          <w:sz w:val="20"/>
        </w:rPr>
        <w:t xml:space="preserve">, any Lender may, with the consent of the Required Lenders, enforce any rights or remedies available to it and as authorized by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Attorney Costs and Expenses</w:t>
      </w:r>
      <w:r>
        <w:rPr>
          <w:rFonts w:ascii="Times New Roman" w:hAnsi="Times New Roman"/>
          <w:sz w:val="20"/>
        </w:rPr>
        <w:t xml:space="preserve">. The Borrower agrees (a) to pay or reimburse the Administrative Agent, the Collateral Agent, the Lead Arranger, the Supplemental Administrative Agents, the Revolving Lenders and the Issuing Banks for all reasonable and documented in reasonable detail out-of-pocket expenses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including all Attorney Costs, and (b) to pay or reimburse the Administrative Agent, the Collateral Agent, the Lead Arranger, the Supplemental Administrative Agents, the Issuing Banks and the Lenders for all out-of-pocket costs and expenses incurred in connection with the enforcement or protection of any rights or remedies under this Agreement or the other Loan Documents (including all such costs and expenses incurred during any legal proceeding, including any proceeding under any Debtor Relief Law, and including all Attorney Costs (and, if reasonably necessary, local counsel in any relevant material jurisdiction (which may be a single local counsel acting in multiple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jurisdictions) and, solely in the event of an actual or perceived conflict of interest between the Administrative Agent, the Collateral Agent, the Lead Arranger, the Supplemental Administrative Agents, the Issuing Banks and the Lenders, where the Person or Persons affected by such conflict of interest inform the Borrower in writing of such conflict of interest, one additional counsel in each relevant material jurisdiction to each affected Persons)). The agreements in this </w:t>
      </w:r>
      <w:r>
        <w:rPr>
          <w:rFonts w:ascii="Times New Roman" w:hAnsi="Times New Roman"/>
          <w:sz w:val="20"/>
          <w:u w:val="single"/>
        </w:rPr>
        <w:t>Section 11.04</w:t>
      </w:r>
      <w:r>
        <w:rPr>
          <w:rFonts w:ascii="Times New Roman" w:hAnsi="Times New Roman"/>
          <w:sz w:val="20"/>
        </w:rPr>
        <w:t xml:space="preserve"> shall survive the termination of the Aggregate Commitments and repayment of all other Obligations. All amounts due under this </w:t>
      </w:r>
      <w:r>
        <w:rPr>
          <w:rFonts w:ascii="Times New Roman" w:hAnsi="Times New Roman"/>
          <w:sz w:val="20"/>
          <w:u w:val="single"/>
        </w:rPr>
        <w:t>Section 11.04</w:t>
      </w:r>
      <w:r>
        <w:rPr>
          <w:rFonts w:ascii="Times New Roman" w:hAnsi="Times New Roman"/>
          <w:sz w:val="20"/>
        </w:rPr>
        <w:t xml:space="preserve"> shall be paid promptly following receipt by the Borrower of an invoice relating thereto setting forth such expenses in reasonable detail, and in any event within thirty (30) days of receipt of such invoice . If any Loan Party fails to pay when due any costs, expenses or other amounts payable by it hereunder or under any Loan Document, such amount may be paid on behalf of such Loan Party by the Administrative Agent in its sole discretion. Expenses shall be deemed to be documented in accordance with this Section 11.04 only if they provide the detail required to enable the Borrower, acting in good faith, to determine that such expenses relate to the activities with respect to which reimbursement is required hereunder. The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Indemnification by the Borrower</w:t>
      </w:r>
      <w:r>
        <w:rPr>
          <w:rFonts w:ascii="Times New Roman" w:hAnsi="Times New Roman"/>
          <w:sz w:val="20"/>
        </w:rPr>
        <w:t>. The Borrower shall indemnify and hold harmless the Administrative Agent, any Supplemental Administrative Agent, the Collateral Agent, the Issuing Banks, each Lender, each Lead Arranger, each Bookrunner and their respective Affiliates, directors, officers, directors, employees, agents, advisors, partners, shareholders, trustees, controlling persons, and other representatives (collectively, the “</w:t>
      </w:r>
      <w:r>
        <w:rPr>
          <w:rFonts w:ascii="Times New Roman" w:hAnsi="Times New Roman"/>
          <w:b/>
          <w:sz w:val="20"/>
        </w:rPr>
        <w:t>Indemnitees</w:t>
      </w:r>
      <w:r>
        <w:rPr>
          <w:rFonts w:ascii="Times New Roman" w:hAnsi="Times New Roman"/>
          <w:sz w:val="20"/>
        </w:rPr>
        <w:t xml:space="preserve">”) from and against any and all liabilities, obligations, losses, damages, penalties, claims, demands, actions, judgments, suits, costs, expenses and disbursements (including Attorney Costs) of any kind or nature whatsoever which may at any time be imposed on, incurred by or asserted against any such Indemnitee in any way relating to or arising out of or in connection with (but limited, in the case of legal fees and expenses, to the Attorney Costs for each Indemnitee and, if reasonably necessary, a single local counsel for each Indemnitee in each relevant jurisdiction that is material to the interest of such Indemnitees (which may be a single local counsel acting in multiple material jurisdictions), and solely in the case of an actual or perceived conflict of interest between Indemnitees (where the Indemnitee affected by such conflict of interest informs the Borrower in writing of such conflict of interest), one additional counsel in each relevant jurisdiction to each affected Indemnitee),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delivery, enforcement, performance or administration of any Loan Document or any other agreement, letter or instrument delivered in connection with the transactions contemplated thereby or the consummation of the transactions contemplated thereby (including the reliance in good faith by any Indemnitee on any notice purportedly given by or on behalf of the Borrower or any Loan Party), </w:t>
      </w:r>
    </w:p>
    <w:p>
      <w:pPr>
        <w:pStyle w:val="TextBody"/>
        <w:bidi w:val="0"/>
        <w:spacing w:before="120" w:after="0"/>
        <w:jc w:val="left"/>
        <w:rPr>
          <w:rFonts w:ascii="Times New Roman" w:hAnsi="Times New Roman"/>
          <w:sz w:val="20"/>
        </w:rPr>
      </w:pPr>
      <w:r>
        <w:rPr>
          <w:rFonts w:ascii="Times New Roman" w:hAnsi="Times New Roman"/>
          <w:sz w:val="20"/>
        </w:rPr>
        <w:t xml:space="preserve">(b)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Commitment, Loan, Letter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(d) any actual or alleged release of, or exposure to, any Hazardous Materials on or from any property currently or formerly owned or operated by the Borrower or any other Loan Party, or any Environmental Claim or Environmental Liability of the Borrower or any other Loan Party, or </w:t>
      </w:r>
    </w:p>
    <w:p>
      <w:pPr>
        <w:pStyle w:val="TextBody"/>
        <w:bidi w:val="0"/>
        <w:spacing w:before="240" w:after="0"/>
        <w:jc w:val="left"/>
        <w:rPr>
          <w:rFonts w:ascii="Times New Roman" w:hAnsi="Times New Roman"/>
          <w:sz w:val="20"/>
        </w:rPr>
      </w:pPr>
      <w:r>
        <w:rPr>
          <w:rFonts w:ascii="Times New Roman" w:hAnsi="Times New Roman"/>
          <w:sz w:val="20"/>
        </w:rPr>
        <w:t>(e)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 w:hAnsi="Times New Roman"/>
          <w:b/>
          <w:sz w:val="20"/>
        </w:rPr>
        <w:t>Indemnified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such indemnity shall not, as to any Indemnitee, be available to the extent that a court of competent jurisdiction determines in a final, non-appealable judgment that any such liabilities, obligations, losses, damages, penalties, claims, demands, actions, judgments, suits, costs, expenses or disbursements resulted from (i) the gross negligence or willful misconduct of such Indemnitee or of any Related Indemnified Person of such Indemnitee or (ii) any dispute solely among Indemnitees or of any Related Indemnified Person of such Indemnitee other than any claims against an Indemnitee in its capacity or in fulfilling its role as the Administrative Agent, the Collateral Agent, an Issuing Bank or a Lead Arranger (or other Agent role) under the Facility and other than any claims arising out of any act or omission of the Borrower or any of their Affiliates. To the extent that the undertakings to indemnify and hold harmless set forth in this </w:t>
      </w:r>
      <w:r>
        <w:rPr>
          <w:rFonts w:ascii="Times New Roman" w:hAnsi="Times New Roman"/>
          <w:sz w:val="20"/>
          <w:u w:val="single"/>
        </w:rPr>
        <w:t>Section 11.05</w:t>
      </w:r>
      <w:r>
        <w:rPr>
          <w:rFonts w:ascii="Times New Roman" w:hAnsi="Times New Roman"/>
          <w:sz w:val="20"/>
        </w:rPr>
        <w:t xml:space="preserve"> may be unenforceable in whole or in part because they are violative of any applicable law or public policy, the Borrower shall contribute the maximum portion that they are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 through Syndtrak or other similar information transmission systems in connection with this Agreement, except to the extent resulting from the willful misconduct or gross negligence of such Indemnitee or any Related Indemnified Person (as determined by a final and non-appealable judgment of a court of competent jurisdiction),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Times New Roman" w:hAnsi="Times New Roman"/>
          <w:sz w:val="20"/>
          <w:u w:val="single"/>
        </w:rPr>
        <w:t>Section 11.05</w:t>
      </w:r>
      <w:r>
        <w:rPr>
          <w:rFonts w:ascii="Times New Roman" w:hAnsi="Times New Roman"/>
          <w:sz w:val="20"/>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hAnsi="Times New Roman"/>
          <w:sz w:val="20"/>
          <w:u w:val="single"/>
        </w:rPr>
        <w:t>Section 11.05</w:t>
      </w:r>
      <w:r>
        <w:rPr>
          <w:rFonts w:ascii="Times New Roman" w:hAnsi="Times New Roman"/>
          <w:sz w:val="20"/>
        </w:rPr>
        <w:t xml:space="preserve"> (after the determination of a court of competent jurisdiction, if required pursuant to the terms of this </w:t>
      </w:r>
      <w:r>
        <w:rPr>
          <w:rFonts w:ascii="Times New Roman" w:hAnsi="Times New Roman"/>
          <w:sz w:val="20"/>
          <w:u w:val="single"/>
        </w:rPr>
        <w:t>Section 11.05</w:t>
      </w:r>
      <w:r>
        <w:rPr>
          <w:rFonts w:ascii="Times New Roman" w:hAnsi="Times New Roman"/>
          <w:sz w:val="20"/>
        </w:rPr>
        <w:t xml:space="preserve">) shall be paid within ten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Days after written demand therefor. The agreements in this </w:t>
      </w:r>
      <w:r>
        <w:rPr>
          <w:rFonts w:ascii="Times New Roman" w:hAnsi="Times New Roman"/>
          <w:sz w:val="20"/>
          <w:u w:val="single"/>
        </w:rPr>
        <w:t>Section 11.05</w:t>
      </w:r>
      <w:r>
        <w:rPr>
          <w:rFonts w:ascii="Times New Roman" w:hAnsi="Times New Roman"/>
          <w:sz w:val="20"/>
        </w:rPr>
        <w:t xml:space="preserve"> shall survive the resignation of the Administrative Agent, the Collateral Agent or any Issuing Bank, replacement of any Lender, the termination of the Aggregate Commitments and the repayment, satisfaction or discharge of all the other Obligations. This </w:t>
      </w:r>
      <w:r>
        <w:rPr>
          <w:rFonts w:ascii="Times New Roman" w:hAnsi="Times New Roman"/>
          <w:sz w:val="20"/>
          <w:u w:val="single"/>
        </w:rPr>
        <w:t>Section 11.05</w:t>
      </w:r>
      <w:r>
        <w:rPr>
          <w:rFonts w:ascii="Times New Roman" w:hAnsi="Times New Roman"/>
          <w:sz w:val="20"/>
        </w:rPr>
        <w:t xml:space="preserve"> shall not apply to Taxes, except it shall apply to any Taxes that represent losses, claims, damages, etc. arising from a non-Tax claim.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Marshaling; Payments Set Aside</w:t>
      </w:r>
      <w:r>
        <w:rPr>
          <w:rFonts w:ascii="Times New Roman" w:hAnsi="Times New Roman"/>
          <w:sz w:val="20"/>
        </w:rPr>
        <w:t xml:space="preserve">. None of the Administrative Agent, any Lender, the Collateral Agent or any Issuing Bank shall be under any obligation to marshal any assets in favor of the Loan Parties or any other Person or against or in payment of any or all of the Obligations. To the extent that any payment by or on behalf of the Borrower is made to any Agent, any Lender or any Issuing Bank (or to the Administrative Agent, on behalf of any Lender or any Issuing Bank), or any Agent or any Lender enforces any security interests or exercises its right of setoff, and such payments or the proceeds of such enforcement or setoff or any part thereof are subsequently invalidated, declared to be fraudulent or preferential, set aside and/or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Bank severally agrees to pay to the Administrative Agent upon demand its applicable share (without duplication) of any amount so recovered from or repaid by the Administrative Agent, </w:t>
      </w:r>
      <w:r>
        <w:rPr>
          <w:rFonts w:ascii="Times New Roman" w:hAnsi="Times New Roman"/>
          <w:i/>
          <w:sz w:val="20"/>
        </w:rPr>
        <w:t>plus</w:t>
      </w:r>
      <w:r>
        <w:rPr>
          <w:rFonts w:ascii="Times New Roman" w:hAnsi="Times New Roman"/>
          <w:sz w:val="20"/>
        </w:rPr>
        <w:t xml:space="preserve"> interest thereon from the date of such demand to the date such payment is made at a rate </w:t>
      </w:r>
      <w:r>
        <w:rPr>
          <w:rFonts w:ascii="Times New Roman" w:hAnsi="Times New Roman"/>
          <w:i/>
          <w:sz w:val="20"/>
        </w:rPr>
        <w:t>per annum</w:t>
      </w:r>
      <w:r>
        <w:rPr>
          <w:rFonts w:ascii="Times New Roman" w:hAnsi="Times New Roman"/>
          <w:sz w:val="20"/>
        </w:rPr>
        <w:t xml:space="preserve"> equal to the Federal Funds Rate from time to time in effect. The obligations of the Lenders under </w:t>
      </w:r>
      <w:r>
        <w:rPr>
          <w:rFonts w:ascii="Times New Roman" w:hAnsi="Times New Roman"/>
          <w:sz w:val="20"/>
          <w:u w:val="single"/>
        </w:rPr>
        <w:t>clause (b)</w:t>
      </w:r>
      <w:r>
        <w:rPr>
          <w:rFonts w:ascii="Times New Roman" w:hAnsi="Times New Roman"/>
          <w:sz w:val="20"/>
        </w:rPr>
        <w:t xml:space="preserve"> of the preceding sentence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except that none of the Borrower may, except as permitted by </w:t>
      </w:r>
      <w:r>
        <w:rPr>
          <w:rFonts w:ascii="Times New Roman" w:hAnsi="Times New Roman"/>
          <w:sz w:val="20"/>
          <w:u w:val="single"/>
        </w:rPr>
        <w:t>Section 7.04</w:t>
      </w:r>
      <w:r>
        <w:rPr>
          <w:rFonts w:ascii="Times New Roman" w:hAnsi="Times New Roman"/>
          <w:sz w:val="20"/>
        </w:rPr>
        <w:t xml:space="preserve">, assign or otherwise transfer any of its rights or obligations hereunder without the prior written consent of the Administrative Agent, the Collateral Agent and each Lender and no Lender may assign or otherwise transfer any of its rights or obligations hereunder except, </w:t>
      </w:r>
    </w:p>
    <w:p>
      <w:pPr>
        <w:pStyle w:val="TextBody"/>
        <w:bidi w:val="0"/>
        <w:spacing w:before="120" w:after="0"/>
        <w:jc w:val="left"/>
        <w:rPr>
          <w:rFonts w:ascii="Times New Roman" w:hAnsi="Times New Roman"/>
          <w:sz w:val="20"/>
        </w:rPr>
      </w:pPr>
      <w:r>
        <w:rPr>
          <w:rFonts w:ascii="Times New Roman" w:hAnsi="Times New Roman"/>
          <w:sz w:val="20"/>
        </w:rPr>
        <w:t xml:space="preserve">(i) to an assignee in accordance with the provisions of subsection (b)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(ii) by way of participation in accordance with the provisions of subsection (d)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(iii) by way of pledge or assignment of a security interest subject to the restrictions of subsection (f) of this Section,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to an SPC in accordance with the provisions of subsection (g) of this Section (and any other attempted assignment or transfer by any party hereto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Agent-Related Persons of each of the Administrative Agent, the Collateral Agent, the Issuing Banks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hAnsi="Times New Roman"/>
          <w:sz w:val="20"/>
          <w:u w:val="single"/>
        </w:rPr>
        <w:t>Section 11.07(b)</w:t>
      </w:r>
      <w:r>
        <w:rPr>
          <w:rFonts w:ascii="Times New Roman" w:hAnsi="Times New Roman"/>
          <w:sz w:val="20"/>
        </w:rPr>
        <w:t xml:space="preserve">, participations in Letters of Credit) at the time owing to it; </w:t>
      </w:r>
      <w:r>
        <w:rPr>
          <w:rFonts w:ascii="Times New Roman" w:hAnsi="Times New Roman"/>
          <w:i/>
          <w:sz w:val="20"/>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the assigning Lender’s Commitment and Revolving Loans at the time held by it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assignment not described in subsection (b)(i)(A) of this Section, such assignment shall be in an aggregate amount of not less than $5,000,000, unless each of the Administrative Agent, and so long as no Specified Event of Default has occurred and is continuing at the time of such assignment, the Borrower otherwise consent (such consent not to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of Commitments and/or Revolving Loans shall be made as an assignment of a proportionate part of all the assigning Lender’s rights and obligations under this Agreement with respect to the Commitments and/or Revolving Loans being assigned, except that this clause (ii) shall not prohibit any Lender from assigning all or a portion of its rights and obligations among separate Facilities on a non-pro rata basis.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w:t>
      </w:r>
      <w:r>
        <w:rPr>
          <w:rFonts w:ascii="Times New Roman" w:hAnsi="Times New Roman"/>
          <w:sz w:val="20"/>
          <w:u w:val="single"/>
        </w:rPr>
        <w:t>Section 11.07(b)(i)(B)</w:t>
      </w:r>
      <w:r>
        <w:rPr>
          <w:rFonts w:ascii="Times New Roman" w:hAnsi="Times New Roman"/>
          <w:sz w:val="20"/>
        </w:rPr>
        <w:t xml:space="preserve"> and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Borrower upon not less than ten (10) Business Days’ prior written notice from the assigning Lender to the Borrower of the proposed assignment, the amount of such assigning Lender’s Commitment and Revolving Loans that will be so assigned and the Person that is proposed to receive such assignment (such consent not to be unreasonably withheld or delayed) shall be required unless (1) a Specified Event of Default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is continuing at the time of such assignment, (2) any other Event of Default has occurred and is continuing that has not been cured to the satisfaction of the Lenders or waived within thirty (30) days of occurrence; (3) such assignment is made to an existing Lender or an Affiliate of the assigning Lender, or (4) such assignment is made to an Pre-Approved Lender; </w:t>
      </w:r>
      <w:r>
        <w:rPr>
          <w:rFonts w:ascii="Times New Roman" w:hAnsi="Times New Roman"/>
          <w:i/>
          <w:sz w:val="20"/>
        </w:rPr>
        <w:t>provided</w:t>
      </w:r>
      <w:r>
        <w:rPr>
          <w:rFonts w:ascii="Times New Roman" w:hAnsi="Times New Roman"/>
          <w:sz w:val="20"/>
        </w:rPr>
        <w:t xml:space="preserve">, that if the Borrower does not reject such assignment or otherwise respond within such ten (10) Business Day period, the Borrower shall be deemed to have consented to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it being acknowledged that a failure of any new lender to clear the Administrative Agent’s KYC process shall be deemed reasonable) shall be required if such assignment is to a Person that is not a Lender, an Affiliate of such Lender or an Approved Fund; and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assignments of Revolving Loans and/or Commitments, each Issuing Bank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and Assumption, together with a processing and recordation fee of $3,500; </w:t>
      </w:r>
      <w:r>
        <w:rPr>
          <w:rFonts w:ascii="Times New Roman" w:hAnsi="Times New Roman"/>
          <w:i/>
          <w:sz w:val="20"/>
        </w:rPr>
        <w:t xml:space="preserve">provided </w:t>
      </w:r>
      <w:r>
        <w:rPr>
          <w:rFonts w:ascii="Times New Roman" w:hAnsi="Times New Roman"/>
          <w:sz w:val="20"/>
        </w:rPr>
        <w:t xml:space="preserve">that (A) the Administrative Agent may, in its sole discretion, elect to waive such processing and recordation fee in the case of any assignment and (B) no processing and recordation fee shall be payable in connection with an assignments by or to a Lead Arranger or its Affiliates. The Eligible Assignee, if it is not a Lender, shall deliver to the Administrative Agent an Administrative Questionnaire and any KYC documentation including any tax forms required under </w:t>
      </w:r>
      <w:r>
        <w:rPr>
          <w:rFonts w:ascii="Times New Roman" w:hAnsi="Times New Roman"/>
          <w:sz w:val="20"/>
          <w:u w:val="single"/>
        </w:rPr>
        <w:t>Sections 3.01(b)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as applicable. Upon receipt of the processing and recordation fee and any written consent to assignment required by </w:t>
      </w:r>
      <w:r>
        <w:rPr>
          <w:rFonts w:ascii="Times New Roman" w:hAnsi="Times New Roman"/>
          <w:sz w:val="20"/>
          <w:u w:val="single"/>
        </w:rPr>
        <w:t>Section 11.07(b)(iii)</w:t>
      </w:r>
      <w:r>
        <w:rPr>
          <w:rFonts w:ascii="Times New Roman" w:hAnsi="Times New Roman"/>
          <w:sz w:val="20"/>
        </w:rPr>
        <w:t xml:space="preserve">, the Administrative Agent shall promptly accept such Assignment and Assumption and record the information contained therein in the Register.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Assignments to Certain Persons</w:t>
      </w:r>
      <w:r>
        <w:rPr>
          <w:rFonts w:ascii="Times New Roman" w:hAnsi="Times New Roman"/>
          <w:sz w:val="20"/>
        </w:rPr>
        <w:t xml:space="preserve">. No such assignment shall be made, </w:t>
      </w:r>
    </w:p>
    <w:p>
      <w:pPr>
        <w:pStyle w:val="TextBody"/>
        <w:bidi w:val="0"/>
        <w:spacing w:before="120" w:after="0"/>
        <w:jc w:val="left"/>
        <w:rPr>
          <w:rFonts w:ascii="Times New Roman" w:hAnsi="Times New Roman"/>
          <w:sz w:val="20"/>
        </w:rPr>
      </w:pPr>
      <w:r>
        <w:rPr>
          <w:rFonts w:ascii="Times New Roman" w:hAnsi="Times New Roman"/>
          <w:sz w:val="20"/>
        </w:rPr>
        <w:t xml:space="preserve">(A) to the Borrower or any of the Subsidiaries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(B) any of the Borrower’s Affiliates, </w:t>
      </w:r>
    </w:p>
    <w:p>
      <w:pPr>
        <w:pStyle w:val="TextBody"/>
        <w:bidi w:val="0"/>
        <w:spacing w:before="120" w:after="0"/>
        <w:jc w:val="left"/>
        <w:rPr>
          <w:rFonts w:ascii="Times New Roman" w:hAnsi="Times New Roman"/>
          <w:sz w:val="20"/>
        </w:rPr>
      </w:pPr>
      <w:r>
        <w:rPr>
          <w:rFonts w:ascii="Times New Roman" w:hAnsi="Times New Roman"/>
          <w:sz w:val="20"/>
        </w:rPr>
        <w:t xml:space="preserve">(C) to any Defaulting Lender or any of its Subsidiaries, or any Person who, upon becoming a Lender hereunder, would constitute any of the foregoing persons described in this clause, </w:t>
      </w:r>
    </w:p>
    <w:p>
      <w:pPr>
        <w:pStyle w:val="TextBody"/>
        <w:bidi w:val="0"/>
        <w:spacing w:before="120" w:after="0"/>
        <w:jc w:val="left"/>
        <w:rPr>
          <w:rFonts w:ascii="Times New Roman" w:hAnsi="Times New Roman"/>
          <w:sz w:val="20"/>
        </w:rPr>
      </w:pPr>
      <w:r>
        <w:rPr>
          <w:rFonts w:ascii="Times New Roman" w:hAnsi="Times New Roman"/>
          <w:sz w:val="20"/>
        </w:rPr>
        <w:t xml:space="preserve">(D) to a natural person, or </w:t>
      </w:r>
    </w:p>
    <w:p>
      <w:pPr>
        <w:pStyle w:val="TextBody"/>
        <w:bidi w:val="0"/>
        <w:spacing w:before="120" w:after="0"/>
        <w:jc w:val="left"/>
        <w:rPr>
          <w:rFonts w:ascii="Times New Roman" w:hAnsi="Times New Roman"/>
          <w:sz w:val="20"/>
        </w:rPr>
      </w:pPr>
      <w:r>
        <w:rPr>
          <w:rFonts w:ascii="Times New Roman" w:hAnsi="Times New Roman"/>
          <w:sz w:val="20"/>
        </w:rPr>
        <w:t xml:space="preserve">(E) to any Person described in the proviso to the definition of “Eligible Assignee”.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Lender shall be entitled to rely conclusively on any Net Short Representation made (or deemed made) to it in any Assignment and Assumption and shall have no duty to inquire as to or investigate the accuracy of any Net Short Representation.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Defaulting Lenders Assignments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Banks and each other Lender hereunder (and interest accrued thereon), and (B) acquire (and fund as appropriate) its full Pro Rata Share of all Loans and participations in Letters of Credit.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w:t>
      </w:r>
      <w:r>
        <w:rPr>
          <w:rFonts w:ascii="Times New Roman" w:hAnsi="Times New Roman"/>
          <w:sz w:val="20"/>
          <w:u w:val="single"/>
        </w:rPr>
        <w:t>clause (c)</w:t>
      </w:r>
      <w:r>
        <w:rPr>
          <w:rFonts w:ascii="Times New Roman" w:hAnsi="Times New Roman"/>
          <w:sz w:val="20"/>
        </w:rPr>
        <w:t xml:space="preserve"> of this </w:t>
      </w:r>
      <w:r>
        <w:rPr>
          <w:rFonts w:ascii="Times New Roman" w:hAnsi="Times New Roman"/>
          <w:sz w:val="20"/>
          <w:u w:val="single"/>
        </w:rPr>
        <w:t>Section 11.07</w:t>
      </w:r>
      <w:r>
        <w:rPr>
          <w:rFonts w:ascii="Times New Roman" w:hAnsi="Times New Roman"/>
          <w:sz w:val="20"/>
        </w:rPr>
        <w:t xml:space="preserve">, from and after the effective date specified in each Assignment and Assumption, the assignee thereunder shall be a party to this Agreement (except in the case of an assignment to or purchase by the Borrower or any of the Borrower’s Subsidiaries) and, to the extent of the interest assigned by such Assignment and Assumption and as permitted by this </w:t>
      </w:r>
      <w:r>
        <w:rPr>
          <w:rFonts w:ascii="Times New Roman" w:hAnsi="Times New Roman"/>
          <w:sz w:val="20"/>
          <w:u w:val="single"/>
        </w:rPr>
        <w:t>Section 11.07</w:t>
      </w:r>
      <w:r>
        <w:rPr>
          <w:rFonts w:ascii="Times New Roman" w:hAnsi="Times New Roman"/>
          <w:sz w:val="20"/>
        </w:rPr>
        <w:t xml:space="preserve">,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11.04</w:t>
      </w:r>
      <w:r>
        <w:rPr>
          <w:rFonts w:ascii="Times New Roman" w:hAnsi="Times New Roman"/>
          <w:sz w:val="20"/>
        </w:rPr>
        <w:t xml:space="preserve"> and </w:t>
      </w:r>
      <w:r>
        <w:rPr>
          <w:rFonts w:ascii="Times New Roman" w:hAnsi="Times New Roman"/>
          <w:sz w:val="20"/>
          <w:u w:val="single"/>
        </w:rPr>
        <w:t>11.05</w:t>
      </w:r>
      <w:r>
        <w:rPr>
          <w:rFonts w:ascii="Times New Roman" w:hAnsi="Times New Roman"/>
          <w:sz w:val="20"/>
        </w:rPr>
        <w:t xml:space="preserve"> with respect to facts and circumstances occurring prior to the effective date of such assignment); </w:t>
      </w:r>
      <w:r>
        <w:rPr>
          <w:rFonts w:ascii="Times New Roman" w:hAnsi="Times New Roman"/>
          <w:i/>
          <w:sz w:val="20"/>
        </w:rPr>
        <w:t>provided</w:t>
      </w:r>
      <w:r>
        <w:rPr>
          <w:rFonts w:ascii="Times New Roman" w:hAnsi="Times New Roman"/>
          <w:sz w:val="20"/>
        </w:rPr>
        <w:t xml:space="preserve"> that anything contained in any of the Loan Documents to the contrary notwithstanding, each Issuing Bank shall continue to have all rights and obligations with respect to any Letters of Credit issued by it until the cancellation or expiration of such Letters of Credit and the reimbursement of any amounts drawn thereunder. Upon request, and the surrender by the assigning Lender of its applicable Revolving Loan Notes under this Agreement, the Borrower (at their expense) shall execute and deliver a Revolving Loan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xml:space="preserve">. The Administrative Agent, acting solely for this purpose as a non-fiduciary agent of the Borrower (and such agency being solely for Tax purposes), shall maintain at one of the Administrative Agent’s Offices a copy of each Assignment and Assumption delivered to it and a register for the recordation of the names and addresses of the Lenders, and the Commitments of, and principal amounts and stated interest of the Loans and Letter of Credit Obligations (specifying the Reimbursement Obligations), Letter of Credit Borrowings and other amounts due under </w:t>
      </w:r>
      <w:r>
        <w:rPr>
          <w:rFonts w:ascii="Times New Roman" w:hAnsi="Times New Roman"/>
          <w:sz w:val="20"/>
          <w:u w:val="single"/>
        </w:rPr>
        <w:t>Section 2.04</w:t>
      </w:r>
      <w:r>
        <w:rPr>
          <w:rFonts w:ascii="Times New Roman" w:hAnsi="Times New Roman"/>
          <w:sz w:val="20"/>
        </w:rPr>
        <w:t xml:space="preserve"> owing to each Lender pursuant to the terms hereof from time to time (the “</w:t>
      </w:r>
      <w:r>
        <w:rPr>
          <w:rFonts w:ascii="Times New Roman" w:hAnsi="Times New Roman"/>
          <w:b/>
          <w:sz w:val="20"/>
        </w:rPr>
        <w:t>Register</w:t>
      </w:r>
      <w:r>
        <w:rPr>
          <w:rFonts w:ascii="Times New Roman" w:hAnsi="Times New Roman"/>
          <w:sz w:val="20"/>
        </w:rPr>
        <w:t xml:space="preserve">”).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or any Lender (but only, in the case of a Lender at the Administrative Agent’s Office and with respect to any entry relating to such Lender’s Commitments, Loans, Letter of Credit Obligations and other Obligations), at any reasonable time and from time to time upon reasonable prior written notice. This </w:t>
      </w:r>
      <w:r>
        <w:rPr>
          <w:rFonts w:ascii="Times New Roman" w:hAnsi="Times New Roman"/>
          <w:sz w:val="20"/>
          <w:u w:val="single"/>
        </w:rPr>
        <w:t>Section 11.07(c)</w:t>
      </w:r>
      <w:r>
        <w:rPr>
          <w:rFonts w:ascii="Times New Roman" w:hAnsi="Times New Roman"/>
          <w:sz w:val="20"/>
        </w:rPr>
        <w:t xml:space="preserve"> and </w:t>
      </w:r>
      <w:r>
        <w:rPr>
          <w:rFonts w:ascii="Times New Roman" w:hAnsi="Times New Roman"/>
          <w:sz w:val="20"/>
          <w:u w:val="single"/>
        </w:rPr>
        <w:t>Section 2.13</w:t>
      </w:r>
      <w:r>
        <w:rPr>
          <w:rFonts w:ascii="Times New Roman" w:hAnsi="Times New Roman"/>
          <w:sz w:val="20"/>
        </w:rPr>
        <w:t xml:space="preserve"> shall be construed so that all Loans are at all times maintained in “registered form” within the meaning of Sections 163(f), 871(h)(2) and 881(c)(2) of the Code and any related Treasury regulations (or any other relevant or successor provisions of the Code or of such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 the Administrative Agent, the Issuing Banks or any other Person sell participations to any Person (other than to (1) a natural person, (2) the Borrower or any of the Borrower’s Affiliates or Subsidiaries, (3) any Disqualified Lender or (4) any Person described in the proviso to the definition of “Eligible Assignee”) (each, a “</w:t>
      </w:r>
      <w:r>
        <w:rPr>
          <w:rFonts w:ascii="Times New Roman" w:hAnsi="Times New Roman"/>
          <w:b/>
          <w:sz w:val="20"/>
        </w:rPr>
        <w:t>Participant</w:t>
      </w:r>
      <w:r>
        <w:rPr>
          <w:rFonts w:ascii="Times New Roman" w:hAnsi="Times New Roman"/>
          <w:sz w:val="20"/>
        </w:rPr>
        <w:t xml:space="preserve">”) in all or a portion of such Lender’s rights and/or obligations under this Agreement (including all or a portion of its Commitment and/or the Loans (including such Lender’s participations in Letters of Credit) owing to it); </w:t>
      </w:r>
      <w:r>
        <w:rPr>
          <w:rFonts w:ascii="Times New Roman" w:hAnsi="Times New Roman"/>
          <w:i/>
          <w:sz w:val="20"/>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hAnsi="Times New Roman"/>
          <w:i/>
          <w:sz w:val="20"/>
        </w:rPr>
        <w:t>provided</w:t>
      </w:r>
      <w:r>
        <w:rPr>
          <w:rFonts w:ascii="Times New Roman" w:hAnsi="Times New Roman"/>
          <w:sz w:val="20"/>
        </w:rPr>
        <w:t xml:space="preserve"> that such agreement or instrument may provide that such Lender will not, without the consent of the Participant, agree to any amendment, waiver or other modification described in </w:t>
      </w:r>
      <w:r>
        <w:rPr>
          <w:rFonts w:ascii="Times New Roman" w:hAnsi="Times New Roman"/>
          <w:sz w:val="20"/>
          <w:u w:val="single"/>
        </w:rPr>
        <w:t>Section 11.01(b)</w:t>
      </w:r>
      <w:r>
        <w:rPr>
          <w:rFonts w:ascii="Times New Roman" w:hAnsi="Times New Roman"/>
          <w:sz w:val="20"/>
        </w:rPr>
        <w:t xml:space="preserve"> (other than </w:t>
      </w:r>
      <w:r>
        <w:rPr>
          <w:rFonts w:ascii="Times New Roman" w:hAnsi="Times New Roman"/>
          <w:sz w:val="20"/>
          <w:u w:val="single"/>
        </w:rPr>
        <w:t>clause (iv)</w:t>
      </w:r>
      <w:r>
        <w:rPr>
          <w:rFonts w:ascii="Times New Roman" w:hAnsi="Times New Roman"/>
          <w:sz w:val="20"/>
        </w:rPr>
        <w:t xml:space="preserve"> thereof) that directly and adversely affects such Participant. Subject to subsection </w:t>
      </w:r>
      <w:r>
        <w:rPr>
          <w:rFonts w:ascii="Times New Roman" w:hAnsi="Times New Roman"/>
          <w:sz w:val="20"/>
          <w:u w:val="single"/>
        </w:rPr>
        <w:t>(e)</w:t>
      </w:r>
      <w:r>
        <w:rPr>
          <w:rFonts w:ascii="Times New Roman" w:hAnsi="Times New Roman"/>
          <w:sz w:val="20"/>
        </w:rPr>
        <w:t xml:space="preserve"> of this Section, the Borrower agrees that each Participant shall be entitled to the benefits of </w:t>
      </w:r>
      <w:r>
        <w:rPr>
          <w:rFonts w:ascii="Times New Roman" w:hAnsi="Times New Roman"/>
          <w:sz w:val="20"/>
          <w:u w:val="single"/>
        </w:rPr>
        <w:t>Sections 3.01</w:t>
      </w:r>
      <w:r>
        <w:rPr>
          <w:rFonts w:ascii="Times New Roman" w:hAnsi="Times New Roman"/>
          <w:sz w:val="20"/>
        </w:rPr>
        <w:t xml:space="preserve"> (subject to the requirements of </w:t>
      </w:r>
      <w:r>
        <w:rPr>
          <w:rFonts w:ascii="Times New Roman" w:hAnsi="Times New Roman"/>
          <w:sz w:val="20"/>
          <w:u w:val="single"/>
        </w:rPr>
        <w:t>Sections 3.01(b)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as applicable (it being understood that the documentation required under such Sections shall be delivered to the participating Lender)), </w:t>
      </w:r>
      <w:r>
        <w:rPr>
          <w:rFonts w:ascii="Times New Roman" w:hAnsi="Times New Roman"/>
          <w:sz w:val="20"/>
          <w:u w:val="single"/>
        </w:rPr>
        <w:t>3.04</w:t>
      </w:r>
      <w:r>
        <w:rPr>
          <w:rFonts w:ascii="Times New Roman" w:hAnsi="Times New Roman"/>
          <w:sz w:val="20"/>
        </w:rPr>
        <w:t xml:space="preserve"> and </w:t>
      </w:r>
      <w:r>
        <w:rPr>
          <w:rFonts w:ascii="Times New Roman" w:hAnsi="Times New Roman"/>
          <w:sz w:val="20"/>
          <w:u w:val="single"/>
        </w:rPr>
        <w:t>3.05</w:t>
      </w:r>
      <w:r>
        <w:rPr>
          <w:rFonts w:ascii="Times New Roman" w:hAnsi="Times New Roman"/>
          <w:sz w:val="20"/>
        </w:rPr>
        <w:t xml:space="preserve"> (through the applicable Lender) to the same extent as if it were a Lender and had acquired its interest by assignment pursuant to subsection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11.07</w:t>
      </w:r>
      <w:r>
        <w:rPr>
          <w:rFonts w:ascii="Times New Roman" w:hAnsi="Times New Roman"/>
          <w:sz w:val="20"/>
        </w:rPr>
        <w:t xml:space="preserve">. To the extent permitted by applicable Law, each Participant also shall be entitled to the benefits of </w:t>
      </w:r>
      <w:r>
        <w:rPr>
          <w:rFonts w:ascii="Times New Roman" w:hAnsi="Times New Roman"/>
          <w:sz w:val="20"/>
          <w:u w:val="single"/>
        </w:rPr>
        <w:t>Section 11.09</w:t>
      </w:r>
      <w:r>
        <w:rPr>
          <w:rFonts w:ascii="Times New Roman" w:hAnsi="Times New Roman"/>
          <w:sz w:val="20"/>
        </w:rPr>
        <w:t xml:space="preserve"> as though it were a Lender; </w:t>
      </w:r>
      <w:r>
        <w:rPr>
          <w:rFonts w:ascii="Times New Roman" w:hAnsi="Times New Roman"/>
          <w:i/>
          <w:sz w:val="20"/>
        </w:rPr>
        <w:t>provided</w:t>
      </w:r>
      <w:r>
        <w:rPr>
          <w:rFonts w:ascii="Times New Roman" w:hAnsi="Times New Roman"/>
          <w:sz w:val="20"/>
        </w:rPr>
        <w:t xml:space="preserve"> that such Participant agrees to be subject to </w:t>
      </w:r>
      <w:r>
        <w:rPr>
          <w:rFonts w:ascii="Times New Roman" w:hAnsi="Times New Roman"/>
          <w:sz w:val="20"/>
          <w:u w:val="single"/>
        </w:rPr>
        <w:t>Section 2.15</w:t>
      </w:r>
      <w:r>
        <w:rPr>
          <w:rFonts w:ascii="Times New Roman" w:hAnsi="Times New Roman"/>
          <w:sz w:val="20"/>
        </w:rPr>
        <w:t xml:space="preserve"> as though it were a Lender.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any participation is purported to be made to a Disqualified Lender (other than a Net Short Lender) or to any Person that was (at the time of such participation) a Net Short Lender on a pro forma basis for such participation, such transaction shall be subject to the applicable provisions of </w:t>
      </w:r>
      <w:r>
        <w:rPr>
          <w:rFonts w:ascii="Times New Roman" w:hAnsi="Times New Roman"/>
          <w:sz w:val="20"/>
          <w:u w:val="single"/>
        </w:rPr>
        <w:t>Section 11.28(a)</w:t>
      </w:r>
      <w:r>
        <w:rPr>
          <w:rFonts w:ascii="Times New Roman" w:hAnsi="Times New Roman"/>
          <w:sz w:val="20"/>
        </w:rPr>
        <w:t xml:space="preserve"> (and the Borrower shall be entitled to seek specific performance in any applicable court of law or equity to enforce this sentence); </w:t>
      </w:r>
      <w:r>
        <w:rPr>
          <w:rFonts w:ascii="Times New Roman" w:hAnsi="Times New Roman"/>
          <w:i/>
          <w:sz w:val="20"/>
        </w:rPr>
        <w:t>provided</w:t>
      </w:r>
      <w:r>
        <w:rPr>
          <w:rFonts w:ascii="Times New Roman" w:hAnsi="Times New Roman"/>
          <w:sz w:val="20"/>
        </w:rPr>
        <w:t xml:space="preserve"> that a Lender shall be entitled to rely conclusively on any Net Short Representation made (or deemed made) to it in any agreement or instrument documenting or otherwise evidencing such participation and shall have no duty to inquire as to or investigate the accuracy of any Net Short Representation therein or provided in connection with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upon Participant Rights</w:t>
      </w:r>
      <w:r>
        <w:rPr>
          <w:rFonts w:ascii="Times New Roman" w:hAnsi="Times New Roman"/>
          <w:sz w:val="20"/>
        </w:rPr>
        <w:t xml:space="preserve">. A Participant shall not be entitled to receive any greater payment under </w:t>
      </w:r>
      <w:r>
        <w:rPr>
          <w:rFonts w:ascii="Times New Roman" w:hAnsi="Times New Roman"/>
          <w:sz w:val="20"/>
          <w:u w:val="single"/>
        </w:rPr>
        <w:t>Section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or </w:t>
      </w:r>
      <w:r>
        <w:rPr>
          <w:rFonts w:ascii="Times New Roman" w:hAnsi="Times New Roman"/>
          <w:sz w:val="20"/>
          <w:u w:val="single"/>
        </w:rPr>
        <w:t>3.05</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the Borrower’s prior written consent, such consent not to be unreasonably withheld or delayed, or such entitlement to a greater payment results from a change in law that occurs after the Participant acquired the participation. Each Lender that sells a participation or has a loan funded by an SPC shall (acting solely for this purpose as a non-fiduciary agent of the Borrower) maintain a register complying with the requirements of Sections 163(f), 871(h) and 881(c)(2) of the Code and the Treasury regulations (or any other relevant or successor provisions of the Code or of such Treasury regulations) issued thereunder relating to the exemption from withholding for portfolio interest on which is entered the name and address of each Participant or SPC and the principal amounts (and stated interest) of each Participant’s or SPC’s interest in the Loans or other obligations under this Agreement (the “</w:t>
      </w:r>
      <w:r>
        <w:rPr>
          <w:rFonts w:ascii="Times New Roman" w:hAnsi="Times New Roman"/>
          <w:b/>
          <w:sz w:val="20"/>
        </w:rPr>
        <w:t>Participant Register</w:t>
      </w:r>
      <w:r>
        <w:rPr>
          <w:rFonts w:ascii="Times New Roman" w:hAnsi="Times New Roman"/>
          <w:sz w:val="20"/>
        </w:rPr>
        <w:t xml:space="preserve">”). A Lender shall not be obligated to disclose the Participant Register to any Person except to the extent such disclosure is necessary to establish that any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Liens on Loans</w:t>
      </w:r>
      <w:r>
        <w:rPr>
          <w:rFonts w:ascii="Times New Roman" w:hAnsi="Times New Roman"/>
          <w:sz w:val="20"/>
        </w:rPr>
        <w:t xml:space="preserve">. Any Lender may, at any time without the consent of the Borrower or the Administrative Agent, pledge or assign a security interest in all or any portion of its rights under this Agreement (including under its Revolving Loan Notes, if any) to secure obligations of such Lender, including any pledge or assignment to secure obligations to a Federal Reserve Bank or any other central bank; </w:t>
      </w:r>
      <w:r>
        <w:rPr>
          <w:rFonts w:ascii="Times New Roman" w:hAnsi="Times New Roman"/>
          <w:i/>
          <w:sz w:val="20"/>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Special Purpose Funding Vehicles</w:t>
      </w:r>
      <w:r>
        <w:rPr>
          <w:rFonts w:ascii="Times New Roman" w:hAnsi="Times New Roman"/>
          <w:sz w:val="20"/>
        </w:rPr>
        <w:t>. Notwithstanding anything to the contrary contained herein, any Lender (a “</w:t>
      </w:r>
      <w:r>
        <w:rPr>
          <w:rFonts w:ascii="Times New Roman" w:hAnsi="Times New Roman"/>
          <w:b/>
          <w:sz w:val="20"/>
        </w:rPr>
        <w:t>Granting Lender</w:t>
      </w:r>
      <w:r>
        <w:rPr>
          <w:rFonts w:ascii="Times New Roman" w:hAnsi="Times New Roman"/>
          <w:sz w:val="20"/>
        </w:rPr>
        <w:t>”) may grant to a special purpose funding vehicle identified as such in writing from time to time by the Granting Lender to the Administrative Agent and the Borrower (an “</w:t>
      </w:r>
      <w:r>
        <w:rPr>
          <w:rFonts w:ascii="Times New Roman" w:hAnsi="Times New Roman"/>
          <w:b/>
          <w:sz w:val="20"/>
        </w:rPr>
        <w:t>SPC</w:t>
      </w:r>
      <w:r>
        <w:rPr>
          <w:rFonts w:ascii="Times New Roman" w:hAnsi="Times New Roman"/>
          <w:sz w:val="20"/>
        </w:rPr>
        <w:t xml:space="preserve">”) the option to provide all or any part of any Loan that such Granting Lender would otherwise be obligated to make pursuant to this Agreement; </w:t>
      </w:r>
      <w:r>
        <w:rPr>
          <w:rFonts w:ascii="Times New Roman" w:hAnsi="Times New Roman"/>
          <w:i/>
          <w:sz w:val="20"/>
        </w:rPr>
        <w:t>provided</w:t>
      </w:r>
      <w:r>
        <w:rPr>
          <w:rFonts w:ascii="Times New Roman" w:hAnsi="Times New Roman"/>
          <w:sz w:val="20"/>
        </w:rPr>
        <w:t xml:space="preserve"> that (i) nothing herein shall constitute a commitment by any SPC to fund any Loan, and (ii) if an SPC elects not to exercise such option or otherwise fails to make all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their obligations under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and </w:t>
      </w:r>
      <w:r>
        <w:rPr>
          <w:rFonts w:ascii="Times New Roman" w:hAnsi="Times New Roman"/>
          <w:sz w:val="20"/>
          <w:u w:val="single"/>
        </w:rPr>
        <w:t>3.05</w:t>
      </w:r>
      <w:r>
        <w:rPr>
          <w:rFonts w:ascii="Times New Roman" w:hAnsi="Times New Roman"/>
          <w:sz w:val="20"/>
        </w:rPr>
        <w:t xml:space="preserve">), (B) no SPC shall be liable for any indemnity or similar payment obligation under this Agreement for which a Lender would be liable,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(1)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(2) disclose on a confidential basis any non-public information relating to its funding of Loans to any rating agency, commercial paper dealer or provider of any surety or Guarantee or credit or liquidity enhancement to such SPC.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Resignation of Issuing Bank</w:t>
      </w:r>
      <w:r>
        <w:rPr>
          <w:rFonts w:ascii="Times New Roman" w:hAnsi="Times New Roman"/>
          <w:sz w:val="20"/>
        </w:rPr>
        <w:t xml:space="preserve">. Notwithstanding anything to the contrary contained herein, any Issuing Bank may, upon thirty (30) days’ notice to the Borrower and the Revolving Lenders, resign as an Issuing Bank; </w:t>
      </w:r>
      <w:r>
        <w:rPr>
          <w:rFonts w:ascii="Times New Roman" w:hAnsi="Times New Roman"/>
          <w:i/>
          <w:sz w:val="20"/>
        </w:rPr>
        <w:t>provided</w:t>
      </w:r>
      <w:r>
        <w:rPr>
          <w:rFonts w:ascii="Times New Roman" w:hAnsi="Times New Roman"/>
          <w:sz w:val="20"/>
        </w:rPr>
        <w:t xml:space="preserve"> that on or prior to the expiration of such 30-day period with respect to such resignation, the relevant Issuing Bank shall have identified a successor Issuing Bank reasonably acceptable to the Borrower willing to accept its appointment as successor Issuing Bank hereunder. In the event of any such resignation of an Issuing Bank, the Borrower shall be entitled to appoint from among the Lenders willing to accept such appointment a successor Issuing Bank hereunder; </w:t>
      </w:r>
      <w:r>
        <w:rPr>
          <w:rFonts w:ascii="Times New Roman" w:hAnsi="Times New Roman"/>
          <w:i/>
          <w:sz w:val="20"/>
        </w:rPr>
        <w:t>provided</w:t>
      </w:r>
      <w:r>
        <w:rPr>
          <w:rFonts w:ascii="Times New Roman" w:hAnsi="Times New Roman"/>
          <w:sz w:val="20"/>
        </w:rPr>
        <w:t xml:space="preserve"> that no failure by the Borrower to appoint any such successor shall affect the resignation of the relevant Issuing Bank, except as expressly provided above. If an Issuing Bank resigns as an Issuing Bank, it shall retain all the rights and obligations of an Issuing Bank hereunder with respect to all Letters of Credit outstanding as of the effective date of its resignation as an Issuing Bank and all Letter of Credit Obligations with respect thereto (including the right to require the Lenders to make Base Rate Loans or fund risk participations in Letters of Credit pursuant to </w:t>
      </w:r>
      <w:r>
        <w:rPr>
          <w:rFonts w:ascii="Times New Roman" w:hAnsi="Times New Roman"/>
          <w:sz w:val="20"/>
          <w:u w:val="single"/>
        </w:rPr>
        <w:t>Section 2.04(c)</w:t>
      </w:r>
      <w:r>
        <w:rPr>
          <w:rFonts w:ascii="Times New Roman" w:hAnsi="Times New Roman"/>
          <w:sz w:val="20"/>
        </w:rPr>
        <w:t xml:space="preserve">). Upon the appointment by the Borrower of a successor Issuing Bank hereunder (which successor shall in all cases be a Lender other than a Defaulting Lender), (i) such successor shall succeed to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become vested with all of the rights, powers, privileges and duties of the retiring Issuing Bank, (ii) the retiring Issuing Bank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(l) [Reserved]. </w:t>
      </w:r>
    </w:p>
    <w:p>
      <w:pPr>
        <w:pStyle w:val="TextBody"/>
        <w:bidi w:val="0"/>
        <w:spacing w:before="240" w:after="0"/>
        <w:jc w:val="left"/>
        <w:rPr>
          <w:rFonts w:ascii="Times New Roman" w:hAnsi="Times New Roman"/>
          <w:sz w:val="20"/>
        </w:rPr>
      </w:pPr>
      <w:r>
        <w:rPr>
          <w:rFonts w:ascii="Times New Roman" w:hAnsi="Times New Roman"/>
          <w:sz w:val="20"/>
        </w:rPr>
        <w:t xml:space="preserve">(m)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Confidentiality</w:t>
      </w:r>
      <w:r>
        <w:rPr>
          <w:rFonts w:ascii="Times New Roman" w:hAnsi="Times New Roman"/>
          <w:sz w:val="20"/>
        </w:rPr>
        <w:t xml:space="preserve">. Each of the Administrative Agent, the Collateral Agent, the Lead Arranger, the Issuing Banks and the Lenders agrees to maintain the confidentiality of the Information in accordance with its customary procedures (as set forth below), except that Information may be disclosed, </w:t>
      </w:r>
    </w:p>
    <w:p>
      <w:pPr>
        <w:pStyle w:val="TextBody"/>
        <w:bidi w:val="0"/>
        <w:spacing w:before="240" w:after="0"/>
        <w:jc w:val="left"/>
        <w:rPr>
          <w:rFonts w:ascii="Times New Roman" w:hAnsi="Times New Roman"/>
          <w:sz w:val="20"/>
        </w:rPr>
      </w:pPr>
      <w:r>
        <w:rPr>
          <w:rFonts w:ascii="Times New Roman" w:hAnsi="Times New Roman"/>
          <w:sz w:val="20"/>
        </w:rPr>
        <w:t xml:space="preserve">(a)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in no event shall such disclosure be made to any Disqualified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hAnsi="Times New Roman"/>
          <w:sz w:val="20"/>
          <w:u w:val="single"/>
        </w:rPr>
        <w:t>clause (a)</w:t>
      </w:r>
      <w:r>
        <w:rPr>
          <w:rFonts w:ascii="Times New Roman" w:hAnsi="Times New Roman"/>
          <w:sz w:val="20"/>
        </w:rPr>
        <w:t xml:space="preserve"> but only to the extent that a list of such Disqualified Lenders is available to all Lenders upon request),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requested by any regulatory authority purporting to have jurisdiction over it (including the Federal Reserve Bank or any other central bank or any self-regulatory authority, such as the National Association of Insurance Commissioners),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required by applicable laws or regulations or by any subpoena or similar legal process, </w:t>
      </w:r>
      <w:r>
        <w:rPr>
          <w:rFonts w:ascii="Times New Roman" w:hAnsi="Times New Roman"/>
          <w:i/>
          <w:sz w:val="20"/>
        </w:rPr>
        <w:t xml:space="preserve">provided </w:t>
      </w:r>
      <w:r>
        <w:rPr>
          <w:rFonts w:ascii="Times New Roman" w:hAnsi="Times New Roman"/>
          <w:sz w:val="20"/>
        </w:rPr>
        <w:t xml:space="preserve">that the Administrative Agent, the Collateral Agent, such Lead Arranger or such Lender or Issuing Bank, as applicable, agrees that it will notify the Borrower as soon as practicable in the event of any such disclosure by such Person (other than at the request of a regulatory authority) unless such notification is prohibited by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to any other party hereto (it being understood that in no event shall such disclosure be made to any Disqualified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hAnsi="Times New Roman"/>
          <w:sz w:val="20"/>
          <w:u w:val="single"/>
        </w:rPr>
        <w:t>clause (d)</w:t>
      </w:r>
      <w:r>
        <w:rPr>
          <w:rFonts w:ascii="Times New Roman" w:hAnsi="Times New Roman"/>
          <w:sz w:val="20"/>
        </w:rPr>
        <w:t xml:space="preserve"> but only to the extent the list of such Disqualified Lenders is available to all Lenders upon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connection with the exercise of any remedies hereunder or under any other Loan Document or any action or proceeding relating to this Agreement or any other Loan Document or the enforcement of rights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(f) subject to an agreement containing provisions at least as restrictive as those of this </w:t>
      </w:r>
      <w:r>
        <w:rPr>
          <w:rFonts w:ascii="Times New Roman" w:hAnsi="Times New Roman"/>
          <w:sz w:val="20"/>
          <w:u w:val="single"/>
        </w:rPr>
        <w:t>Section 11.08</w:t>
      </w:r>
      <w:r>
        <w:rPr>
          <w:rFonts w:ascii="Times New Roman" w:hAnsi="Times New Roman"/>
          <w:sz w:val="20"/>
        </w:rPr>
        <w:t xml:space="preserve"> (it being understood that in no event shall such disclosure be made to any Disqualified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hAnsi="Times New Roman"/>
          <w:sz w:val="20"/>
          <w:u w:val="single"/>
        </w:rPr>
        <w:t>clause (f)</w:t>
      </w:r>
      <w:r>
        <w:rPr>
          <w:rFonts w:ascii="Times New Roman" w:hAnsi="Times New Roman"/>
          <w:sz w:val="20"/>
        </w:rPr>
        <w:t xml:space="preserve"> but only to the extent that a list of such Disqualified Lenders is available to all Lenders upon request), to (i) any </w:t>
      </w:r>
      <w:r>
        <w:rPr>
          <w:rFonts w:ascii="Times New Roman" w:hAnsi="Times New Roman"/>
          <w:i/>
          <w:sz w:val="20"/>
        </w:rPr>
        <w:t xml:space="preserve">bona fide </w:t>
      </w:r>
      <w:r>
        <w:rPr>
          <w:rFonts w:ascii="Times New Roman" w:hAnsi="Times New Roman"/>
          <w:sz w:val="20"/>
        </w:rPr>
        <w:t xml:space="preserve">assignee of or Participant in, or any prospective assignee of or Participant in, any of its rights or obligations under this Agreement or any Eligible Assignee invited to be an Additional Lender or (ii) any actual or prospective direct or indirect counterparty (or its advisors) to any swap or derivative transaction relating to the Borrower or any of their Subsidiaries or any of their respective obligations, </w:t>
      </w:r>
    </w:p>
    <w:p>
      <w:pPr>
        <w:pStyle w:val="TextBody"/>
        <w:bidi w:val="0"/>
        <w:spacing w:before="240" w:after="0"/>
        <w:jc w:val="left"/>
        <w:rPr>
          <w:rFonts w:ascii="Times New Roman" w:hAnsi="Times New Roman"/>
          <w:sz w:val="20"/>
        </w:rPr>
      </w:pPr>
      <w:r>
        <w:rPr>
          <w:rFonts w:ascii="Times New Roman" w:hAnsi="Times New Roman"/>
          <w:sz w:val="20"/>
        </w:rPr>
        <w:t xml:space="preserve">(g) with the prior written consent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(h) to any rating agency when required by it (it being understood that, prior to any such disclosure, such rating agency shall undertake to preserve the confidentiality of any Information relating to the Loan Parties received by it from such Lender), </w:t>
      </w:r>
    </w:p>
    <w:p>
      <w:pPr>
        <w:pStyle w:val="TextBody"/>
        <w:bidi w:val="0"/>
        <w:spacing w:before="240" w:after="0"/>
        <w:jc w:val="left"/>
        <w:rPr>
          <w:rFonts w:ascii="Times New Roman" w:hAnsi="Times New Roman"/>
          <w:sz w:val="20"/>
        </w:rPr>
      </w:pPr>
      <w:r>
        <w:rPr>
          <w:rFonts w:ascii="Times New Roman" w:hAnsi="Times New Roman"/>
          <w:sz w:val="20"/>
        </w:rPr>
        <w:t xml:space="preserve">(i) to any credit insurance providers of the Lenders; </w:t>
      </w:r>
      <w:r>
        <w:rPr>
          <w:rFonts w:ascii="Times New Roman" w:hAnsi="Times New Roman"/>
          <w:i/>
          <w:sz w:val="20"/>
        </w:rPr>
        <w:t>provided</w:t>
      </w:r>
      <w:r>
        <w:rPr>
          <w:rFonts w:ascii="Times New Roman" w:hAnsi="Times New Roman"/>
          <w:sz w:val="20"/>
        </w:rPr>
        <w:t xml:space="preserve"> that prior to the disclosure of any proprietary or non-public information relating to the Company, other than any Loan Document, in connection with this clause (i), the credit insurance provider shall enter into an agreement containing confidentiality obligations to the disclosing Lender on terms similar to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(j) to the extent such Information (i) becomes publicly available other than as a result of a breach of this </w:t>
      </w:r>
      <w:r>
        <w:rPr>
          <w:rFonts w:ascii="Times New Roman" w:hAnsi="Times New Roman"/>
          <w:sz w:val="20"/>
          <w:u w:val="single"/>
        </w:rPr>
        <w:t>Section 11.08</w:t>
      </w:r>
      <w:r>
        <w:rPr>
          <w:rFonts w:ascii="Times New Roman" w:hAnsi="Times New Roman"/>
          <w:sz w:val="20"/>
        </w:rPr>
        <w:t xml:space="preserve"> or (ii) becomes available to the Administrative Agent, the Collateral Agent, any Lead Arranger, any Lender, any Issuing Bank or any of their respective Affiliates on a non-confidential basis from a source other than the Borrower or any Subsidiary thereof, and which source is not known by such Person to be subject to a confidentiality restriction in respect thereof in favor of the Borrower or any Affiliate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the Administrative Agent, the Collateral Agent, the Lead Arranger, the Issuing Bank and the Lenders may disclose the existence of this Agreement and the information about this Agreement to the CUSIP Service Bureau or any similar agency in connection with the issuance and monitoring of CUSIP numbers with respect to the Loans, market data collectors, similar service providers to the lending industry, and service providers to the Administrative Agent, the Collateral Agent, the Lead Arranger, the Issuing Banks and the Lenders in connection with the administration and management of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11.08</w:t>
      </w:r>
      <w:r>
        <w:rPr>
          <w:rFonts w:ascii="Times New Roman" w:hAnsi="Times New Roman"/>
          <w:sz w:val="20"/>
        </w:rPr>
        <w:t>, “</w:t>
      </w:r>
      <w:r>
        <w:rPr>
          <w:rFonts w:ascii="Times New Roman" w:hAnsi="Times New Roman"/>
          <w:b/>
          <w:sz w:val="20"/>
        </w:rPr>
        <w:t>Information</w:t>
      </w:r>
      <w:r>
        <w:rPr>
          <w:rFonts w:ascii="Times New Roman" w:hAnsi="Times New Roman"/>
          <w:sz w:val="20"/>
        </w:rPr>
        <w:t xml:space="preserve">” means all information received from or on behalf of any Loan Party or any Subsidiary thereof relating to any Loan Party or any Subsidiary thereof or their respective businesses, other than any such information that is available to the Administrative Agent, the Collateral Agent or any Lender on a non-confidential basis prior to disclosure by any Loan Party or any Subsidiary thereof; it being understood that all information received from the Borrower or any Subsidiary after the date hereof shall be deemed confidential unless such information is clearly identified at the time of delivery as not being confidential. Any Person required to maintain the confidentiality of Information as provided in this </w:t>
      </w:r>
      <w:r>
        <w:rPr>
          <w:rFonts w:ascii="Times New Roman" w:hAnsi="Times New Roman"/>
          <w:sz w:val="20"/>
          <w:u w:val="single"/>
        </w:rPr>
        <w:t>Section 11.08</w:t>
      </w:r>
      <w:r>
        <w:rPr>
          <w:rFonts w:ascii="Times New Roman" w:hAnsi="Times New Roman"/>
          <w:sz w:val="20"/>
        </w:rPr>
        <w:t xml:space="preserve"> shall be considered to have complied with its obligation to do so in accordance with its customary procedures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Administrative Agent, the Collateral Agent, the Lead Arranger and the Lenders acknowledges that (A) the Information may include Private-Side Information concerning the Borrower or a Subsidiary, as the case may be, (B) it has developed compliance procedures regarding the use of Private-Side Information and (C) it will handle such Private-Side Information in accordance with applicable Law, including United States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therein, nothing in any Loan Document shall require the Borrower or any of its subsidiaries to provide information (i) that constitutes non-financial trade secrets or non-financial proprietary information, (ii) in respect of which disclosure is prohibited by applicable Law, (iii) that is subject to attorney client or similar privilege or constitutes attorney work product or (iv) the disclosure of which is restricted by binding agreements not entered into primarily for the purpose of qualifying for the exclusion in this </w:t>
      </w:r>
      <w:r>
        <w:rPr>
          <w:rFonts w:ascii="Times New Roman" w:hAnsi="Times New Roman"/>
          <w:sz w:val="20"/>
          <w:u w:val="single"/>
        </w:rPr>
        <w:t>clause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11.09 </w:t>
      </w:r>
      <w:r>
        <w:rPr>
          <w:rFonts w:ascii="Times New Roman" w:hAnsi="Times New Roman"/>
          <w:sz w:val="20"/>
          <w:u w:val="single"/>
        </w:rPr>
        <w:t>Set-off</w:t>
      </w:r>
      <w:r>
        <w:rPr>
          <w:rFonts w:ascii="Times New Roman" w:hAnsi="Times New Roman"/>
          <w:sz w:val="20"/>
        </w:rPr>
        <w:t xml:space="preserve">. If an Event of Default shall have occurred and be continuing, each Lender and each Issuing Bank and each of their respective Affiliates is hereby authorized at any time and from time to time, without prior notice to the Administrative Agent, any Loan Party or to any other Person, any such notice being hereby expressly waived, to the fullest extent permitted by applicable law, to set off and apply any and all deposits (general or special, time or demand, provisional or final, in whatever currency) at any time held and other obligations (in whatever currency) at any time owing by such Lender or such Issuing Bank or any such Affiliate to or for the credit or the account of the Borrower or any other Loan Party against any and all of the obligations of such Borrower or such Loan Party now or hereafter existing under this Agreement or any other Loan Document to such Lender or such Issuing Bank, the Letters of Credit and participations therein, irrespective of whether or not (a) such Lender or such Issuing Bank shall have made any demand under this Agreement or any other Loan Document and (b) the principal of or the interest on the Loans or any amounts in respect of the Letters of Credit or any other amounts due hereunder shall have become due and payable pursuant to </w:t>
      </w:r>
      <w:r>
        <w:rPr>
          <w:rFonts w:ascii="Times New Roman" w:hAnsi="Times New Roman"/>
          <w:sz w:val="20"/>
          <w:u w:val="single"/>
        </w:rPr>
        <w:t>Article II</w:t>
      </w:r>
      <w:r>
        <w:rPr>
          <w:rFonts w:ascii="Times New Roman" w:hAnsi="Times New Roman"/>
          <w:sz w:val="20"/>
        </w:rPr>
        <w:t xml:space="preserve"> and although such obligations of such Borrower or such Loan Party may be contingent or unmatured or are owed to a branch or office of such Lender or such Issuing Bank different from the branch or office holding such deposit or obligated on such indebtedness; </w:t>
      </w:r>
      <w:r>
        <w:rPr>
          <w:rFonts w:ascii="Times New Roman" w:hAnsi="Times New Roman"/>
          <w:i/>
          <w:sz w:val="20"/>
        </w:rPr>
        <w:t xml:space="preserve">provided </w:t>
      </w:r>
      <w:r>
        <w:rPr>
          <w:rFonts w:ascii="Times New Roman" w:hAnsi="Times New Roman"/>
          <w:sz w:val="20"/>
        </w:rPr>
        <w:t xml:space="preserve">that in the event that any Defaulting Lender shall exercise any such right of setoff, (i) all amounts so set off shall be paid over immediately to the Administrative Agent for further application in accordance with the provisions of </w:t>
      </w:r>
      <w:r>
        <w:rPr>
          <w:rFonts w:ascii="Times New Roman" w:hAnsi="Times New Roman"/>
          <w:sz w:val="20"/>
          <w:u w:val="single"/>
        </w:rPr>
        <w:t>Sections 2.15</w:t>
      </w:r>
      <w:r>
        <w:rPr>
          <w:rFonts w:ascii="Times New Roman" w:hAnsi="Times New Roman"/>
          <w:sz w:val="20"/>
        </w:rPr>
        <w:t xml:space="preserve"> and </w:t>
      </w:r>
      <w:r>
        <w:rPr>
          <w:rFonts w:ascii="Times New Roman" w:hAnsi="Times New Roman"/>
          <w:sz w:val="20"/>
          <w:u w:val="single"/>
        </w:rPr>
        <w:t>2.19</w:t>
      </w:r>
      <w:r>
        <w:rPr>
          <w:rFonts w:ascii="Times New Roman" w:hAnsi="Times New Roman"/>
          <w:sz w:val="20"/>
        </w:rPr>
        <w:t xml:space="preserve"> and, pending such payment, shall be segregated by such Defaulting Lender from its other funds and deemed held in trust for the benefit of the Administrative Agent, the Issuing Banks, and the Lenders, and (ii)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Defaulting Lender shall provide promptly to the Administrative Agent a statement describing in reasonable detail the Obligations owing to such Defaulting Lender as to which it exercised such right of setoff. The rights of each Lender and each Issuing Bank and their respective Affiliates under this Section are in addition to other rights and remedies (including other rights of set-off) that such Lender or such Issuing Bank or Affiliates may have. Each Lender agrees to notify the Borrower and the Administrative Agent promptly after any such set-off and application, provided 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sz w:val="20"/>
          <w:u w:val="single"/>
        </w:rPr>
        <w:t>Interest Rate Limitation</w:t>
      </w:r>
      <w:r>
        <w:rPr>
          <w:rFonts w:ascii="Times New Roman" w:hAnsi="Times New Roman"/>
          <w:sz w:val="20"/>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 w:hAnsi="Times New Roman"/>
          <w:b/>
          <w:sz w:val="20"/>
        </w:rPr>
        <w:t>Maximum Rate</w:t>
      </w:r>
      <w:r>
        <w:rPr>
          <w:rFonts w:ascii="Times New Roman" w:hAnsi="Times New Roman"/>
          <w:sz w:val="20"/>
        </w:rPr>
        <w:t xml:space="preserve">”).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 to conform strictly to any applicable usury laws.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sz w:val="20"/>
          <w:u w:val="single"/>
        </w:rPr>
        <w:t>Counterparts; Integration; Effectiveness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counterparts (and by different parties hereto in different counterparts), each of which when so executed shall be deemed to be an original and all of which when taken together shall constitute one and the same instrument.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Agreement. This Agreement and the other Loan Documents constitute the entire contract among the parties relating to the subject matter hereof and supersede any and all previous agreements and understandings, oral or written, relating to the subject matter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party hereto represents and warrants to the other parties hereto that it has the corporate capacity and authority to execute this Agreement through electronic means and there are no restrictions for doing so in such party’s constitutive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sz w:val="20"/>
          <w:u w:val="single"/>
        </w:rPr>
        <w:t>Electronic Execution of Assignments and Certain Other</w:t>
      </w:r>
      <w:r>
        <w:rPr>
          <w:rFonts w:ascii="Times New Roman" w:hAnsi="Times New Roman"/>
          <w:sz w:val="20"/>
        </w:rPr>
        <w:t xml:space="preserve"> </w:t>
      </w:r>
      <w:r>
        <w:rPr>
          <w:rFonts w:ascii="Times New Roman" w:hAnsi="Times New Roman"/>
          <w:sz w:val="20"/>
          <w:u w:val="single"/>
        </w:rPr>
        <w:t>Documents</w:t>
      </w:r>
      <w:r>
        <w:rPr>
          <w:rFonts w:ascii="Times New Roman" w:hAnsi="Times New Roman"/>
          <w:sz w:val="20"/>
        </w:rPr>
        <w:t xml:space="preserve">. The words “execution,” “signed,” “signature,” and words of like import in this Agreement, any Assignment and Assumption,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as the case may be, relating to the electronic execution of agreements; </w:t>
      </w:r>
      <w:r>
        <w:rPr>
          <w:rFonts w:ascii="Times New Roman" w:hAnsi="Times New Roman"/>
          <w:i/>
          <w:sz w:val="20"/>
        </w:rPr>
        <w:t>provided</w:t>
      </w:r>
      <w:r>
        <w:rPr>
          <w:rFonts w:ascii="Times New Roman" w:hAnsi="Times New Roman"/>
          <w:sz w:val="20"/>
        </w:rPr>
        <w:t xml:space="preserve"> that notwithstanding anything contained herein to the contrary, the Administrative Agent is under no obligation to agree to accept electronic signatures in any form or any format unless expressly agreed to by the Administrative Agent pursuant to procedures approved by it. </w:t>
      </w:r>
    </w:p>
    <w:p>
      <w:pPr>
        <w:pStyle w:val="TextBody"/>
        <w:bidi w:val="0"/>
        <w:spacing w:before="240" w:after="0"/>
        <w:jc w:val="left"/>
        <w:rPr>
          <w:rFonts w:ascii="Times New Roman" w:hAnsi="Times New Roman"/>
          <w:sz w:val="20"/>
        </w:rPr>
      </w:pPr>
      <w:r>
        <w:rPr>
          <w:rFonts w:ascii="Times New Roman" w:hAnsi="Times New Roman"/>
          <w:sz w:val="20"/>
        </w:rPr>
        <w:t xml:space="preserve">SECTION 11.13 </w:t>
      </w:r>
      <w:r>
        <w:rPr>
          <w:rFonts w:ascii="Times New Roman" w:hAnsi="Times New Roman"/>
          <w:sz w:val="20"/>
          <w:u w:val="single"/>
        </w:rPr>
        <w:t>Survival</w:t>
      </w:r>
      <w:r>
        <w:rPr>
          <w:rFonts w:ascii="Times New Roman" w:hAnsi="Times New Roman"/>
          <w:sz w:val="20"/>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Issuing Bank and each Lender, regardless of any investigation made by the Administrative Agent, any Issuing Bank or any Lender or on their behalf and notwithstanding that the Administrative Agent, any Issuing Bank or any Lender may have had notice or knowledge of any Default at the time of any Borrowing or issuance of a Letter of Credit, and shall continue in full force and effect as long as any Loan or any other Obligation hereunder shall remain unpaid or unsatisfied or any Letter of Credit remain outstanding. Notwithstanding anything herein or implied by law to the contrary, the agreements of each Loan Party set forth in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11.04</w:t>
      </w:r>
      <w:r>
        <w:rPr>
          <w:rFonts w:ascii="Times New Roman" w:hAnsi="Times New Roman"/>
          <w:sz w:val="20"/>
        </w:rPr>
        <w:t xml:space="preserve">, </w:t>
      </w:r>
      <w:r>
        <w:rPr>
          <w:rFonts w:ascii="Times New Roman" w:hAnsi="Times New Roman"/>
          <w:sz w:val="20"/>
          <w:u w:val="single"/>
        </w:rPr>
        <w:t>11.05</w:t>
      </w:r>
      <w:r>
        <w:rPr>
          <w:rFonts w:ascii="Times New Roman" w:hAnsi="Times New Roman"/>
          <w:sz w:val="20"/>
        </w:rPr>
        <w:t xml:space="preserve"> and </w:t>
      </w:r>
      <w:r>
        <w:rPr>
          <w:rFonts w:ascii="Times New Roman" w:hAnsi="Times New Roman"/>
          <w:sz w:val="20"/>
          <w:u w:val="single"/>
        </w:rPr>
        <w:t>11.09</w:t>
      </w:r>
      <w:r>
        <w:rPr>
          <w:rFonts w:ascii="Times New Roman" w:hAnsi="Times New Roman"/>
          <w:sz w:val="20"/>
        </w:rPr>
        <w:t xml:space="preserve"> and the agreements of the Lenders set forth in </w:t>
      </w:r>
      <w:r>
        <w:rPr>
          <w:rFonts w:ascii="Times New Roman" w:hAnsi="Times New Roman"/>
          <w:sz w:val="20"/>
          <w:u w:val="single"/>
        </w:rPr>
        <w:t>Sections 2.15</w:t>
      </w:r>
      <w:r>
        <w:rPr>
          <w:rFonts w:ascii="Times New Roman" w:hAnsi="Times New Roman"/>
          <w:sz w:val="20"/>
        </w:rPr>
        <w:t xml:space="preserve">, </w:t>
      </w:r>
      <w:r>
        <w:rPr>
          <w:rFonts w:ascii="Times New Roman" w:hAnsi="Times New Roman"/>
          <w:sz w:val="20"/>
          <w:u w:val="single"/>
        </w:rPr>
        <w:t>10.03</w:t>
      </w:r>
      <w:r>
        <w:rPr>
          <w:rFonts w:ascii="Times New Roman" w:hAnsi="Times New Roman"/>
          <w:sz w:val="20"/>
        </w:rPr>
        <w:t xml:space="preserve"> and </w:t>
      </w:r>
      <w:r>
        <w:rPr>
          <w:rFonts w:ascii="Times New Roman" w:hAnsi="Times New Roman"/>
          <w:sz w:val="20"/>
          <w:u w:val="single"/>
        </w:rPr>
        <w:t>10.07</w:t>
      </w:r>
      <w:r>
        <w:rPr>
          <w:rFonts w:ascii="Times New Roman" w:hAnsi="Times New Roman"/>
          <w:sz w:val="20"/>
        </w:rPr>
        <w:t xml:space="preserve"> shall survive the satisfaction of the Termination Conditions, and the termination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11.14 </w:t>
      </w:r>
      <w:r>
        <w:rPr>
          <w:rFonts w:ascii="Times New Roman" w:hAnsi="Times New Roman"/>
          <w:sz w:val="20"/>
          <w:u w:val="single"/>
        </w:rPr>
        <w:t>Severability</w:t>
      </w:r>
      <w:r>
        <w:rPr>
          <w:rFonts w:ascii="Times New Roman" w:hAnsi="Times New Roman"/>
          <w:sz w:val="20"/>
        </w:rPr>
        <w:t xml:space="preserve">. If any provision of this Agreement or the other Loan Documents is held to be illegal, invalid or unenforceable in any jurisdiction, (a) the legality, validity and enforceability of the remaining provisions or obligations, or of such provision or obligation in any other jurisdiction,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sz w:val="20"/>
          <w:u w:val="single"/>
        </w:rPr>
        <w:t>Section 11.14</w:t>
      </w:r>
      <w:r>
        <w:rPr>
          <w:rFonts w:ascii="Times New Roman" w:hAnsi="Times New Roman"/>
          <w:sz w:val="20"/>
        </w:rPr>
        <w:t xml:space="preserve">, if and to the extent that the enforceability of any provisions in this Agreement relating to Defaulting Lenders shall be limited by Debtor Relief Laws, as determined in good faith by the Administrative Agent or any Issuing Bank, as applicable, then such provisions shall be deemed to be in effect only to the extent not so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11.15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THE RIGHTS AND OBLIGATIONS OF THE PARTIES HEREUNDER (INCLUDING ANY CLAIMS SOUNDING IN CONTRACT LAW OR TORT LAW ARISING OUT OF THE SUBJECT MATTER HEREOF AND ANY DETERMINATIONS WITH RESPECT TO POST-JUDGMENT INTEREST) AND EACH OTHER LOAN DOCUMENT SHALL BE GOVERNED BY, AND SHALL BE CONSTRUED AND ENFORCED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BY EXECUTING AND DELIVERING THIS AGREEMENT, EACH PARTY HERETO (AND BY ITS ACCEPTANCE OF ITS APPOINTMENT IN SUCH CAPACITY, EACH LEAD ARRANGER)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ANY OTHER LOAN DOCUMENT (OTHER THAN WITH RESPECT TO ACTIONS BY ANY AGENT IN RESPECT OF RIGHTS UNDER ANY COLLATERAL DOCUMENT GOVERNED BY A LAW OTHER THAN THE LAWS OF THE STATE OF NEW YORK (INCLUDING ANY VESSEL MORTGAGE) OR WITH RESPECT TO ANY COLLATERAL SUBJECT THERETO), OR FOR RECOGNITION OR ENFORCEMENT OF ANY JUDGMENT, AND EACH OF THE PARTIES HERETO (AND BY ITS ACCEPTANCE OF ITS APPOINTMENT IN SUCH CAPACITY, EACH LEAD ARRANGER) IRREVOCABLY AND UNCONDITIONALLY AGREES THAT ALL CLAIMS IN RESPECT OF ANY SUCH ACTION OR PROCEEDING MAY BE HEARD AND DETERMINED IN SUCH NEW YORK STATE COURT OR, TO THE FULLEST EXTENT PERMITTED BY APPLICABLE LAW, IN SUCH FEDERAL COURT. EACH OF THE PARTIES HERETO (AND BY ITS ACCEPTANCE OF ITS APPOINTMENT IN SUCH CAPACITY, EACH LEAD ARRANGER) AGREES THAT A FINAL JUDGMENT IN ANY SUCH ACTION OR PROCEEDING SHALL BE CONCLUSIVE AND MAY BE ENFORCED IN OTHER JURISDICTIONS BY SUIT ON THE JUDGMENT OR IN ANY OTHER MANNER PROVIDED BY LAW. EACH PARTY HERETO (AND BY ITS ACCEPTANCE OF ITS APPOINTMENT IN SUCH CAPACITY, EACH LEAD ARRANGER)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11.15</w:t>
      </w:r>
      <w:r>
        <w:rPr>
          <w:rFonts w:ascii="Times New Roman" w:hAnsi="Times New Roman"/>
          <w:sz w:val="20"/>
        </w:rPr>
        <w:t xml:space="preserve">. EACH OF THE PARTIES HERETO (AND BY ITS ACCEPTANCE OF ITS APPOINTMENT IN SUCH CAPACITY, EACH LEAD ARRANGER) HEREBY IRREVOCABLY WAIVES, TO THE FULLEST EXTENT PERMITTED BY APPLICABLE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SECTION 11.16 </w:t>
      </w:r>
      <w:r>
        <w:rPr>
          <w:rFonts w:ascii="Times New Roman" w:hAnsi="Times New Roman"/>
          <w:sz w:val="20"/>
          <w:u w:val="single"/>
        </w:rPr>
        <w:t>WAIVER OF RIGHT TO TRIAL BY JURY</w:t>
      </w:r>
      <w:r>
        <w:rPr>
          <w:rFonts w:ascii="Times New Roman" w:hAnsi="Times New Roman"/>
          <w:sz w:val="20"/>
        </w:rPr>
        <w:t xml:space="preserve">. EACH PARTY HERETO (AND BY ITS ACCEPTANCE OF ITS APPOINTMENT IN SUCH CAPACITY, EACH LEAD ARRANGER)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(AND BY ITS ACCEPTANCE OF ITS APPOINTMENT IN SUCH CAPACITY, EACH LEAD ARRANGER)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hAnsi="Times New Roman"/>
          <w:sz w:val="20"/>
          <w:u w:val="single"/>
        </w:rPr>
        <w:t>SECTION 11.16</w:t>
      </w:r>
      <w:r>
        <w:rPr>
          <w:rFonts w:ascii="Times New Roman" w:hAnsi="Times New Roman"/>
          <w:sz w:val="20"/>
        </w:rPr>
        <w:t xml:space="preserve">, THAT EACH HAS ALREADY RELIED ON THIS WAIVER IN ENTERING INTO THIS AGREEMENT, AND THAT EACH WILL CONTINUE TO RELY ON THIS WAIVER IN ITS RELATED FUTURE DEALINGS. EACH PARTY HERETO (AND BY ITS ACCEPTANCE OF ITS APPOINTMENT IN SUCH CAPACITY, EACH LEAD ARRANGER)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hAnsi="Times New Roman"/>
          <w:sz w:val="20"/>
          <w:u w:val="single"/>
        </w:rPr>
        <w:t>SECTION 11.16</w:t>
      </w:r>
      <w:r>
        <w:rPr>
          <w:rFonts w:ascii="Times New Roman" w:hAnsi="Times New Roman"/>
          <w:sz w:val="20"/>
        </w:rPr>
        <w:t xml:space="preserve"> AND EXECUTED BY EACH OF THE PARTIES HERETO AND THE LEAD ARRANGER),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11.17 </w:t>
      </w:r>
      <w:r>
        <w:rPr>
          <w:rFonts w:ascii="Times New Roman" w:hAnsi="Times New Roman"/>
          <w:sz w:val="20"/>
          <w:u w:val="single"/>
        </w:rPr>
        <w:t>Limitation of Liability</w:t>
      </w:r>
      <w:r>
        <w:rPr>
          <w:rFonts w:ascii="Times New Roman" w:hAnsi="Times New Roman"/>
          <w:sz w:val="20"/>
        </w:rPr>
        <w:t xml:space="preserve">. The Loan Parties agree that no Indemnitee shall have any liability (whether in contract, tort or otherwise) to any Loan Party or any of their respective Subsidiaries or any of their respective equity holders or creditors for or in connection with the transactions contemplated hereby and in the other Loan Documents, except to the extent such liability is determined in a final, non-appealable judgment by a court of competent jurisdiction to have resulted from such Indemnitee’s gross negligence or willful misconduct by such Indemnitee of its obligations under this Agreement. In no event, shall any party hereto, any Loan Party or any Indemnitee be liable on any theory of liability for any special, indirect, consequential or punitive damages (including any loss of profits, business or anticipated savings) (other than, in the case of the Borrower, in respect of any such damages incurred or paid by an Indemnitee to a third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11.18 </w:t>
      </w:r>
      <w:r>
        <w:rPr>
          <w:rFonts w:ascii="Times New Roman" w:hAnsi="Times New Roman"/>
          <w:sz w:val="20"/>
          <w:u w:val="single"/>
        </w:rPr>
        <w:t>Use of Name, Logo, Etc</w:t>
      </w:r>
      <w:r>
        <w:rPr>
          <w:rFonts w:ascii="Times New Roman" w:hAnsi="Times New Roman"/>
          <w:sz w:val="20"/>
        </w:rPr>
        <w:t xml:space="preserve">. Each Loan Party consents to the publication in the ordinary course by the Administrative Agent or any Lead Arranger of customary advertising material relating to the financing transactions contemplated by this Agreement using such Loan Party’s name, product photographs, logo or trademark; </w:t>
      </w:r>
      <w:r>
        <w:rPr>
          <w:rFonts w:ascii="Times New Roman" w:hAnsi="Times New Roman"/>
          <w:i/>
          <w:sz w:val="20"/>
        </w:rPr>
        <w:t>provided</w:t>
      </w:r>
      <w:r>
        <w:rPr>
          <w:rFonts w:ascii="Times New Roman" w:hAnsi="Times New Roman"/>
          <w:sz w:val="20"/>
        </w:rPr>
        <w:t xml:space="preserve"> that any such trademarks or logos are used solely in a manner that is not intended to or reasonably likely to harm or disparage the Borrower or any of their Subsidiaries or the reputation or goodwill of any of them. Such consent shall remain effective until revoked by such Loan Party in writing to the Administrative Agent and such Lead Arranger,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11.19 </w:t>
      </w:r>
      <w:r>
        <w:rPr>
          <w:rFonts w:ascii="Times New Roman" w:hAnsi="Times New Roman"/>
          <w:sz w:val="20"/>
          <w:u w:val="single"/>
        </w:rPr>
        <w:t>USA PATRIOT Act Notice</w:t>
      </w:r>
      <w:r>
        <w:rPr>
          <w:rFonts w:ascii="Times New Roman" w:hAnsi="Times New Roman"/>
          <w:sz w:val="20"/>
        </w:rPr>
        <w:t xml:space="preserve">. Each Lender that is subject to the USA PATRIOT Act and the Agents (for itself and not on behalf of any Lender) hereby notifies each Loan Party that pursuant to the requirements of the USA PATRIOT Act, it is required to obtain, verify and record information that identifies each Loan Party, which information includes the name and address of each Loan Party and other information that will allow such Lender or the Agents, as applicable, to identify each Loan Party in accordance with the USA PATRIOT Act. Each Loan Party shall, promptly following a request by the Agents or any Lender, provide all documentation and other information that the Agents or such Lender requests in order to comply with its ongoing obligations under applicable “know your customer” and anti-money laundering rules and regulations, including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11.20 </w:t>
      </w:r>
      <w:r>
        <w:rPr>
          <w:rFonts w:ascii="Times New Roman" w:hAnsi="Times New Roman"/>
          <w:sz w:val="20"/>
          <w:u w:val="single"/>
        </w:rPr>
        <w:t>Force Majeure</w:t>
      </w:r>
      <w:r>
        <w:rPr>
          <w:rFonts w:ascii="Times New Roman" w:hAnsi="Times New Roman"/>
          <w:sz w:val="20"/>
        </w:rPr>
        <w:t xml:space="preserve">. The Collateral Agent shall in no event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civil or military disturbances, nuclear or natural catastrophes or acts of God, and interruptions, loss or malfunctions of utilities, communications or computer (software and hardware) services or the unavailability of the Federal Reserve Bank wire or telex or other wire or communication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11.21 </w:t>
      </w:r>
      <w:r>
        <w:rPr>
          <w:rFonts w:ascii="Times New Roman" w:hAnsi="Times New Roman"/>
          <w:sz w:val="20"/>
          <w:u w:val="single"/>
        </w:rPr>
        <w:t>Collateral Agent Merger</w:t>
      </w:r>
      <w:r>
        <w:rPr>
          <w:rFonts w:ascii="Times New Roman" w:hAnsi="Times New Roman"/>
          <w:sz w:val="20"/>
        </w:rPr>
        <w:t xml:space="preserve">. Any organization or entity into which the Collateral Agent may be converted or merged, or with which it may be consolidated, or to which it may sell or transfer all or substantially all of its corporate trust business and assets as a whole or substantially as a whole, or any organization or entity resulting from any such conversion, sale, merger, consolidation or transfer to which the Collateral Agent is a party, will be and become the successor to the Collateral Agent under this Agreement and will have and succeed to the rights, powers, duties, immunities and privileges as its predecessor, without the execution or filing of any instrument or paper or the performance of any further act. </w:t>
      </w:r>
    </w:p>
    <w:p>
      <w:pPr>
        <w:pStyle w:val="TextBody"/>
        <w:bidi w:val="0"/>
        <w:spacing w:before="240" w:after="0"/>
        <w:jc w:val="left"/>
        <w:rPr>
          <w:rFonts w:ascii="Times New Roman" w:hAnsi="Times New Roman"/>
          <w:sz w:val="20"/>
        </w:rPr>
      </w:pPr>
      <w:r>
        <w:rPr>
          <w:rFonts w:ascii="Times New Roman" w:hAnsi="Times New Roman"/>
          <w:sz w:val="20"/>
        </w:rPr>
        <w:t xml:space="preserve">SECTION 11.22 </w:t>
      </w:r>
      <w:r>
        <w:rPr>
          <w:rFonts w:ascii="Times New Roman" w:hAnsi="Times New Roman"/>
          <w:sz w:val="20"/>
          <w:u w:val="single"/>
        </w:rPr>
        <w:t>Service of Process</w:t>
      </w:r>
      <w:r>
        <w:rPr>
          <w:rFonts w:ascii="Times New Roman" w:hAnsi="Times New Roman"/>
          <w:sz w:val="20"/>
        </w:rPr>
        <w:t xml:space="preserve">. EACH PARTY HERETO (AND BY ITS ACCEPTANCE OF ITS APPOINTMENT IN SUCH CAPACITY, EACH LEAD ARRANGER) IRREVOCABLY CONSENTS TO SERVICE OF PROCESS IN THE MANNER PROVIDED FOR NOTICES IN </w:t>
      </w:r>
      <w:r>
        <w:rPr>
          <w:rFonts w:ascii="Times New Roman" w:hAnsi="Times New Roman"/>
          <w:sz w:val="20"/>
          <w:u w:val="single"/>
        </w:rPr>
        <w:t>SECTION 11.02</w:t>
      </w:r>
      <w:r>
        <w:rPr>
          <w:rFonts w:ascii="Times New Roman" w:hAnsi="Times New Roman"/>
          <w:sz w:val="20"/>
        </w:rPr>
        <w:t xml:space="preserve">. NOTHING IN THIS AGREEMENT WILL AFFECT THE RIGHT OF ANY PARTY HERETO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11.23 </w:t>
      </w:r>
      <w:r>
        <w:rPr>
          <w:rFonts w:ascii="Times New Roman" w:hAnsi="Times New Roman"/>
          <w:sz w:val="20"/>
          <w:u w:val="single"/>
        </w:rPr>
        <w:t>No Advisory or Fiduciary Responsibility</w:t>
      </w:r>
      <w:r>
        <w:rPr>
          <w:rFonts w:ascii="Times New Roman" w:hAnsi="Times New Roman"/>
          <w:sz w:val="20"/>
        </w:rPr>
        <w:t xml:space="preserve">. In connection with all aspects of each transaction contemplated hereby (including in connection with any amendment, waiver or other modification hereof or of any other Loan Document), each Loan Party acknowledges and agrees, and acknowledges its Affiliates’ understanding that: (a) (i) the transactions contemplated by the Loan Documents (including the exercise of rights and remedies hereunder and thereunder) are arm’s-length commercial transactions between the Agents, the Lenders, the Issuing Banks and the Lead Arranger on the one hand, and the Loan Parties and their Affiliates,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the Agents, the Issuing Banks and the Lead Arranger are and have been, and each Lender is and has been, acting solely as a principal and, except as expressly agreed in writing by the relevant parties, have or has not been, are or is not, and will not be acting as an advisor, agent or fiduciary for the Loan Parties, its stockholders or its Affiliates (irrespective of whether any Lender has advised, is currently advising or will advise any Loan Party, its stockholders or its Affiliates on other matters), or any other Person and (ii) none of the Agents, the Issuing Banks, the Lead Arranger nor any Lender has any obligation to the Borrower or any of its Affiliates with respect to the transactions contemplated hereby except those obligations expressly set forth herein and in the other Loan Documents; and (c) the Agents, the Issuing Banks, the Lead Arranger, the Lenders and their respective Affiliates may be engaged in a broad range of transactions that involve economic interests that conflict with those of the Loan Parties, their stockholders and/or their affiliates, and none of the Agents, the Issuing Banks, the Lead Arranger nor any Lender has any obligation to disclose any of such interests to the Borrower or any of its respective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To the fullest extent permitted by law, each Loan Party hereby waives and releases any claims that it may have against the Agents, the Issuing Banks, the Lead Arranger or any Lender with respect to any breach or alleged breach of agency or fiduciary duty in connection with any aspect of any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11.24 </w:t>
      </w:r>
      <w:r>
        <w:rPr>
          <w:rFonts w:ascii="Times New Roman" w:hAnsi="Times New Roman"/>
          <w:sz w:val="20"/>
          <w:u w:val="single"/>
        </w:rPr>
        <w:t>Binding Effect</w:t>
      </w:r>
      <w:r>
        <w:rPr>
          <w:rFonts w:ascii="Times New Roman" w:hAnsi="Times New Roman"/>
          <w:sz w:val="20"/>
        </w:rPr>
        <w:t xml:space="preserve">. This Agreement shall become effective when it shall have been executed by the Borrower and the Administrative Agent and the Administrative Agent shall have been notified by each Lender and each Issuing Bank that each such Lender or each such Issuing Bank has executed it and thereafter shall be binding upon and inure to the benefit of the Borrower, each Agent, each Lender and each Issuing Bank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11.25 </w:t>
      </w:r>
      <w:r>
        <w:rPr>
          <w:rFonts w:ascii="Times New Roman" w:hAnsi="Times New Roman"/>
          <w:sz w:val="20"/>
          <w:u w:val="single"/>
        </w:rPr>
        <w:t>Obligations Several; Independent Nature of Lender’s Rights</w:t>
      </w:r>
      <w:r>
        <w:rPr>
          <w:rFonts w:ascii="Times New Roman" w:hAnsi="Times New Roman"/>
          <w:sz w:val="20"/>
        </w:rPr>
        <w:t xml:space="preserve">. The obligations of the Lenders hereunder are several and not joint and no Lender shall be responsible for the obligations or—Commitments of any other Lender hereunder. Nothing contained herein or in any other Loan Document, and no action taken by the Lenders pursuant hereto or thereto, shall be deemed to constitute the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11.26 </w:t>
      </w:r>
      <w:r>
        <w:rPr>
          <w:rFonts w:ascii="Times New Roman" w:hAnsi="Times New Roman"/>
          <w:sz w:val="20"/>
          <w:u w:val="single"/>
        </w:rPr>
        <w:t>Headings</w:t>
      </w:r>
      <w:r>
        <w:rPr>
          <w:rFonts w:ascii="Times New Roman" w:hAnsi="Times New Roman"/>
          <w:sz w:val="20"/>
        </w:rPr>
        <w:t xml:space="preserve">. Section headings herein are included herein for convenience of reference only and shall not constitute a part hereof for any other purpose or be given any substantive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11.27 </w:t>
      </w:r>
      <w:r>
        <w:rPr>
          <w:rFonts w:ascii="Times New Roman" w:hAnsi="Times New Roman"/>
          <w:sz w:val="20"/>
          <w:u w:val="single"/>
        </w:rPr>
        <w:t>Acknowledgement and Consent to Bail-In of Affected Financial</w:t>
      </w:r>
      <w:r>
        <w:rPr>
          <w:rFonts w:ascii="Times New Roman" w:hAnsi="Times New Roman"/>
          <w:sz w:val="20"/>
        </w:rPr>
        <w:t xml:space="preserve"> </w:t>
      </w:r>
      <w:r>
        <w:rPr>
          <w:rFonts w:ascii="Times New Roman" w:hAnsi="Times New Roman"/>
          <w:sz w:val="20"/>
          <w:u w:val="single"/>
        </w:rPr>
        <w:t>Institutions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11.25</w:t>
      </w:r>
      <w:r>
        <w:rPr>
          <w:rFonts w:ascii="Times New Roman" w:hAnsi="Times New Roman"/>
          <w:sz w:val="20"/>
        </w:rPr>
        <w:t xml:space="preserve"> are intended to comply with, and shall be interpreted in light of, Article 55 of Directive 2014/59/EU of the European Parliament and of the Council of the European Union. </w:t>
      </w:r>
    </w:p>
    <w:p>
      <w:pPr>
        <w:pStyle w:val="TextBody"/>
        <w:bidi w:val="0"/>
        <w:spacing w:before="240" w:after="0"/>
        <w:jc w:val="left"/>
        <w:rPr>
          <w:rFonts w:ascii="Times New Roman" w:hAnsi="Times New Roman"/>
          <w:sz w:val="20"/>
        </w:rPr>
      </w:pPr>
      <w:r>
        <w:rPr>
          <w:rFonts w:ascii="Times New Roman" w:hAnsi="Times New Roman"/>
          <w:sz w:val="20"/>
        </w:rPr>
        <w:t xml:space="preserve">SECTION 11.28 </w:t>
      </w:r>
      <w:r>
        <w:rPr>
          <w:rFonts w:ascii="Times New Roman" w:hAnsi="Times New Roman"/>
          <w:sz w:val="20"/>
          <w:u w:val="single"/>
        </w:rPr>
        <w:t>Acknowledgment Regarding Any Supported QFCs</w:t>
      </w:r>
      <w:r>
        <w:rPr>
          <w:rFonts w:ascii="Times New Roman" w:hAnsi="Times New Roman"/>
          <w:sz w:val="20"/>
        </w:rPr>
        <w:t>. (a) To the extent that the Loan Documents provide support, through a guarantee or otherwise (including the Guaranty), for any Hedge Agreement or any other agreement or instrument that is a QFC (such support, “</w:t>
      </w:r>
      <w:r>
        <w:rPr>
          <w:rFonts w:ascii="Times New Roman" w:hAnsi="Times New Roman"/>
          <w:b/>
          <w:sz w:val="20"/>
        </w:rPr>
        <w:t>QFC Credit Support</w:t>
      </w:r>
      <w:r>
        <w:rPr>
          <w:rFonts w:ascii="Times New Roman" w:hAnsi="Times New Roman"/>
          <w:sz w:val="20"/>
        </w:rPr>
        <w:t>”, and each such QFC, a “</w:t>
      </w:r>
      <w:r>
        <w:rPr>
          <w:rFonts w:ascii="Times New Roman" w:hAnsi="Times New Roman"/>
          <w:b/>
          <w:sz w:val="20"/>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sz w:val="20"/>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b/>
          <w:sz w:val="20"/>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SECTION 11.29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11.30 </w:t>
      </w:r>
      <w:r>
        <w:rPr>
          <w:rFonts w:ascii="Times New Roman" w:hAnsi="Times New Roman"/>
          <w:sz w:val="20"/>
          <w:u w:val="single"/>
        </w:rPr>
        <w:t>Disqualified Lenders and Net Short Positions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Replacement of Disqualified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To the extent that any assignment or participation is made or purported to be made to a Disqualified Lender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clause (d)</w:t>
      </w:r>
      <w:r>
        <w:rPr>
          <w:rFonts w:ascii="Times New Roman" w:hAnsi="Times New Roman"/>
          <w:sz w:val="20"/>
        </w:rPr>
        <w:t xml:space="preserve"> of the definition thereof (notwithstanding the other restrictions in this Agreement with respect to Disqualified Lenders), or if any Lender or Participant becomes a Disqualified Lender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clause (d)</w:t>
      </w:r>
      <w:r>
        <w:rPr>
          <w:rFonts w:ascii="Times New Roman" w:hAnsi="Times New Roman"/>
          <w:sz w:val="20"/>
        </w:rPr>
        <w:t xml:space="preserve"> of the definition thereof, in each case, without limiting any other provision of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upon the request of the Borrower, such Disqualified Lender shall be required immediately (and in any event within five Business Days) to assign all or any portion of the Loans and Commitments then owned by such Disqualified Lender (or held as a participation) to another Lender (other than a Defaulting Lender or another Disqualified Lender), Eligible Assignee or the Borrower, and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have the right to prepay all or any portion of the Loans and Commitments then owned by such Disqualified Lender (or held as a participation), and if applicable, terminate the Commitments of such Disqualified Lender, in whole or in part. </w:t>
      </w:r>
    </w:p>
    <w:p>
      <w:pPr>
        <w:pStyle w:val="TextBody"/>
        <w:bidi w:val="0"/>
        <w:spacing w:before="120" w:after="0"/>
        <w:jc w:val="left"/>
        <w:rPr>
          <w:rFonts w:ascii="Times New Roman" w:hAnsi="Times New Roman"/>
          <w:sz w:val="20"/>
        </w:rPr>
      </w:pPr>
      <w:r>
        <w:rPr>
          <w:rFonts w:ascii="Times New Roman" w:hAnsi="Times New Roman"/>
          <w:sz w:val="20"/>
        </w:rPr>
        <w:t xml:space="preserve">(ii) Any such assignment or prepayment shall be made in exchange for an amount equal to the lesser of (A) the face principal amount of the Loans so assigned and (B) the amount that such Disqualified Lender paid to acquire such Commitments and/or Loans, in each case without interest thereon (it being understood that if the effective date of any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shall be entitled to seek specific performance in any applicable court of law or equity to enforce this </w:t>
      </w:r>
      <w:r>
        <w:rPr>
          <w:rFonts w:ascii="Times New Roman" w:hAnsi="Times New Roman"/>
          <w:sz w:val="20"/>
          <w:u w:val="single"/>
        </w:rPr>
        <w:t>Section 11.28</w:t>
      </w:r>
      <w:r>
        <w:rPr>
          <w:rFonts w:ascii="Times New Roman" w:hAnsi="Times New Roman"/>
          <w:sz w:val="20"/>
        </w:rPr>
        <w:t xml:space="preserve">. In addition, in connection with any such assignment, (A) if such Disqualified Lender does not execute and deliver to the Administrative Agent a duly completed Assignment and Assumption and/or any other documentation necessary or appropriate (in the good faith determination of the Administrative Agent or the Borrower, which determination shall be conclusive) to reflect such replacement by the later of (1) the date on which the replacement Lender executes and delivers such Assignment and Assumption and/or such other documentation and (2) the date as of which such Disqualified Lender shall be paid by the assignee Lender (or, at its option, the Borrower) the amount required pursuant to this </w:t>
      </w:r>
      <w:r>
        <w:rPr>
          <w:rFonts w:ascii="Times New Roman" w:hAnsi="Times New Roman"/>
          <w:sz w:val="20"/>
          <w:u w:val="single"/>
        </w:rPr>
        <w:t>Section 11.28</w:t>
      </w:r>
      <w:r>
        <w:rPr>
          <w:rFonts w:ascii="Times New Roman" w:hAnsi="Times New Roman"/>
          <w:sz w:val="20"/>
        </w:rPr>
        <w:t xml:space="preserve">, then such Disqualified Lender shall be deemed to have executed and delivered such Assignment and Assumption and/or such other documentation as of such date and the Borrower shall be entitled (but not obligated) to execute and deliver such Assignment and Assumption and/or such other documentation on behalf of such Disqualified Lender, and the Administrative Agent shall record such assignment in the Register, (B) each Lender (whether or not then a party hereto) agrees to disclose to the Borrower the amount that the applicable Disqualified Lender paid to acquire Commitments and/or Loans from such Lender and (C) each Lender that is a Disqualified Lender agrees to disclose to the Borrower the amount it paid to acquire the Commitments and/or Loans held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 Consents and Waivers under the Loan Documents</w:t>
      </w:r>
      <w:r>
        <w:rPr>
          <w:rFonts w:ascii="Times New Roman" w:hAnsi="Times New Roman"/>
          <w:sz w:val="20"/>
        </w:rPr>
        <w:t xml:space="preserve">. No Net Short Lender shall have the right to approve or disapprove any amendment, waiver or consent pursuant to </w:t>
      </w:r>
      <w:r>
        <w:rPr>
          <w:rFonts w:ascii="Times New Roman" w:hAnsi="Times New Roman"/>
          <w:sz w:val="20"/>
          <w:u w:val="single"/>
        </w:rPr>
        <w:t>Section 11.01</w:t>
      </w:r>
      <w:r>
        <w:rPr>
          <w:rFonts w:ascii="Times New Roman" w:hAnsi="Times New Roman"/>
          <w:sz w:val="20"/>
        </w:rPr>
        <w:t xml:space="preserve"> or under any Loan Document. In connection with any determination as to whether the requisite Lenders (including whether the Required Lenders) have provided any amendment, waiver or consent pursuant to </w:t>
      </w:r>
      <w:r>
        <w:rPr>
          <w:rFonts w:ascii="Times New Roman" w:hAnsi="Times New Roman"/>
          <w:sz w:val="20"/>
          <w:u w:val="single"/>
        </w:rPr>
        <w:t>Section 11.01</w:t>
      </w:r>
      <w:r>
        <w:rPr>
          <w:rFonts w:ascii="Times New Roman" w:hAnsi="Times New Roman"/>
          <w:sz w:val="20"/>
        </w:rPr>
        <w:t xml:space="preserve"> or under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 Net Short Lenders shall not be considered, and </w:t>
      </w:r>
    </w:p>
    <w:p>
      <w:pPr>
        <w:pStyle w:val="TextBody"/>
        <w:bidi w:val="0"/>
        <w:spacing w:before="120" w:after="0"/>
        <w:jc w:val="left"/>
        <w:rPr>
          <w:rFonts w:ascii="Times New Roman" w:hAnsi="Times New Roman"/>
          <w:sz w:val="20"/>
        </w:rPr>
      </w:pPr>
      <w:r>
        <w:rPr>
          <w:rFonts w:ascii="Times New Roman" w:hAnsi="Times New Roman"/>
          <w:sz w:val="20"/>
        </w:rPr>
        <w:t xml:space="preserve">(ii) Net Short Lenders shall be deemed to have consented to any such amendment, waiver or consent with respect to its interest as a Lender in the same proportion as the allocation of voting with respect to such matter by Lenders who are not Net Short Lenders. </w:t>
      </w:r>
    </w:p>
    <w:p>
      <w:pPr>
        <w:pStyle w:val="TextBody"/>
        <w:bidi w:val="0"/>
        <w:spacing w:before="240" w:after="0"/>
        <w:jc w:val="left"/>
        <w:rPr>
          <w:rFonts w:ascii="Times New Roman" w:hAnsi="Times New Roman"/>
          <w:sz w:val="20"/>
        </w:rPr>
      </w:pPr>
      <w:r>
        <w:rPr>
          <w:rFonts w:ascii="Times New Roman" w:hAnsi="Times New Roman"/>
          <w:sz w:val="20"/>
        </w:rPr>
        <w:t xml:space="preserve">Each Lender that is not an Unrestricted Lender that delivers a written consent to any amendment, waiver or consent pursuant to </w:t>
      </w:r>
      <w:r>
        <w:rPr>
          <w:rFonts w:ascii="Times New Roman" w:hAnsi="Times New Roman"/>
          <w:sz w:val="20"/>
          <w:u w:val="single"/>
        </w:rPr>
        <w:t>Section 11.01</w:t>
      </w:r>
      <w:r>
        <w:rPr>
          <w:rFonts w:ascii="Times New Roman" w:hAnsi="Times New Roman"/>
          <w:sz w:val="20"/>
        </w:rPr>
        <w:t xml:space="preserve"> or under any other Loan Document shall concurrently deliver (or in the absence of any written Net Short Representation will be deemed to have delivered, concurrently with providing such consent) to the Borrower (with a copy to the Administrative Agent) a Net Short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Limitation on Rights and Privileges of Disqualified Lenders</w:t>
      </w:r>
      <w:r>
        <w:rPr>
          <w:rFonts w:ascii="Times New Roman" w:hAnsi="Times New Roman"/>
          <w:sz w:val="20"/>
        </w:rPr>
        <w:t xml:space="preserve">. Except as otherwise provided in </w:t>
      </w:r>
      <w:r>
        <w:rPr>
          <w:rFonts w:ascii="Times New Roman" w:hAnsi="Times New Roman"/>
          <w:sz w:val="20"/>
          <w:u w:val="single"/>
        </w:rPr>
        <w:t>Section 11.01(i)</w:t>
      </w:r>
      <w:r>
        <w:rPr>
          <w:rFonts w:ascii="Times New Roman" w:hAnsi="Times New Roman"/>
          <w:sz w:val="20"/>
        </w:rPr>
        <w:t xml:space="preserve"> or in </w:t>
      </w:r>
      <w:r>
        <w:rPr>
          <w:rFonts w:ascii="Times New Roman" w:hAnsi="Times New Roman"/>
          <w:sz w:val="20"/>
          <w:u w:val="single"/>
        </w:rPr>
        <w:t>Section 11.28(b)(ii)</w:t>
      </w:r>
      <w:r>
        <w:rPr>
          <w:rFonts w:ascii="Times New Roman" w:hAnsi="Times New Roman"/>
          <w:sz w:val="20"/>
        </w:rPr>
        <w:t xml:space="preserve">, no Disqualified Lenders shall have the right to, and each such Person covenants and agrees not to, instruct the Administrative Agent, Collateral Agent or any other Person in writing in respect of the exercise of remedies with respect to the Loans or other Obligations. Further, no Disqualified Lender that purports to be a Lender or Participant (notwithstanding any provisions of this Agreement that may have prohibited such Disqualified Lender from becoming Lender or Participant) shall be entitled to any of the rights or privileges enjoyed by the other Lenders with respect to voting (other than to the extent provided in </w:t>
      </w:r>
      <w:r>
        <w:rPr>
          <w:rFonts w:ascii="Times New Roman" w:hAnsi="Times New Roman"/>
          <w:sz w:val="20"/>
          <w:u w:val="single"/>
        </w:rPr>
        <w:t>Section 11.01(i)</w:t>
      </w:r>
      <w:r>
        <w:rPr>
          <w:rFonts w:ascii="Times New Roman" w:hAnsi="Times New Roman"/>
          <w:sz w:val="20"/>
        </w:rPr>
        <w:t xml:space="preserve"> and </w:t>
      </w:r>
      <w:r>
        <w:rPr>
          <w:rFonts w:ascii="Times New Roman" w:hAnsi="Times New Roman"/>
          <w:sz w:val="20"/>
          <w:u w:val="single"/>
        </w:rPr>
        <w:t>Section 11.28(b)(ii)</w:t>
      </w:r>
      <w:r>
        <w:rPr>
          <w:rFonts w:ascii="Times New Roman" w:hAnsi="Times New Roman"/>
          <w:sz w:val="20"/>
        </w:rPr>
        <w:t xml:space="preserve">), Information and Lender meetings and shall be deemed for all purposes to be, at most, a Defaulting Lender until such time as such Disqualified Lender no longer owns any Loans or Commitments.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Survival</w:t>
      </w:r>
      <w:r>
        <w:rPr>
          <w:rFonts w:ascii="Times New Roman" w:hAnsi="Times New Roman"/>
          <w:sz w:val="20"/>
        </w:rPr>
        <w:t xml:space="preserve">. The provisions of this </w:t>
      </w:r>
      <w:r>
        <w:rPr>
          <w:rFonts w:ascii="Times New Roman" w:hAnsi="Times New Roman"/>
          <w:sz w:val="20"/>
          <w:u w:val="single"/>
        </w:rPr>
        <w:t>Section 11.28</w:t>
      </w:r>
      <w:r>
        <w:rPr>
          <w:rFonts w:ascii="Times New Roman" w:hAnsi="Times New Roman"/>
          <w:sz w:val="20"/>
        </w:rPr>
        <w:t xml:space="preserve"> shall apply and survive with respect to each Lender and Participant notwithstanding that any such Person may have ceased to be a Lender or Participant (or any purported participation to any such Lender shall be void) hereunder or this Agreement may have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Reliance</w:t>
      </w:r>
      <w:r>
        <w:rPr>
          <w:rFonts w:ascii="Times New Roman" w:hAnsi="Times New Roman"/>
          <w:sz w:val="20"/>
        </w:rPr>
        <w:t xml:space="preserve">.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Derivative Instruments or Net Short Positions or any Person. The Administrative Agent shall have no liability to the Borrower, any Lender or any other Person in acting in good faith on any notice of Default or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Disqualified Lender Lists</w:t>
      </w:r>
      <w:r>
        <w:rPr>
          <w:rFonts w:ascii="Times New Roman" w:hAnsi="Times New Roman"/>
          <w:sz w:val="20"/>
        </w:rPr>
        <w:t xml:space="preserve">. The Administrative Agent shall have no responsibility or liability for monitoring or enforcing the list of Disqualified Lenders or for any assignment or participation to a Disqualified Lender.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Liability Limitations</w:t>
      </w:r>
      <w:r>
        <w:rPr>
          <w:rFonts w:ascii="Times New Roman" w:hAnsi="Times New Roman"/>
          <w:sz w:val="20"/>
        </w:rPr>
        <w:t xml:space="preserve">.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(including Information), to any Disqualified Lender. </w:t>
      </w:r>
    </w:p>
    <w:p>
      <w:pPr>
        <w:pStyle w:val="TextBody"/>
        <w:bidi w:val="0"/>
        <w:spacing w:before="360" w:after="0"/>
        <w:jc w:val="center"/>
        <w:rPr>
          <w:rFonts w:ascii="Times New Roman" w:hAnsi="Times New Roman"/>
          <w:b/>
          <w:sz w:val="20"/>
        </w:rPr>
      </w:pPr>
      <w:r>
        <w:rPr>
          <w:rFonts w:ascii="Times New Roman" w:hAnsi="Times New Roman"/>
          <w:b/>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First Amendment Collateral Trust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First Amendment Collateral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120" w:after="0"/>
        <w:jc w:val="center"/>
        <w:rPr>
          <w:rFonts w:ascii="Times New Roman" w:hAnsi="Times New Roman"/>
          <w:b/>
          <w:sz w:val="20"/>
        </w:rPr>
      </w:pPr>
      <w:r>
        <w:rPr>
          <w:rFonts w:ascii="Times New Roman" w:hAnsi="Times New Roman"/>
          <w:b/>
          <w:sz w:val="20"/>
        </w:rPr>
        <w:t xml:space="preserve">First Amendment Junior Lien Intercreditor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120" w:after="0"/>
        <w:jc w:val="center"/>
        <w:rPr>
          <w:rFonts w:ascii="Times New Roman" w:hAnsi="Times New Roman"/>
          <w:b/>
          <w:sz w:val="20"/>
        </w:rPr>
      </w:pPr>
      <w:r>
        <w:rPr>
          <w:rFonts w:ascii="Times New Roman" w:hAnsi="Times New Roman"/>
          <w:b/>
          <w:sz w:val="20"/>
        </w:rPr>
        <w:t xml:space="preserve">First Amendment A&amp;R Vessel Mortgages </w:t>
      </w:r>
    </w:p>
    <w:p>
      <w:pPr>
        <w:pStyle w:val="TextBody"/>
        <w:bidi w:val="0"/>
        <w:spacing w:before="0" w:after="0"/>
        <w:jc w:val="right"/>
        <w:rPr>
          <w:rFonts w:ascii="Times New Roman" w:hAnsi="Times New Roman"/>
          <w:b/>
          <w:sz w:val="20"/>
        </w:rPr>
      </w:pPr>
      <w:bookmarkStart w:id="44" w:name="d65571dex1025.htm"/>
      <w:bookmarkStart w:id="45" w:name="ksd65571dex1025"/>
      <w:bookmarkEnd w:id="44"/>
      <w:bookmarkEnd w:id="45"/>
      <w:r>
        <w:rPr>
          <w:rFonts w:ascii="Times New Roman" w:hAnsi="Times New Roman"/>
          <w:b/>
          <w:sz w:val="20"/>
        </w:rPr>
        <w:t xml:space="preserve">Exhibit 10.25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SECOND LIEN TERM LOAN CREDIT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dated as of December 27, 2024 </w:t>
      </w:r>
    </w:p>
    <w:p>
      <w:pPr>
        <w:pStyle w:val="TextBody"/>
        <w:bidi w:val="0"/>
        <w:spacing w:before="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HORNBECK OFFSHORE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as Borrower </w:t>
      </w:r>
    </w:p>
    <w:p>
      <w:pPr>
        <w:pStyle w:val="TextBody"/>
        <w:bidi w:val="0"/>
        <w:spacing w:before="240" w:after="0"/>
        <w:jc w:val="center"/>
        <w:rPr>
          <w:rFonts w:ascii="Times New Roman" w:hAnsi="Times New Roman"/>
          <w:b/>
          <w:sz w:val="20"/>
        </w:rPr>
      </w:pPr>
      <w:r>
        <w:rPr>
          <w:rFonts w:ascii="Times New Roman" w:hAnsi="Times New Roman"/>
          <w:b/>
          <w:sz w:val="20"/>
        </w:rPr>
        <w:t xml:space="preserve">STONEBRIAR COMMERCIAL FINANCE LLC, </w:t>
      </w:r>
    </w:p>
    <w:p>
      <w:pPr>
        <w:pStyle w:val="TextBody"/>
        <w:bidi w:val="0"/>
        <w:spacing w:before="0" w:after="0"/>
        <w:jc w:val="center"/>
        <w:rPr>
          <w:rFonts w:ascii="Times New Roman" w:hAnsi="Times New Roman"/>
          <w:b/>
          <w:sz w:val="20"/>
        </w:rPr>
      </w:pPr>
      <w:r>
        <w:rPr>
          <w:rFonts w:ascii="Times New Roman" w:hAnsi="Times New Roman"/>
          <w:b/>
          <w:sz w:val="20"/>
        </w:rPr>
        <w:t xml:space="preserve">as Administrative Agent, </w:t>
      </w:r>
    </w:p>
    <w:p>
      <w:pPr>
        <w:pStyle w:val="TextBody"/>
        <w:bidi w:val="0"/>
        <w:spacing w:before="240" w:after="0"/>
        <w:jc w:val="center"/>
        <w:rPr>
          <w:rFonts w:ascii="Times New Roman" w:hAnsi="Times New Roman"/>
          <w:b/>
          <w:sz w:val="20"/>
        </w:rPr>
      </w:pPr>
      <w:r>
        <w:rPr>
          <w:rFonts w:ascii="Times New Roman" w:hAnsi="Times New Roman"/>
          <w:b/>
          <w:sz w:val="20"/>
        </w:rPr>
        <w:t xml:space="preserve">WILMINGTON TRUST, NATIONAL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Collateral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LENDERS PARTY HERETO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NOTWITHSTANDING ANYTHING HEREIN TO THE CONTRARY, THE LIENS AND SECURITY INTERESTS GRANTED PURSUANT TO THIS AGREEMENT, AND THE EXERCISE OF ANY RIGHT OR REMEDY BY WILMINGTON TRUST, NATIONAL ASSOCIATION, AS COLLATERAL TRUSTEE (AS DEFINED HEREIN) HEREUNDER, ARE SUBJECT TO THE LIMITATIONS, SUBORDINATION PROVISIONS AND OTHER TERMS OF THE JUNIOR LIEN INTERCREDITOR AGREEMENT, DATED AS OF DECEMBER 27, 2024 (AS AMENDED, RESTATED, AMENDED AND RESTATED, SUPPLEMENTED OR OTHERWISE MODIFIED FROM TIME TO TIME, THE “ORIGINAL JUNIOR LIEN INTERCREDITOR AGREEMENT”) BY AND AMONG, INTER ALIOS, DNB BANK ASA, NEW YORK BRANCH, AS FIRST LIEN CREDIT AGREEMENT REPRESENTATIVE (AS DEFINED THEREIN), STONEBRIAR COMMERCIAL FINANCE LLC, AS SECOND LIEN TERM LOAN CREDIT AGREEMENT REPRESENTATIVE (AS DEFINED THEREIN), THE COLLATERAL TRUSTEE AND EACH ADDITIONAL SENIOR PRIORITY REPRESENTATIVE AND SECOND PRIORITY REPRESENTATIVE (EACH SUCH TERM AS DEFINED THEREIN) FROM TIME TO TIME PARTY THERETO. SUCH SECOND LIEN TERM LOAN CREDIT AGREEMENT REPRESENTATIVE (A) ACKNOWLEDGES THAT IT HAS RECEIVED AND REVIEWED A COPY OF THE ORIGINAL JUNIOR LIEN INTERCREDITOR AGREEMENT AND (B) CONSENTS, ON BEHALF OF THE SECOND PRIORITY SECURED PARTIES THAT IT REPRESENTS, TO THE SUBORDINATION OF LIENS AND THE OTHER LIMITATIONS AND PROVISIONS PROVIDED FOR (OR SET FORTH) IN THE ORIGINAL JUNIOR LIEN INTERCREDITOR AGREEMENT. IN THE EVENT OF ANY CONFLICT BETWEEN THE TERMS OF THE ORIGINAL JUNIOR LIEN INTERCREDITOR AGREEMENT AND THE TERMS OF THIS AGREEMENT, THE TERMS OF THE ORIGINAL JUNIOR LIEN INTERCREDITOR AGREEMENT SHALL GOVERN AND CONTROL.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7"/>
        <w:gridCol w:w="62"/>
        <w:gridCol w:w="8432"/>
        <w:gridCol w:w="121"/>
        <w:gridCol w:w="60"/>
        <w:gridCol w:w="380"/>
        <w:gridCol w:w="63"/>
      </w:tblGrid>
      <w:tr>
        <w:trPr/>
        <w:tc>
          <w:tcPr>
            <w:tcW w:w="1087"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84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 DEFINITIONS AND ACCOUNTING TERMS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rHeight w:val="120" w:hRule="atLeast"/>
        </w:trPr>
        <w:tc>
          <w:tcPr>
            <w:tcW w:w="1087" w:type="dxa"/>
            <w:tcBorders/>
            <w:vAlign w:val="center"/>
          </w:tcPr>
          <w:p>
            <w:pPr>
              <w:pStyle w:val="TableContents"/>
              <w:bidi w:val="0"/>
              <w:spacing w:before="0" w:after="283"/>
              <w:jc w:val="left"/>
              <w:rPr>
                <w:sz w:val="4"/>
                <w:szCs w:val="4"/>
              </w:rPr>
            </w:pPr>
            <w:r>
              <w:rPr>
                <w:sz w:val="4"/>
                <w:szCs w:val="4"/>
              </w:rPr>
            </w:r>
          </w:p>
        </w:tc>
        <w:tc>
          <w:tcPr>
            <w:tcW w:w="8494" w:type="dxa"/>
            <w:gridSpan w:val="2"/>
            <w:tcBorders/>
            <w:vAlign w:val="center"/>
          </w:tcPr>
          <w:p>
            <w:pPr>
              <w:pStyle w:val="TableContents"/>
              <w:bidi w:val="0"/>
              <w:spacing w:before="0" w:after="283"/>
              <w:jc w:val="left"/>
              <w:rPr>
                <w:sz w:val="4"/>
                <w:szCs w:val="4"/>
              </w:rPr>
            </w:pPr>
            <w:r>
              <w:rPr>
                <w:sz w:val="4"/>
                <w:szCs w:val="4"/>
              </w:rPr>
            </w:r>
          </w:p>
        </w:tc>
        <w:tc>
          <w:tcPr>
            <w:tcW w:w="624" w:type="dxa"/>
            <w:gridSpan w:val="4"/>
            <w:tcBorders/>
            <w:vAlign w:val="center"/>
          </w:tcPr>
          <w:p>
            <w:pPr>
              <w:pStyle w:val="TableContents"/>
              <w:bidi w:val="0"/>
              <w:spacing w:before="0" w:after="283"/>
              <w:jc w:val="left"/>
              <w:rPr>
                <w:sz w:val="4"/>
                <w:szCs w:val="4"/>
              </w:rPr>
            </w:pPr>
            <w:r>
              <w:rPr>
                <w:sz w:val="4"/>
                <w:szCs w:val="4"/>
              </w:rPr>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Defined Terms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Other Interpretive Provisions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Accounting and Finance Terms; Accounting Periods; Unrestricted Subsidiaries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Rounding</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References to Agreements, Laws, Etc.</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Times of Day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[Reserved]</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Pro Forma Calculations; Limited Condition Transactions; Basket and Ratio Compliance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Currency Equivalents Generally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9581" w:type="dxa"/>
            <w:gridSpan w:val="3"/>
            <w:tcBorders/>
            <w:vAlign w:val="center"/>
          </w:tcPr>
          <w:p>
            <w:pPr>
              <w:pStyle w:val="TableContents"/>
              <w:bidi w:val="0"/>
              <w:spacing w:before="0" w:after="283"/>
              <w:jc w:val="left"/>
              <w:rPr>
                <w:sz w:val="4"/>
                <w:szCs w:val="4"/>
              </w:rPr>
            </w:pPr>
            <w:r>
              <w:rPr>
                <w:sz w:val="4"/>
                <w:szCs w:val="4"/>
              </w:rPr>
            </w:r>
          </w:p>
        </w:tc>
        <w:tc>
          <w:tcPr>
            <w:tcW w:w="624" w:type="dxa"/>
            <w:gridSpan w:val="4"/>
            <w:tcBorders/>
            <w:vAlign w:val="center"/>
          </w:tcPr>
          <w:p>
            <w:pPr>
              <w:pStyle w:val="TableContents"/>
              <w:bidi w:val="0"/>
              <w:spacing w:before="0" w:after="283"/>
              <w:jc w:val="left"/>
              <w:rPr>
                <w:sz w:val="4"/>
                <w:szCs w:val="4"/>
              </w:rPr>
            </w:pPr>
            <w:r>
              <w:rPr>
                <w:sz w:val="4"/>
                <w:szCs w:val="4"/>
              </w:rPr>
            </w:r>
          </w:p>
        </w:tc>
      </w:tr>
      <w:tr>
        <w:trPr/>
        <w:tc>
          <w:tcPr>
            <w:tcW w:w="95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 THE COMMITMENTS AND LOANS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82</w:t>
            </w:r>
          </w:p>
        </w:tc>
        <w:tc>
          <w:tcPr>
            <w:tcW w:w="63" w:type="dxa"/>
            <w:tcBorders/>
            <w:vAlign w:val="bottom"/>
          </w:tcPr>
          <w:p>
            <w:pPr>
              <w:pStyle w:val="TableContents"/>
              <w:bidi w:val="0"/>
              <w:spacing w:before="0" w:after="283"/>
              <w:jc w:val="left"/>
              <w:rPr/>
            </w:pPr>
            <w:r>
              <w:rPr/>
              <w:t> </w:t>
            </w:r>
          </w:p>
        </w:tc>
      </w:tr>
      <w:tr>
        <w:trPr>
          <w:trHeight w:val="120" w:hRule="atLeast"/>
        </w:trPr>
        <w:tc>
          <w:tcPr>
            <w:tcW w:w="1087" w:type="dxa"/>
            <w:tcBorders/>
            <w:vAlign w:val="center"/>
          </w:tcPr>
          <w:p>
            <w:pPr>
              <w:pStyle w:val="TableContents"/>
              <w:bidi w:val="0"/>
              <w:spacing w:before="0" w:after="283"/>
              <w:jc w:val="left"/>
              <w:rPr>
                <w:sz w:val="4"/>
                <w:szCs w:val="4"/>
              </w:rPr>
            </w:pPr>
            <w:r>
              <w:rPr>
                <w:sz w:val="4"/>
                <w:szCs w:val="4"/>
              </w:rPr>
            </w:r>
          </w:p>
        </w:tc>
        <w:tc>
          <w:tcPr>
            <w:tcW w:w="8494" w:type="dxa"/>
            <w:gridSpan w:val="2"/>
            <w:tcBorders/>
            <w:vAlign w:val="center"/>
          </w:tcPr>
          <w:p>
            <w:pPr>
              <w:pStyle w:val="TableContents"/>
              <w:bidi w:val="0"/>
              <w:spacing w:before="0" w:after="283"/>
              <w:jc w:val="left"/>
              <w:rPr>
                <w:sz w:val="4"/>
                <w:szCs w:val="4"/>
              </w:rPr>
            </w:pPr>
            <w:r>
              <w:rPr>
                <w:sz w:val="4"/>
                <w:szCs w:val="4"/>
              </w:rPr>
            </w:r>
          </w:p>
        </w:tc>
        <w:tc>
          <w:tcPr>
            <w:tcW w:w="624" w:type="dxa"/>
            <w:gridSpan w:val="4"/>
            <w:tcBorders/>
            <w:vAlign w:val="center"/>
          </w:tcPr>
          <w:p>
            <w:pPr>
              <w:pStyle w:val="TableContents"/>
              <w:bidi w:val="0"/>
              <w:spacing w:before="0" w:after="283"/>
              <w:jc w:val="left"/>
              <w:rPr>
                <w:sz w:val="4"/>
                <w:szCs w:val="4"/>
              </w:rPr>
            </w:pPr>
            <w:r>
              <w:rPr>
                <w:sz w:val="4"/>
                <w:szCs w:val="4"/>
              </w:rPr>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Loans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Availability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Prepayments; Vessel Substitutions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Repayment of Loans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Interest</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Fees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Computation of Interest and Fees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Evidence of Indebtedness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Payments Generally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Sharing of Payments, Etc.</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Defaulting Lenders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Judgment Currency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rHeight w:val="120" w:hRule="atLeast"/>
        </w:trPr>
        <w:tc>
          <w:tcPr>
            <w:tcW w:w="9581" w:type="dxa"/>
            <w:gridSpan w:val="3"/>
            <w:tcBorders/>
            <w:vAlign w:val="center"/>
          </w:tcPr>
          <w:p>
            <w:pPr>
              <w:pStyle w:val="TableContents"/>
              <w:bidi w:val="0"/>
              <w:spacing w:before="0" w:after="283"/>
              <w:jc w:val="left"/>
              <w:rPr>
                <w:sz w:val="4"/>
                <w:szCs w:val="4"/>
              </w:rPr>
            </w:pPr>
            <w:r>
              <w:rPr>
                <w:sz w:val="4"/>
                <w:szCs w:val="4"/>
              </w:rPr>
            </w:r>
          </w:p>
        </w:tc>
        <w:tc>
          <w:tcPr>
            <w:tcW w:w="624" w:type="dxa"/>
            <w:gridSpan w:val="4"/>
            <w:tcBorders/>
            <w:vAlign w:val="center"/>
          </w:tcPr>
          <w:p>
            <w:pPr>
              <w:pStyle w:val="TableContents"/>
              <w:bidi w:val="0"/>
              <w:spacing w:before="0" w:after="283"/>
              <w:jc w:val="left"/>
              <w:rPr>
                <w:sz w:val="4"/>
                <w:szCs w:val="4"/>
              </w:rPr>
            </w:pPr>
            <w:r>
              <w:rPr>
                <w:sz w:val="4"/>
                <w:szCs w:val="4"/>
              </w:rPr>
            </w:r>
          </w:p>
        </w:tc>
      </w:tr>
      <w:tr>
        <w:trPr/>
        <w:tc>
          <w:tcPr>
            <w:tcW w:w="95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III TAXES, INCREASED COSTS PROTECTION AND ILLEGALITY</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94</w:t>
            </w:r>
          </w:p>
        </w:tc>
        <w:tc>
          <w:tcPr>
            <w:tcW w:w="63" w:type="dxa"/>
            <w:tcBorders/>
            <w:vAlign w:val="bottom"/>
          </w:tcPr>
          <w:p>
            <w:pPr>
              <w:pStyle w:val="TableContents"/>
              <w:bidi w:val="0"/>
              <w:spacing w:before="0" w:after="283"/>
              <w:jc w:val="left"/>
              <w:rPr/>
            </w:pPr>
            <w:r>
              <w:rPr/>
              <w:t> </w:t>
            </w:r>
          </w:p>
        </w:tc>
      </w:tr>
      <w:tr>
        <w:trPr>
          <w:trHeight w:val="120" w:hRule="atLeast"/>
        </w:trPr>
        <w:tc>
          <w:tcPr>
            <w:tcW w:w="1087" w:type="dxa"/>
            <w:tcBorders/>
            <w:vAlign w:val="center"/>
          </w:tcPr>
          <w:p>
            <w:pPr>
              <w:pStyle w:val="TableContents"/>
              <w:bidi w:val="0"/>
              <w:spacing w:before="0" w:after="283"/>
              <w:jc w:val="left"/>
              <w:rPr>
                <w:sz w:val="4"/>
                <w:szCs w:val="4"/>
              </w:rPr>
            </w:pPr>
            <w:r>
              <w:rPr>
                <w:sz w:val="4"/>
                <w:szCs w:val="4"/>
              </w:rPr>
            </w:r>
          </w:p>
        </w:tc>
        <w:tc>
          <w:tcPr>
            <w:tcW w:w="8494" w:type="dxa"/>
            <w:gridSpan w:val="2"/>
            <w:tcBorders/>
            <w:vAlign w:val="center"/>
          </w:tcPr>
          <w:p>
            <w:pPr>
              <w:pStyle w:val="TableContents"/>
              <w:bidi w:val="0"/>
              <w:spacing w:before="0" w:after="283"/>
              <w:jc w:val="left"/>
              <w:rPr>
                <w:sz w:val="4"/>
                <w:szCs w:val="4"/>
              </w:rPr>
            </w:pPr>
            <w:r>
              <w:rPr>
                <w:sz w:val="4"/>
                <w:szCs w:val="4"/>
              </w:rPr>
            </w:r>
          </w:p>
        </w:tc>
        <w:tc>
          <w:tcPr>
            <w:tcW w:w="624" w:type="dxa"/>
            <w:gridSpan w:val="4"/>
            <w:tcBorders/>
            <w:vAlign w:val="center"/>
          </w:tcPr>
          <w:p>
            <w:pPr>
              <w:pStyle w:val="TableContents"/>
              <w:bidi w:val="0"/>
              <w:spacing w:before="0" w:after="283"/>
              <w:jc w:val="left"/>
              <w:rPr>
                <w:sz w:val="4"/>
                <w:szCs w:val="4"/>
              </w:rPr>
            </w:pPr>
            <w:r>
              <w:rPr>
                <w:sz w:val="4"/>
                <w:szCs w:val="4"/>
              </w:rPr>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Taxes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[Reserved]</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[Reserved]</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Increased Cost and Reduced Return; Capital Adequacy; Reserves on S Rate Loans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[Reserved]</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Matters Applicable to All Requests for Compensation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Replacement of Lenders Under Certain Circumstances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Survival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rHeight w:val="120" w:hRule="atLeast"/>
        </w:trPr>
        <w:tc>
          <w:tcPr>
            <w:tcW w:w="9581" w:type="dxa"/>
            <w:gridSpan w:val="3"/>
            <w:tcBorders/>
            <w:vAlign w:val="center"/>
          </w:tcPr>
          <w:p>
            <w:pPr>
              <w:pStyle w:val="TableContents"/>
              <w:bidi w:val="0"/>
              <w:spacing w:before="0" w:after="283"/>
              <w:jc w:val="left"/>
              <w:rPr>
                <w:sz w:val="4"/>
                <w:szCs w:val="4"/>
              </w:rPr>
            </w:pPr>
            <w:r>
              <w:rPr>
                <w:sz w:val="4"/>
                <w:szCs w:val="4"/>
              </w:rPr>
            </w:r>
          </w:p>
        </w:tc>
        <w:tc>
          <w:tcPr>
            <w:tcW w:w="624" w:type="dxa"/>
            <w:gridSpan w:val="4"/>
            <w:tcBorders/>
            <w:vAlign w:val="center"/>
          </w:tcPr>
          <w:p>
            <w:pPr>
              <w:pStyle w:val="TableContents"/>
              <w:bidi w:val="0"/>
              <w:spacing w:before="0" w:after="283"/>
              <w:jc w:val="left"/>
              <w:rPr>
                <w:sz w:val="4"/>
                <w:szCs w:val="4"/>
              </w:rPr>
            </w:pPr>
            <w:r>
              <w:rPr>
                <w:sz w:val="4"/>
                <w:szCs w:val="4"/>
              </w:rPr>
            </w:r>
          </w:p>
        </w:tc>
      </w:tr>
      <w:tr>
        <w:trPr/>
        <w:tc>
          <w:tcPr>
            <w:tcW w:w="95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IV CONDITIONS PRECEDENT TO THE CLOSING DATE AND LOANS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103</w:t>
            </w:r>
          </w:p>
        </w:tc>
        <w:tc>
          <w:tcPr>
            <w:tcW w:w="63" w:type="dxa"/>
            <w:tcBorders/>
            <w:vAlign w:val="bottom"/>
          </w:tcPr>
          <w:p>
            <w:pPr>
              <w:pStyle w:val="TableContents"/>
              <w:bidi w:val="0"/>
              <w:spacing w:before="0" w:after="283"/>
              <w:jc w:val="left"/>
              <w:rPr/>
            </w:pPr>
            <w:r>
              <w:rPr/>
              <w:t> </w:t>
            </w:r>
          </w:p>
        </w:tc>
      </w:tr>
      <w:tr>
        <w:trPr>
          <w:trHeight w:val="120" w:hRule="atLeast"/>
        </w:trPr>
        <w:tc>
          <w:tcPr>
            <w:tcW w:w="1087" w:type="dxa"/>
            <w:tcBorders/>
            <w:vAlign w:val="center"/>
          </w:tcPr>
          <w:p>
            <w:pPr>
              <w:pStyle w:val="TableContents"/>
              <w:bidi w:val="0"/>
              <w:spacing w:before="0" w:after="283"/>
              <w:jc w:val="left"/>
              <w:rPr>
                <w:sz w:val="4"/>
                <w:szCs w:val="4"/>
              </w:rPr>
            </w:pPr>
            <w:r>
              <w:rPr>
                <w:sz w:val="4"/>
                <w:szCs w:val="4"/>
              </w:rPr>
            </w:r>
          </w:p>
        </w:tc>
        <w:tc>
          <w:tcPr>
            <w:tcW w:w="8494" w:type="dxa"/>
            <w:gridSpan w:val="2"/>
            <w:tcBorders/>
            <w:vAlign w:val="center"/>
          </w:tcPr>
          <w:p>
            <w:pPr>
              <w:pStyle w:val="TableContents"/>
              <w:bidi w:val="0"/>
              <w:spacing w:before="0" w:after="283"/>
              <w:jc w:val="left"/>
              <w:rPr>
                <w:sz w:val="4"/>
                <w:szCs w:val="4"/>
              </w:rPr>
            </w:pPr>
            <w:r>
              <w:rPr>
                <w:sz w:val="4"/>
                <w:szCs w:val="4"/>
              </w:rPr>
            </w:r>
          </w:p>
        </w:tc>
        <w:tc>
          <w:tcPr>
            <w:tcW w:w="624" w:type="dxa"/>
            <w:gridSpan w:val="4"/>
            <w:tcBorders/>
            <w:vAlign w:val="center"/>
          </w:tcPr>
          <w:p>
            <w:pPr>
              <w:pStyle w:val="TableContents"/>
              <w:bidi w:val="0"/>
              <w:spacing w:before="0" w:after="283"/>
              <w:jc w:val="left"/>
              <w:rPr>
                <w:sz w:val="4"/>
                <w:szCs w:val="4"/>
              </w:rPr>
            </w:pPr>
            <w:r>
              <w:rPr>
                <w:sz w:val="4"/>
                <w:szCs w:val="4"/>
              </w:rPr>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Conditions to the Closing Date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087"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2" w:type="dxa"/>
            <w:tcBorders/>
            <w:vAlign w:val="bottom"/>
          </w:tcPr>
          <w:p>
            <w:pPr>
              <w:pStyle w:val="TableContents"/>
              <w:bidi w:val="0"/>
              <w:spacing w:before="0" w:after="283"/>
              <w:jc w:val="left"/>
              <w:rPr/>
            </w:pPr>
            <w:r>
              <w:rPr/>
              <w:t> </w:t>
            </w:r>
          </w:p>
        </w:tc>
        <w:tc>
          <w:tcPr>
            <w:tcW w:w="8432" w:type="dxa"/>
            <w:tcBorders/>
            <w:vAlign w:val="bottom"/>
          </w:tcPr>
          <w:p>
            <w:pPr>
              <w:pStyle w:val="TableContents"/>
              <w:bidi w:val="0"/>
              <w:spacing w:before="0" w:after="283"/>
              <w:jc w:val="left"/>
              <w:rPr/>
            </w:pPr>
            <w:r>
              <w:rPr/>
              <w:t>Conditions to the Extension of the Loans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648"/>
        <w:gridCol w:w="90"/>
        <w:gridCol w:w="7827"/>
        <w:gridCol w:w="136"/>
        <w:gridCol w:w="60"/>
        <w:gridCol w:w="380"/>
        <w:gridCol w:w="64"/>
      </w:tblGrid>
      <w:tr>
        <w:trPr/>
        <w:tc>
          <w:tcPr>
            <w:tcW w:w="1648"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782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65"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 REPRESENTATIONS AND WARRANTIES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107</w:t>
            </w:r>
          </w:p>
        </w:tc>
        <w:tc>
          <w:tcPr>
            <w:tcW w:w="64" w:type="dxa"/>
            <w:tcBorders/>
            <w:vAlign w:val="bottom"/>
          </w:tcPr>
          <w:p>
            <w:pPr>
              <w:pStyle w:val="TableContents"/>
              <w:bidi w:val="0"/>
              <w:spacing w:before="0" w:after="283"/>
              <w:jc w:val="left"/>
              <w:rPr/>
            </w:pPr>
            <w:r>
              <w:rPr/>
              <w:t> </w:t>
            </w:r>
          </w:p>
        </w:tc>
      </w:tr>
      <w:tr>
        <w:trPr>
          <w:trHeight w:val="120" w:hRule="atLeast"/>
        </w:trPr>
        <w:tc>
          <w:tcPr>
            <w:tcW w:w="1648" w:type="dxa"/>
            <w:tcBorders/>
            <w:vAlign w:val="center"/>
          </w:tcPr>
          <w:p>
            <w:pPr>
              <w:pStyle w:val="TableContents"/>
              <w:bidi w:val="0"/>
              <w:spacing w:before="0" w:after="283"/>
              <w:jc w:val="left"/>
              <w:rPr>
                <w:sz w:val="4"/>
                <w:szCs w:val="4"/>
              </w:rPr>
            </w:pPr>
            <w:r>
              <w:rPr>
                <w:sz w:val="4"/>
                <w:szCs w:val="4"/>
              </w:rPr>
            </w:r>
          </w:p>
        </w:tc>
        <w:tc>
          <w:tcPr>
            <w:tcW w:w="7917"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Existence, Qualification and Power; Compliance with Laws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Authorization; No Contravention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Governmental Authorization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Binding Effect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Financial Statements; No Material Adverse Effect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Litigation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Labor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Ownership of Property; Liens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Environmental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Taxes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ERISA Compliance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Subsidiaries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Margin Regulations; Investment Company Act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Disclosure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Properties; Titles, Etc.</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Solvency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Compliance with Anti-Corruption Laws and Sanctions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Collateral Documents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Use of Proceeds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Jones Act Vessels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Vessel Liens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Vessel Documentation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Vessel Intellectual Property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rHeight w:val="120" w:hRule="atLeast"/>
        </w:trPr>
        <w:tc>
          <w:tcPr>
            <w:tcW w:w="9565" w:type="dxa"/>
            <w:gridSpan w:val="3"/>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9565"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AFFIRMATIVE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115</w:t>
            </w:r>
          </w:p>
        </w:tc>
        <w:tc>
          <w:tcPr>
            <w:tcW w:w="64" w:type="dxa"/>
            <w:tcBorders/>
            <w:vAlign w:val="bottom"/>
          </w:tcPr>
          <w:p>
            <w:pPr>
              <w:pStyle w:val="TableContents"/>
              <w:bidi w:val="0"/>
              <w:spacing w:before="0" w:after="283"/>
              <w:jc w:val="left"/>
              <w:rPr/>
            </w:pPr>
            <w:r>
              <w:rPr/>
              <w:t> </w:t>
            </w:r>
          </w:p>
        </w:tc>
      </w:tr>
      <w:tr>
        <w:trPr>
          <w:trHeight w:val="120" w:hRule="atLeast"/>
        </w:trPr>
        <w:tc>
          <w:tcPr>
            <w:tcW w:w="1648" w:type="dxa"/>
            <w:tcBorders/>
            <w:vAlign w:val="center"/>
          </w:tcPr>
          <w:p>
            <w:pPr>
              <w:pStyle w:val="TableContents"/>
              <w:bidi w:val="0"/>
              <w:spacing w:before="0" w:after="283"/>
              <w:jc w:val="left"/>
              <w:rPr>
                <w:sz w:val="4"/>
                <w:szCs w:val="4"/>
              </w:rPr>
            </w:pPr>
            <w:r>
              <w:rPr>
                <w:sz w:val="4"/>
                <w:szCs w:val="4"/>
              </w:rPr>
            </w:r>
          </w:p>
        </w:tc>
        <w:tc>
          <w:tcPr>
            <w:tcW w:w="7917"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Financial Statements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Certificates; Other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Notices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Payment of Certain Taxes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Preservation of Existence of the Borrower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Maintenance of Properties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Maintenance of Insurance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Compliance with Laws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Books and Records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Inspection Rights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Covenant to Guarantee Obligations and Give Security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Further Assurances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Designation of Subsidiaries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Compliance with Anti-Corruption Laws and Sanctions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Post-Closing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Use of Proceeds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Change in Nature of Business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Transactions with Affiliates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1648"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90" w:type="dxa"/>
            <w:tcBorders/>
            <w:vAlign w:val="bottom"/>
          </w:tcPr>
          <w:p>
            <w:pPr>
              <w:pStyle w:val="TableContents"/>
              <w:bidi w:val="0"/>
              <w:spacing w:before="0" w:after="283"/>
              <w:jc w:val="left"/>
              <w:rPr/>
            </w:pPr>
            <w:r>
              <w:rPr/>
              <w:t> </w:t>
            </w:r>
          </w:p>
        </w:tc>
        <w:tc>
          <w:tcPr>
            <w:tcW w:w="7827" w:type="dxa"/>
            <w:tcBorders/>
            <w:vAlign w:val="bottom"/>
          </w:tcPr>
          <w:p>
            <w:pPr>
              <w:pStyle w:val="TableContents"/>
              <w:bidi w:val="0"/>
              <w:spacing w:before="0" w:after="283"/>
              <w:jc w:val="left"/>
              <w:rPr/>
            </w:pPr>
            <w:r>
              <w:rPr/>
              <w:t>Vessel Collateral and the 2024 Newbuild Vessels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99"/>
        <w:gridCol w:w="68"/>
        <w:gridCol w:w="8212"/>
        <w:gridCol w:w="124"/>
        <w:gridCol w:w="60"/>
        <w:gridCol w:w="380"/>
        <w:gridCol w:w="62"/>
      </w:tblGrid>
      <w:tr>
        <w:trPr/>
        <w:tc>
          <w:tcPr>
            <w:tcW w:w="1299"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821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6.20</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Most Favored Lender Status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rHeight w:val="120" w:hRule="atLeast"/>
        </w:trPr>
        <w:tc>
          <w:tcPr>
            <w:tcW w:w="9579" w:type="dxa"/>
            <w:gridSpan w:val="3"/>
            <w:tcBorders/>
            <w:vAlign w:val="center"/>
          </w:tcPr>
          <w:p>
            <w:pPr>
              <w:pStyle w:val="TableContents"/>
              <w:bidi w:val="0"/>
              <w:spacing w:before="0" w:after="283"/>
              <w:jc w:val="left"/>
              <w:rPr>
                <w:sz w:val="4"/>
                <w:szCs w:val="4"/>
              </w:rPr>
            </w:pPr>
            <w:r>
              <w:rPr>
                <w:sz w:val="4"/>
                <w:szCs w:val="4"/>
              </w:rPr>
            </w:r>
          </w:p>
        </w:tc>
        <w:tc>
          <w:tcPr>
            <w:tcW w:w="626" w:type="dxa"/>
            <w:gridSpan w:val="4"/>
            <w:tcBorders/>
            <w:vAlign w:val="center"/>
          </w:tcPr>
          <w:p>
            <w:pPr>
              <w:pStyle w:val="TableContents"/>
              <w:bidi w:val="0"/>
              <w:spacing w:before="0" w:after="283"/>
              <w:jc w:val="left"/>
              <w:rPr>
                <w:sz w:val="4"/>
                <w:szCs w:val="4"/>
              </w:rPr>
            </w:pPr>
            <w:r>
              <w:rPr>
                <w:sz w:val="4"/>
                <w:szCs w:val="4"/>
              </w:rPr>
            </w:r>
          </w:p>
        </w:tc>
      </w:tr>
      <w:tr>
        <w:trPr/>
        <w:tc>
          <w:tcPr>
            <w:tcW w:w="957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 NEGATIVE COVENANTS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136</w:t>
            </w:r>
          </w:p>
        </w:tc>
        <w:tc>
          <w:tcPr>
            <w:tcW w:w="62"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280" w:type="dxa"/>
            <w:gridSpan w:val="2"/>
            <w:tcBorders/>
            <w:vAlign w:val="center"/>
          </w:tcPr>
          <w:p>
            <w:pPr>
              <w:pStyle w:val="TableContents"/>
              <w:bidi w:val="0"/>
              <w:spacing w:before="0" w:after="283"/>
              <w:jc w:val="left"/>
              <w:rPr>
                <w:sz w:val="4"/>
                <w:szCs w:val="4"/>
              </w:rPr>
            </w:pPr>
            <w:r>
              <w:rPr>
                <w:sz w:val="4"/>
                <w:szCs w:val="4"/>
              </w:rPr>
            </w:r>
          </w:p>
        </w:tc>
        <w:tc>
          <w:tcPr>
            <w:tcW w:w="626"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Liens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[Reserved]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Indebtedness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Fundamental Changes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Dispositions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Restricted Payments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153</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[Reserved]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157</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Negative Pledge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157</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Junior Debt Prepayments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160</w:t>
            </w:r>
          </w:p>
        </w:tc>
        <w:tc>
          <w:tcPr>
            <w:tcW w:w="62" w:type="dxa"/>
            <w:tcBorders/>
            <w:vAlign w:val="bottom"/>
          </w:tcPr>
          <w:p>
            <w:pPr>
              <w:pStyle w:val="TableContents"/>
              <w:bidi w:val="0"/>
              <w:spacing w:before="0" w:after="283"/>
              <w:jc w:val="left"/>
              <w:rPr/>
            </w:pPr>
            <w:r>
              <w:rPr/>
              <w:t> </w:t>
            </w:r>
          </w:p>
        </w:tc>
      </w:tr>
      <w:tr>
        <w:trPr>
          <w:trHeight w:val="120" w:hRule="atLeast"/>
        </w:trPr>
        <w:tc>
          <w:tcPr>
            <w:tcW w:w="9579" w:type="dxa"/>
            <w:gridSpan w:val="3"/>
            <w:tcBorders/>
            <w:vAlign w:val="center"/>
          </w:tcPr>
          <w:p>
            <w:pPr>
              <w:pStyle w:val="TableContents"/>
              <w:bidi w:val="0"/>
              <w:spacing w:before="0" w:after="283"/>
              <w:jc w:val="left"/>
              <w:rPr>
                <w:sz w:val="4"/>
                <w:szCs w:val="4"/>
              </w:rPr>
            </w:pPr>
            <w:r>
              <w:rPr>
                <w:sz w:val="4"/>
                <w:szCs w:val="4"/>
              </w:rPr>
            </w:r>
          </w:p>
        </w:tc>
        <w:tc>
          <w:tcPr>
            <w:tcW w:w="626" w:type="dxa"/>
            <w:gridSpan w:val="4"/>
            <w:tcBorders/>
            <w:vAlign w:val="center"/>
          </w:tcPr>
          <w:p>
            <w:pPr>
              <w:pStyle w:val="TableContents"/>
              <w:bidi w:val="0"/>
              <w:spacing w:before="0" w:after="283"/>
              <w:jc w:val="left"/>
              <w:rPr>
                <w:sz w:val="4"/>
                <w:szCs w:val="4"/>
              </w:rPr>
            </w:pPr>
            <w:r>
              <w:rPr>
                <w:sz w:val="4"/>
                <w:szCs w:val="4"/>
              </w:rPr>
            </w:r>
          </w:p>
        </w:tc>
      </w:tr>
      <w:tr>
        <w:trPr/>
        <w:tc>
          <w:tcPr>
            <w:tcW w:w="957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VIII FINANCIAL COVENANT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161</w:t>
            </w:r>
          </w:p>
        </w:tc>
        <w:tc>
          <w:tcPr>
            <w:tcW w:w="62"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280" w:type="dxa"/>
            <w:gridSpan w:val="2"/>
            <w:tcBorders/>
            <w:vAlign w:val="center"/>
          </w:tcPr>
          <w:p>
            <w:pPr>
              <w:pStyle w:val="TableContents"/>
              <w:bidi w:val="0"/>
              <w:spacing w:before="0" w:after="283"/>
              <w:jc w:val="left"/>
              <w:rPr>
                <w:sz w:val="4"/>
                <w:szCs w:val="4"/>
              </w:rPr>
            </w:pPr>
            <w:r>
              <w:rPr>
                <w:sz w:val="4"/>
                <w:szCs w:val="4"/>
              </w:rPr>
            </w:r>
          </w:p>
        </w:tc>
        <w:tc>
          <w:tcPr>
            <w:tcW w:w="626"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Financial Covenants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161</w:t>
            </w:r>
          </w:p>
        </w:tc>
        <w:tc>
          <w:tcPr>
            <w:tcW w:w="62" w:type="dxa"/>
            <w:tcBorders/>
            <w:vAlign w:val="bottom"/>
          </w:tcPr>
          <w:p>
            <w:pPr>
              <w:pStyle w:val="TableContents"/>
              <w:bidi w:val="0"/>
              <w:spacing w:before="0" w:after="283"/>
              <w:jc w:val="left"/>
              <w:rPr/>
            </w:pPr>
            <w:r>
              <w:rPr/>
              <w:t> </w:t>
            </w:r>
          </w:p>
        </w:tc>
      </w:tr>
      <w:tr>
        <w:trPr>
          <w:trHeight w:val="120" w:hRule="atLeast"/>
        </w:trPr>
        <w:tc>
          <w:tcPr>
            <w:tcW w:w="9579" w:type="dxa"/>
            <w:gridSpan w:val="3"/>
            <w:tcBorders/>
            <w:vAlign w:val="center"/>
          </w:tcPr>
          <w:p>
            <w:pPr>
              <w:pStyle w:val="TableContents"/>
              <w:bidi w:val="0"/>
              <w:spacing w:before="0" w:after="283"/>
              <w:jc w:val="left"/>
              <w:rPr>
                <w:sz w:val="4"/>
                <w:szCs w:val="4"/>
              </w:rPr>
            </w:pPr>
            <w:r>
              <w:rPr>
                <w:sz w:val="4"/>
                <w:szCs w:val="4"/>
              </w:rPr>
            </w:r>
          </w:p>
        </w:tc>
        <w:tc>
          <w:tcPr>
            <w:tcW w:w="626" w:type="dxa"/>
            <w:gridSpan w:val="4"/>
            <w:tcBorders/>
            <w:vAlign w:val="center"/>
          </w:tcPr>
          <w:p>
            <w:pPr>
              <w:pStyle w:val="TableContents"/>
              <w:bidi w:val="0"/>
              <w:spacing w:before="0" w:after="283"/>
              <w:jc w:val="left"/>
              <w:rPr>
                <w:sz w:val="4"/>
                <w:szCs w:val="4"/>
              </w:rPr>
            </w:pPr>
            <w:r>
              <w:rPr>
                <w:sz w:val="4"/>
                <w:szCs w:val="4"/>
              </w:rPr>
            </w:r>
          </w:p>
        </w:tc>
      </w:tr>
      <w:tr>
        <w:trPr/>
        <w:tc>
          <w:tcPr>
            <w:tcW w:w="957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IX EVENTS OF DEFAULT AND REMEDIES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161</w:t>
            </w:r>
          </w:p>
        </w:tc>
        <w:tc>
          <w:tcPr>
            <w:tcW w:w="62"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280" w:type="dxa"/>
            <w:gridSpan w:val="2"/>
            <w:tcBorders/>
            <w:vAlign w:val="center"/>
          </w:tcPr>
          <w:p>
            <w:pPr>
              <w:pStyle w:val="TableContents"/>
              <w:bidi w:val="0"/>
              <w:spacing w:before="0" w:after="283"/>
              <w:jc w:val="left"/>
              <w:rPr>
                <w:sz w:val="4"/>
                <w:szCs w:val="4"/>
              </w:rPr>
            </w:pPr>
            <w:r>
              <w:rPr>
                <w:sz w:val="4"/>
                <w:szCs w:val="4"/>
              </w:rPr>
            </w:r>
          </w:p>
        </w:tc>
        <w:tc>
          <w:tcPr>
            <w:tcW w:w="626"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Events of Default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161</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Remedies upon Event of Default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165</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Application of Funds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2" w:type="dxa"/>
            <w:tcBorders/>
            <w:vAlign w:val="bottom"/>
          </w:tcPr>
          <w:p>
            <w:pPr>
              <w:pStyle w:val="TableContents"/>
              <w:bidi w:val="0"/>
              <w:spacing w:before="0" w:after="283"/>
              <w:jc w:val="left"/>
              <w:rPr/>
            </w:pPr>
            <w:r>
              <w:rPr/>
              <w:t> </w:t>
            </w:r>
          </w:p>
        </w:tc>
      </w:tr>
      <w:tr>
        <w:trPr>
          <w:trHeight w:val="120" w:hRule="atLeast"/>
        </w:trPr>
        <w:tc>
          <w:tcPr>
            <w:tcW w:w="9579" w:type="dxa"/>
            <w:gridSpan w:val="3"/>
            <w:tcBorders/>
            <w:vAlign w:val="center"/>
          </w:tcPr>
          <w:p>
            <w:pPr>
              <w:pStyle w:val="TableContents"/>
              <w:bidi w:val="0"/>
              <w:spacing w:before="0" w:after="283"/>
              <w:jc w:val="left"/>
              <w:rPr>
                <w:sz w:val="4"/>
                <w:szCs w:val="4"/>
              </w:rPr>
            </w:pPr>
            <w:r>
              <w:rPr>
                <w:sz w:val="4"/>
                <w:szCs w:val="4"/>
              </w:rPr>
            </w:r>
          </w:p>
        </w:tc>
        <w:tc>
          <w:tcPr>
            <w:tcW w:w="626" w:type="dxa"/>
            <w:gridSpan w:val="4"/>
            <w:tcBorders/>
            <w:vAlign w:val="center"/>
          </w:tcPr>
          <w:p>
            <w:pPr>
              <w:pStyle w:val="TableContents"/>
              <w:bidi w:val="0"/>
              <w:spacing w:before="0" w:after="283"/>
              <w:jc w:val="left"/>
              <w:rPr>
                <w:sz w:val="4"/>
                <w:szCs w:val="4"/>
              </w:rPr>
            </w:pPr>
            <w:r>
              <w:rPr>
                <w:sz w:val="4"/>
                <w:szCs w:val="4"/>
              </w:rPr>
            </w:r>
          </w:p>
        </w:tc>
      </w:tr>
      <w:tr>
        <w:trPr/>
        <w:tc>
          <w:tcPr>
            <w:tcW w:w="957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 ADMINISTRATIVE AGENT AND OTHER AGENTS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167</w:t>
            </w:r>
          </w:p>
        </w:tc>
        <w:tc>
          <w:tcPr>
            <w:tcW w:w="62"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280" w:type="dxa"/>
            <w:gridSpan w:val="2"/>
            <w:tcBorders/>
            <w:vAlign w:val="center"/>
          </w:tcPr>
          <w:p>
            <w:pPr>
              <w:pStyle w:val="TableContents"/>
              <w:bidi w:val="0"/>
              <w:spacing w:before="0" w:after="283"/>
              <w:jc w:val="left"/>
              <w:rPr>
                <w:sz w:val="4"/>
                <w:szCs w:val="4"/>
              </w:rPr>
            </w:pPr>
            <w:r>
              <w:rPr>
                <w:sz w:val="4"/>
                <w:szCs w:val="4"/>
              </w:rPr>
            </w:r>
          </w:p>
        </w:tc>
        <w:tc>
          <w:tcPr>
            <w:tcW w:w="626"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Appointment and Authority of the Administrative Agent and Collateral Trustee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167</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Rights as a Lender</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167</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Exculpatory Provisions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168</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Reliance by the Agents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169</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Delegation of Duties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170</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Non-Reliance on Agents and Other Lenders; Disclosure of Information by Agents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170</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Indemnification of Agents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171</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No Other Duties; Other Agents, Etc.</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172</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Resignation of Agent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172</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Administrative Agent May File Proofs of Claim; Credit Bidding</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173</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Collateral and Guaranty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175</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Appointment of Supplemental Administrative Agents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179</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Intercreditor Agreements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180</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[Reserved]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180</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Withholding Taxes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180</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Certain ERISA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180</w:t>
            </w:r>
          </w:p>
        </w:tc>
        <w:tc>
          <w:tcPr>
            <w:tcW w:w="62"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68"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Erroneous Payments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38"/>
        <w:gridCol w:w="75"/>
        <w:gridCol w:w="8061"/>
        <w:gridCol w:w="128"/>
        <w:gridCol w:w="60"/>
        <w:gridCol w:w="380"/>
        <w:gridCol w:w="63"/>
      </w:tblGrid>
      <w:tr>
        <w:trPr/>
        <w:tc>
          <w:tcPr>
            <w:tcW w:w="1438"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806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74" w:type="dxa"/>
            <w:gridSpan w:val="3"/>
            <w:tcBorders/>
            <w:vAlign w:val="center"/>
          </w:tcPr>
          <w:p>
            <w:pPr>
              <w:pStyle w:val="TableContents"/>
              <w:bidi w:val="0"/>
              <w:spacing w:before="0" w:after="283"/>
              <w:jc w:val="left"/>
              <w:rPr>
                <w:sz w:val="4"/>
                <w:szCs w:val="4"/>
              </w:rPr>
            </w:pPr>
            <w:r>
              <w:rPr>
                <w:sz w:val="4"/>
                <w:szCs w:val="4"/>
              </w:rPr>
            </w:r>
          </w:p>
        </w:tc>
        <w:tc>
          <w:tcPr>
            <w:tcW w:w="631" w:type="dxa"/>
            <w:gridSpan w:val="4"/>
            <w:tcBorders/>
            <w:vAlign w:val="center"/>
          </w:tcPr>
          <w:p>
            <w:pPr>
              <w:pStyle w:val="TableContents"/>
              <w:bidi w:val="0"/>
              <w:spacing w:before="0" w:after="283"/>
              <w:jc w:val="left"/>
              <w:rPr>
                <w:sz w:val="4"/>
                <w:szCs w:val="4"/>
              </w:rPr>
            </w:pPr>
            <w:r>
              <w:rPr>
                <w:sz w:val="4"/>
                <w:szCs w:val="4"/>
              </w:rPr>
            </w:r>
          </w:p>
        </w:tc>
      </w:tr>
      <w:tr>
        <w:trPr/>
        <w:tc>
          <w:tcPr>
            <w:tcW w:w="95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 MISCELLANEOUS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b/>
              </w:rPr>
            </w:pPr>
            <w:r>
              <w:rPr>
                <w:b/>
              </w:rPr>
              <w:t>184</w:t>
            </w:r>
          </w:p>
        </w:tc>
        <w:tc>
          <w:tcPr>
            <w:tcW w:w="63" w:type="dxa"/>
            <w:tcBorders/>
            <w:vAlign w:val="bottom"/>
          </w:tcPr>
          <w:p>
            <w:pPr>
              <w:pStyle w:val="TableContents"/>
              <w:bidi w:val="0"/>
              <w:spacing w:before="0" w:after="283"/>
              <w:jc w:val="left"/>
              <w:rPr/>
            </w:pPr>
            <w:r>
              <w:rPr/>
              <w:t> </w:t>
            </w:r>
          </w:p>
        </w:tc>
      </w:tr>
      <w:tr>
        <w:trPr>
          <w:trHeight w:val="120" w:hRule="atLeast"/>
        </w:trPr>
        <w:tc>
          <w:tcPr>
            <w:tcW w:w="1438" w:type="dxa"/>
            <w:tcBorders/>
            <w:vAlign w:val="center"/>
          </w:tcPr>
          <w:p>
            <w:pPr>
              <w:pStyle w:val="TableContents"/>
              <w:bidi w:val="0"/>
              <w:spacing w:before="0" w:after="283"/>
              <w:jc w:val="left"/>
              <w:rPr>
                <w:sz w:val="4"/>
                <w:szCs w:val="4"/>
              </w:rPr>
            </w:pPr>
            <w:r>
              <w:rPr>
                <w:sz w:val="4"/>
                <w:szCs w:val="4"/>
              </w:rPr>
            </w:r>
          </w:p>
        </w:tc>
        <w:tc>
          <w:tcPr>
            <w:tcW w:w="8136" w:type="dxa"/>
            <w:gridSpan w:val="2"/>
            <w:tcBorders/>
            <w:vAlign w:val="center"/>
          </w:tcPr>
          <w:p>
            <w:pPr>
              <w:pStyle w:val="TableContents"/>
              <w:bidi w:val="0"/>
              <w:spacing w:before="0" w:after="283"/>
              <w:jc w:val="left"/>
              <w:rPr>
                <w:sz w:val="4"/>
                <w:szCs w:val="4"/>
              </w:rPr>
            </w:pPr>
            <w:r>
              <w:rPr>
                <w:sz w:val="4"/>
                <w:szCs w:val="4"/>
              </w:rPr>
            </w:r>
          </w:p>
        </w:tc>
        <w:tc>
          <w:tcPr>
            <w:tcW w:w="631" w:type="dxa"/>
            <w:gridSpan w:val="4"/>
            <w:tcBorders/>
            <w:vAlign w:val="center"/>
          </w:tcPr>
          <w:p>
            <w:pPr>
              <w:pStyle w:val="TableContents"/>
              <w:bidi w:val="0"/>
              <w:spacing w:before="0" w:after="283"/>
              <w:jc w:val="left"/>
              <w:rPr>
                <w:sz w:val="4"/>
                <w:szCs w:val="4"/>
              </w:rPr>
            </w:pPr>
            <w:r>
              <w:rPr>
                <w:sz w:val="4"/>
                <w:szCs w:val="4"/>
              </w:rPr>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Amendments, Waivers, Etc.</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184</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Notices and Other Communications; Facsimile Copies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No Waiver; Cumulative Remedies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Attorney Costs and Expenses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Indemnification by the Borrower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Marshaling; Payments Set Aside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Successors and Assigns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Confidentiality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199</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Set-off</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201</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Interest Rate Limitation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201</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Counterparts; Integration; Effectiveness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202</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Electronic Execution of Assignments and Certain Other Documents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202</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11.13</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Survival</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203</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11.14</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Severability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203</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11.15</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GOVERNING LAW</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203</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11.16</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WAIVER OF RIGHT TO TRIAL BY JURY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204</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11.17</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Limitation of Liability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205</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11.18</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Use of Name, Logo, Etc.</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205</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11.19</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USA PATRIOT Act Notice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205</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11.20</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Force Majeure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205</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11.21</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Collateral Trustee Merger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206</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11.22</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Service of Process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206</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11.23</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No Advisory or Fiduciary Responsibility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206</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11.24</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Binding Effect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207</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11.25</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Obligations Several; Independent Nature of Lender’s Rights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207</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11.26</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Headings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207</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11.27</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Acknowledgement and Consent to Bail-In of Affected Financial Institutions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207</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11.28</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Acknowledgment Regarding Any Supported QFCs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208</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11.29</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[Reserved]</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208</w:t>
            </w:r>
          </w:p>
        </w:tc>
        <w:tc>
          <w:tcPr>
            <w:tcW w:w="63" w:type="dxa"/>
            <w:tcBorders/>
            <w:vAlign w:val="bottom"/>
          </w:tcPr>
          <w:p>
            <w:pPr>
              <w:pStyle w:val="TableContents"/>
              <w:bidi w:val="0"/>
              <w:spacing w:before="0" w:after="283"/>
              <w:jc w:val="left"/>
              <w:rPr/>
            </w:pPr>
            <w:r>
              <w:rPr/>
              <w:t> </w:t>
            </w:r>
          </w:p>
        </w:tc>
      </w:tr>
      <w:tr>
        <w:trPr/>
        <w:tc>
          <w:tcPr>
            <w:tcW w:w="1438" w:type="dxa"/>
            <w:tcBorders/>
          </w:tcPr>
          <w:p>
            <w:pPr>
              <w:pStyle w:val="TableContents"/>
              <w:bidi w:val="0"/>
              <w:spacing w:before="0" w:after="0"/>
              <w:jc w:val="left"/>
              <w:rPr>
                <w:rFonts w:ascii="Times New Roman" w:hAnsi="Times New Roman"/>
                <w:sz w:val="20"/>
              </w:rPr>
            </w:pPr>
            <w:r>
              <w:rPr>
                <w:rFonts w:ascii="Times New Roman" w:hAnsi="Times New Roman"/>
                <w:sz w:val="20"/>
              </w:rPr>
              <w:t>Section 11.30</w:t>
            </w:r>
          </w:p>
        </w:tc>
        <w:tc>
          <w:tcPr>
            <w:tcW w:w="75" w:type="dxa"/>
            <w:tcBorders/>
            <w:vAlign w:val="bottom"/>
          </w:tcPr>
          <w:p>
            <w:pPr>
              <w:pStyle w:val="TableContents"/>
              <w:bidi w:val="0"/>
              <w:spacing w:before="0" w:after="283"/>
              <w:jc w:val="left"/>
              <w:rPr/>
            </w:pPr>
            <w:r>
              <w:rPr/>
              <w:t> </w:t>
            </w:r>
          </w:p>
        </w:tc>
        <w:tc>
          <w:tcPr>
            <w:tcW w:w="8061" w:type="dxa"/>
            <w:tcBorders/>
            <w:vAlign w:val="bottom"/>
          </w:tcPr>
          <w:p>
            <w:pPr>
              <w:pStyle w:val="TableContents"/>
              <w:bidi w:val="0"/>
              <w:spacing w:before="0" w:after="283"/>
              <w:jc w:val="left"/>
              <w:rPr/>
            </w:pPr>
            <w:r>
              <w:rPr/>
              <w:t>Disqualified Lenders and Net Short Positions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8"/>
        <w:gridCol w:w="124"/>
        <w:gridCol w:w="9083"/>
      </w:tblGrid>
      <w:tr>
        <w:trPr/>
        <w:tc>
          <w:tcPr>
            <w:tcW w:w="99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083" w:type="dxa"/>
            <w:tcBorders/>
            <w:vAlign w:val="center"/>
          </w:tcPr>
          <w:p>
            <w:pPr>
              <w:pStyle w:val="TableContents"/>
              <w:bidi w:val="0"/>
              <w:spacing w:before="0" w:after="283"/>
              <w:jc w:val="left"/>
              <w:rPr>
                <w:sz w:val="4"/>
                <w:szCs w:val="4"/>
              </w:rPr>
            </w:pPr>
            <w:r>
              <w:rPr>
                <w:sz w:val="4"/>
                <w:szCs w:val="4"/>
              </w:rPr>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1.01(a)</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Allocated Dollar Values</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2.01</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Commitments</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5.06</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Litigation</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5.07</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Labor Matters</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5.11(a)</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ERISA Compliance</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5.11(b)</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ERISA Compliance</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Subsidiaries</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5.15</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Properties; Title</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5.20</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Closing Date Jones Act Vessels</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6.07</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Material Insurance</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Post-Closing Matters</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6.19(j)</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Vessel Collateral Insurance</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7.01(c)</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Existing Liens</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7.03(c)</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Existing Specified Debt</w:t>
            </w:r>
          </w:p>
        </w:tc>
      </w:tr>
      <w:tr>
        <w:trPr/>
        <w:tc>
          <w:tcPr>
            <w:tcW w:w="998" w:type="dxa"/>
            <w:tcBorders/>
          </w:tcPr>
          <w:p>
            <w:pPr>
              <w:pStyle w:val="TableContents"/>
              <w:bidi w:val="0"/>
              <w:spacing w:before="0" w:after="0"/>
              <w:jc w:val="left"/>
              <w:rPr>
                <w:rFonts w:ascii="Times New Roman" w:hAnsi="Times New Roman"/>
                <w:sz w:val="20"/>
              </w:rPr>
            </w:pPr>
            <w:r>
              <w:rPr>
                <w:rFonts w:ascii="Times New Roman" w:hAnsi="Times New Roman"/>
                <w:sz w:val="20"/>
              </w:rPr>
              <w:t>11.02</w:t>
            </w:r>
          </w:p>
        </w:tc>
        <w:tc>
          <w:tcPr>
            <w:tcW w:w="124"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Administrative Agent’s Office, Certain Addresses for Notices</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1"/>
        <w:gridCol w:w="122"/>
        <w:gridCol w:w="9142"/>
      </w:tblGrid>
      <w:tr>
        <w:trPr/>
        <w:tc>
          <w:tcPr>
            <w:tcW w:w="94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142" w:type="dxa"/>
            <w:tcBorders/>
            <w:vAlign w:val="center"/>
          </w:tcPr>
          <w:p>
            <w:pPr>
              <w:pStyle w:val="TableContents"/>
              <w:bidi w:val="0"/>
              <w:spacing w:before="0" w:after="283"/>
              <w:jc w:val="left"/>
              <w:rPr>
                <w:sz w:val="4"/>
                <w:szCs w:val="4"/>
              </w:rPr>
            </w:pPr>
            <w:r>
              <w:rPr>
                <w:sz w:val="4"/>
                <w:szCs w:val="4"/>
              </w:rPr>
            </w:r>
          </w:p>
        </w:tc>
      </w:tr>
      <w:tr>
        <w:trPr/>
        <w:tc>
          <w:tcPr>
            <w:tcW w:w="94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i/>
              </w:rPr>
            </w:pPr>
            <w:r>
              <w:rPr>
                <w:i/>
              </w:rPr>
              <w:t>Form of</w:t>
            </w:r>
          </w:p>
        </w:tc>
      </w:tr>
      <w:tr>
        <w:trPr>
          <w:trHeight w:val="120" w:hRule="atLeast"/>
        </w:trPr>
        <w:tc>
          <w:tcPr>
            <w:tcW w:w="941" w:type="dxa"/>
            <w:tcBorders/>
            <w:vAlign w:val="center"/>
          </w:tcPr>
          <w:p>
            <w:pPr>
              <w:pStyle w:val="TableContents"/>
              <w:bidi w:val="0"/>
              <w:spacing w:before="0" w:after="283"/>
              <w:jc w:val="left"/>
              <w:rPr>
                <w:sz w:val="4"/>
                <w:szCs w:val="4"/>
              </w:rPr>
            </w:pPr>
            <w:r>
              <w:rPr>
                <w:sz w:val="4"/>
                <w:szCs w:val="4"/>
              </w:rPr>
            </w:r>
          </w:p>
        </w:tc>
        <w:tc>
          <w:tcPr>
            <w:tcW w:w="9264" w:type="dxa"/>
            <w:gridSpan w:val="2"/>
            <w:tcBorders/>
            <w:vAlign w:val="center"/>
          </w:tcPr>
          <w:p>
            <w:pPr>
              <w:pStyle w:val="TableContents"/>
              <w:bidi w:val="0"/>
              <w:spacing w:before="0" w:after="283"/>
              <w:jc w:val="left"/>
              <w:rPr>
                <w:sz w:val="4"/>
                <w:szCs w:val="4"/>
              </w:rPr>
            </w:pPr>
            <w:r>
              <w:rPr>
                <w:sz w:val="4"/>
                <w:szCs w:val="4"/>
              </w:rPr>
            </w:r>
          </w:p>
        </w:tc>
      </w:tr>
      <w:tr>
        <w:trPr/>
        <w:tc>
          <w:tcPr>
            <w:tcW w:w="941" w:type="dxa"/>
            <w:tcBorders/>
          </w:tcPr>
          <w:p>
            <w:pPr>
              <w:pStyle w:val="TableContents"/>
              <w:bidi w:val="0"/>
              <w:spacing w:before="0" w:after="283"/>
              <w:jc w:val="left"/>
              <w:rPr/>
            </w:pPr>
            <w:r>
              <w:rPr/>
              <w:t>A</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Borrowing Request</w:t>
            </w:r>
          </w:p>
        </w:tc>
      </w:tr>
      <w:tr>
        <w:trPr/>
        <w:tc>
          <w:tcPr>
            <w:tcW w:w="941"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Term Loan Note</w:t>
            </w:r>
          </w:p>
        </w:tc>
      </w:tr>
      <w:tr>
        <w:trPr/>
        <w:tc>
          <w:tcPr>
            <w:tcW w:w="941"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Compliance Certificate</w:t>
            </w:r>
          </w:p>
        </w:tc>
      </w:tr>
      <w:tr>
        <w:trPr/>
        <w:tc>
          <w:tcPr>
            <w:tcW w:w="941" w:type="dxa"/>
            <w:tcBorders/>
          </w:tcPr>
          <w:p>
            <w:pPr>
              <w:pStyle w:val="TableContents"/>
              <w:bidi w:val="0"/>
              <w:spacing w:before="0" w:after="283"/>
              <w:jc w:val="left"/>
              <w:rPr/>
            </w:pPr>
            <w:r>
              <w:rPr/>
              <w:t>D</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Assignment and Assumption</w:t>
            </w:r>
          </w:p>
        </w:tc>
      </w:tr>
      <w:tr>
        <w:trPr/>
        <w:tc>
          <w:tcPr>
            <w:tcW w:w="941" w:type="dxa"/>
            <w:tcBorders/>
          </w:tcPr>
          <w:p>
            <w:pPr>
              <w:pStyle w:val="TableContents"/>
              <w:bidi w:val="0"/>
              <w:spacing w:before="0" w:after="283"/>
              <w:jc w:val="left"/>
              <w:rPr/>
            </w:pPr>
            <w:r>
              <w:rPr/>
              <w:t>E</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[Reserved]</w:t>
            </w:r>
          </w:p>
        </w:tc>
      </w:tr>
      <w:tr>
        <w:trPr/>
        <w:tc>
          <w:tcPr>
            <w:tcW w:w="941" w:type="dxa"/>
            <w:tcBorders/>
          </w:tcPr>
          <w:p>
            <w:pPr>
              <w:pStyle w:val="TableContents"/>
              <w:bidi w:val="0"/>
              <w:spacing w:before="0" w:after="283"/>
              <w:jc w:val="left"/>
              <w:rPr/>
            </w:pPr>
            <w:r>
              <w:rPr/>
              <w:t>F</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[Reserved]</w:t>
            </w:r>
          </w:p>
        </w:tc>
      </w:tr>
      <w:tr>
        <w:trPr/>
        <w:tc>
          <w:tcPr>
            <w:tcW w:w="941" w:type="dxa"/>
            <w:tcBorders/>
          </w:tcPr>
          <w:p>
            <w:pPr>
              <w:pStyle w:val="TableContents"/>
              <w:bidi w:val="0"/>
              <w:spacing w:before="0" w:after="283"/>
              <w:jc w:val="left"/>
              <w:rPr/>
            </w:pPr>
            <w:r>
              <w:rPr/>
              <w:t>G-1</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U.S. Tax Compliance Certificate (For Foreign Lenders That Are Not Partnerships or Pass-Through Entities For U.S. Federal Income Tax Purposes)</w:t>
            </w:r>
          </w:p>
        </w:tc>
      </w:tr>
      <w:tr>
        <w:trPr/>
        <w:tc>
          <w:tcPr>
            <w:tcW w:w="941" w:type="dxa"/>
            <w:tcBorders/>
          </w:tcPr>
          <w:p>
            <w:pPr>
              <w:pStyle w:val="TableContents"/>
              <w:bidi w:val="0"/>
              <w:spacing w:before="0" w:after="283"/>
              <w:jc w:val="left"/>
              <w:rPr/>
            </w:pPr>
            <w:r>
              <w:rPr/>
              <w:t>G-2</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U.S. Tax Compliance Certificate (For Foreign Lenders That Are Partnerships or Pass-Through Entities For U.S. Federal Income Tax Purposes)</w:t>
            </w:r>
          </w:p>
        </w:tc>
      </w:tr>
      <w:tr>
        <w:trPr/>
        <w:tc>
          <w:tcPr>
            <w:tcW w:w="941" w:type="dxa"/>
            <w:tcBorders/>
          </w:tcPr>
          <w:p>
            <w:pPr>
              <w:pStyle w:val="TableContents"/>
              <w:bidi w:val="0"/>
              <w:spacing w:before="0" w:after="283"/>
              <w:jc w:val="left"/>
              <w:rPr/>
            </w:pPr>
            <w:r>
              <w:rPr/>
              <w:t>G-3</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U.S. Tax Compliance Certificate (For Foreign Participants That Are Not Partnerships or Pass-Through Entities For U.S. Federal Income Tax Purposes)</w:t>
            </w:r>
          </w:p>
        </w:tc>
      </w:tr>
      <w:tr>
        <w:trPr/>
        <w:tc>
          <w:tcPr>
            <w:tcW w:w="941" w:type="dxa"/>
            <w:tcBorders/>
          </w:tcPr>
          <w:p>
            <w:pPr>
              <w:pStyle w:val="TableContents"/>
              <w:bidi w:val="0"/>
              <w:spacing w:before="0" w:after="283"/>
              <w:jc w:val="left"/>
              <w:rPr/>
            </w:pPr>
            <w:r>
              <w:rPr/>
              <w:t>G-4</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U.S. Tax Compliance Certificate (For Foreign Participants That Are Partnerships or Pass-Through Entities For U.S. Federal Income Tax Purposes)</w:t>
            </w:r>
          </w:p>
        </w:tc>
      </w:tr>
      <w:tr>
        <w:trPr/>
        <w:tc>
          <w:tcPr>
            <w:tcW w:w="941" w:type="dxa"/>
            <w:tcBorders/>
          </w:tcPr>
          <w:p>
            <w:pPr>
              <w:pStyle w:val="TableContents"/>
              <w:bidi w:val="0"/>
              <w:spacing w:before="0" w:after="283"/>
              <w:jc w:val="left"/>
              <w:rPr/>
            </w:pPr>
            <w:r>
              <w:rPr/>
              <w:t>H</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[Reserved]</w:t>
            </w:r>
          </w:p>
        </w:tc>
      </w:tr>
      <w:tr>
        <w:trPr/>
        <w:tc>
          <w:tcPr>
            <w:tcW w:w="941" w:type="dxa"/>
            <w:tcBorders/>
          </w:tcPr>
          <w:p>
            <w:pPr>
              <w:pStyle w:val="TableContents"/>
              <w:bidi w:val="0"/>
              <w:spacing w:before="0" w:after="283"/>
              <w:jc w:val="left"/>
              <w:rPr/>
            </w:pPr>
            <w:r>
              <w:rPr/>
              <w:t>I</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Solvency Certificate</w:t>
            </w:r>
          </w:p>
        </w:tc>
      </w:tr>
      <w:tr>
        <w:trPr/>
        <w:tc>
          <w:tcPr>
            <w:tcW w:w="941" w:type="dxa"/>
            <w:tcBorders/>
          </w:tcPr>
          <w:p>
            <w:pPr>
              <w:pStyle w:val="TableContents"/>
              <w:bidi w:val="0"/>
              <w:spacing w:before="0" w:after="283"/>
              <w:jc w:val="left"/>
              <w:rPr/>
            </w:pPr>
            <w:r>
              <w:rPr/>
              <w:t>J</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Prepayment Notice</w:t>
            </w:r>
          </w:p>
        </w:tc>
      </w:tr>
      <w:tr>
        <w:trPr/>
        <w:tc>
          <w:tcPr>
            <w:tcW w:w="941" w:type="dxa"/>
            <w:tcBorders/>
          </w:tcPr>
          <w:p>
            <w:pPr>
              <w:pStyle w:val="TableContents"/>
              <w:bidi w:val="0"/>
              <w:spacing w:before="0" w:after="283"/>
              <w:jc w:val="left"/>
              <w:rPr/>
            </w:pPr>
            <w:r>
              <w:rPr/>
              <w:t>K-1</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[Reserved]</w:t>
            </w:r>
          </w:p>
        </w:tc>
      </w:tr>
      <w:tr>
        <w:trPr/>
        <w:tc>
          <w:tcPr>
            <w:tcW w:w="941" w:type="dxa"/>
            <w:tcBorders/>
          </w:tcPr>
          <w:p>
            <w:pPr>
              <w:pStyle w:val="TableContents"/>
              <w:bidi w:val="0"/>
              <w:spacing w:before="0" w:after="283"/>
              <w:jc w:val="left"/>
              <w:rPr/>
            </w:pPr>
            <w:r>
              <w:rPr/>
              <w:t>K-2</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Form of Senior Lien Intercreditor Agreement</w:t>
            </w:r>
          </w:p>
        </w:tc>
      </w:tr>
      <w:tr>
        <w:trPr/>
        <w:tc>
          <w:tcPr>
            <w:tcW w:w="941" w:type="dxa"/>
            <w:tcBorders/>
          </w:tcPr>
          <w:p>
            <w:pPr>
              <w:pStyle w:val="TableContents"/>
              <w:bidi w:val="0"/>
              <w:spacing w:before="0" w:after="283"/>
              <w:jc w:val="left"/>
              <w:rPr/>
            </w:pPr>
            <w:r>
              <w:rPr/>
              <w:t>K-3</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[Reserved]</w:t>
            </w:r>
          </w:p>
        </w:tc>
      </w:tr>
      <w:tr>
        <w:trPr/>
        <w:tc>
          <w:tcPr>
            <w:tcW w:w="941" w:type="dxa"/>
            <w:tcBorders/>
          </w:tcPr>
          <w:p>
            <w:pPr>
              <w:pStyle w:val="TableContents"/>
              <w:bidi w:val="0"/>
              <w:spacing w:before="0" w:after="283"/>
              <w:jc w:val="left"/>
              <w:rPr/>
            </w:pPr>
            <w:r>
              <w:rPr/>
              <w:t>L</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Form of Collateral Trust Agreement</w:t>
            </w:r>
          </w:p>
        </w:tc>
      </w:tr>
      <w:tr>
        <w:trPr/>
        <w:tc>
          <w:tcPr>
            <w:tcW w:w="941" w:type="dxa"/>
            <w:tcBorders/>
          </w:tcPr>
          <w:p>
            <w:pPr>
              <w:pStyle w:val="TableContents"/>
              <w:bidi w:val="0"/>
              <w:spacing w:before="0" w:after="283"/>
              <w:jc w:val="left"/>
              <w:rPr/>
            </w:pPr>
            <w:r>
              <w:rPr/>
              <w:t>M</w:t>
            </w:r>
          </w:p>
        </w:tc>
        <w:tc>
          <w:tcPr>
            <w:tcW w:w="122" w:type="dxa"/>
            <w:tcBorders/>
            <w:vAlign w:val="bottom"/>
          </w:tcPr>
          <w:p>
            <w:pPr>
              <w:pStyle w:val="TableContents"/>
              <w:bidi w:val="0"/>
              <w:spacing w:before="0" w:after="283"/>
              <w:jc w:val="left"/>
              <w:rPr/>
            </w:pPr>
            <w:r>
              <w:rPr/>
              <w:t>  </w:t>
            </w:r>
          </w:p>
        </w:tc>
        <w:tc>
          <w:tcPr>
            <w:tcW w:w="9142" w:type="dxa"/>
            <w:tcBorders/>
          </w:tcPr>
          <w:p>
            <w:pPr>
              <w:pStyle w:val="TableContents"/>
              <w:bidi w:val="0"/>
              <w:spacing w:before="0" w:after="283"/>
              <w:jc w:val="left"/>
              <w:rPr/>
            </w:pPr>
            <w:r>
              <w:rPr/>
              <w:t>Form of Vessel Mortgage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SECOND LIEN TERM LOAN CREDIT AGREEMENT </w:t>
      </w:r>
    </w:p>
    <w:p>
      <w:pPr>
        <w:pStyle w:val="TextBody"/>
        <w:bidi w:val="0"/>
        <w:spacing w:before="240" w:after="0"/>
        <w:jc w:val="left"/>
        <w:rPr>
          <w:rFonts w:ascii="Times New Roman" w:hAnsi="Times New Roman"/>
          <w:sz w:val="20"/>
        </w:rPr>
      </w:pPr>
      <w:r>
        <w:rPr>
          <w:rFonts w:ascii="Times New Roman" w:hAnsi="Times New Roman"/>
          <w:sz w:val="20"/>
        </w:rPr>
        <w:t>This SECOND LIEN TERM LOAN CREDIT AGREEMENT is entered into as of December 27, 2024, by and among HORNBECK OFFSHORE SERVICES, INC., a Delaware corporation (the “</w:t>
      </w:r>
      <w:r>
        <w:rPr>
          <w:rFonts w:ascii="Times New Roman" w:hAnsi="Times New Roman"/>
          <w:b/>
          <w:sz w:val="20"/>
        </w:rPr>
        <w:t>Borrower</w:t>
      </w:r>
      <w:r>
        <w:rPr>
          <w:rFonts w:ascii="Times New Roman" w:hAnsi="Times New Roman"/>
          <w:sz w:val="20"/>
        </w:rPr>
        <w:t>”), STONEBRIAR COMMERCIAL FINANCE LLC, as administrative agent (in such capacity, including any successor thereto, the “</w:t>
      </w:r>
      <w:r>
        <w:rPr>
          <w:rFonts w:ascii="Times New Roman" w:hAnsi="Times New Roman"/>
          <w:b/>
          <w:sz w:val="20"/>
        </w:rPr>
        <w:t>Administrative Agent</w:t>
      </w:r>
      <w:r>
        <w:rPr>
          <w:rFonts w:ascii="Times New Roman" w:hAnsi="Times New Roman"/>
          <w:sz w:val="20"/>
        </w:rPr>
        <w:t>”), WILMINGTON TRUST, NATIONAL ASSOCIATION, as collateral trustee (in such capacity, including any successor thereto, the “</w:t>
      </w:r>
      <w:r>
        <w:rPr>
          <w:rFonts w:ascii="Times New Roman" w:hAnsi="Times New Roman"/>
          <w:b/>
          <w:sz w:val="20"/>
        </w:rPr>
        <w:t>Collateral Trustee</w:t>
      </w:r>
      <w:r>
        <w:rPr>
          <w:rFonts w:ascii="Times New Roman" w:hAnsi="Times New Roman"/>
          <w:sz w:val="20"/>
        </w:rPr>
        <w:t>”), and each lender from time to time party hereto (collectively, the “</w:t>
      </w:r>
      <w:r>
        <w:rPr>
          <w:rFonts w:ascii="Times New Roman" w:hAnsi="Times New Roman"/>
          <w:b/>
          <w:sz w:val="20"/>
        </w:rPr>
        <w:t>Lenders</w:t>
      </w:r>
      <w:r>
        <w:rPr>
          <w:rFonts w:ascii="Times New Roman" w:hAnsi="Times New Roman"/>
          <w:sz w:val="20"/>
        </w:rPr>
        <w:t>” and, individually, a “</w:t>
      </w:r>
      <w:r>
        <w:rPr>
          <w:rFonts w:ascii="Times New Roman" w:hAnsi="Times New Roman"/>
          <w:b/>
          <w:sz w:val="20"/>
        </w:rPr>
        <w:t>Lender</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 has requested that simultaneously with the satisfaction of the conditions precedent set forth in </w:t>
      </w:r>
      <w:r>
        <w:rPr>
          <w:rFonts w:ascii="Times New Roman" w:hAnsi="Times New Roman"/>
          <w:sz w:val="20"/>
          <w:u w:val="single"/>
        </w:rPr>
        <w:t>Article IV</w:t>
      </w:r>
      <w:r>
        <w:rPr>
          <w:rFonts w:ascii="Times New Roman" w:hAnsi="Times New Roman"/>
          <w:sz w:val="20"/>
        </w:rPr>
        <w:t xml:space="preserve"> below the Lenders make available to the Borrower the Loans in an aggregate amount equal to the Commitments on the Closing Date as a second lien secured term loan facility (the “</w:t>
      </w:r>
      <w:r>
        <w:rPr>
          <w:rFonts w:ascii="Times New Roman" w:hAnsi="Times New Roman"/>
          <w:b/>
          <w:sz w:val="20"/>
        </w:rPr>
        <w:t>Term Loan Facility</w:t>
      </w:r>
      <w:r>
        <w:rPr>
          <w:rFonts w:ascii="Times New Roman" w:hAnsi="Times New Roman"/>
          <w:sz w:val="20"/>
        </w:rPr>
        <w:t xml:space="preserve">”)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The proceeds of the Loans will be used to (a) repay the indebtedness of the Borrower and Hornbeck Offshore Services, LLC (“</w:t>
      </w:r>
      <w:r>
        <w:rPr>
          <w:rFonts w:ascii="Times New Roman" w:hAnsi="Times New Roman"/>
          <w:b/>
          <w:sz w:val="20"/>
        </w:rPr>
        <w:t>HOS LLC</w:t>
      </w:r>
      <w:r>
        <w:rPr>
          <w:rFonts w:ascii="Times New Roman" w:hAnsi="Times New Roman"/>
          <w:sz w:val="20"/>
        </w:rPr>
        <w:t>”), as co-borrowers, under that certain Second Term Loan Credit Agreement dated as of September 4, 2020, by and among the Borrower, HOS LLC, Wilmington Trust, National Association as administrative agent, Wilmington Trust, National Association, as collateral agent and the lenders party thereto (as in effect on the date hereof, the “</w:t>
      </w:r>
      <w:r>
        <w:rPr>
          <w:rFonts w:ascii="Times New Roman" w:hAnsi="Times New Roman"/>
          <w:b/>
          <w:sz w:val="20"/>
        </w:rPr>
        <w:t>Existing Second Lien Term Loan Agreement</w:t>
      </w:r>
      <w:r>
        <w:rPr>
          <w:rFonts w:ascii="Times New Roman" w:hAnsi="Times New Roman"/>
          <w:sz w:val="20"/>
        </w:rPr>
        <w:t xml:space="preserve">”), (b) repurchase certain warrants, common equity or other equity instruments of Borrower and (c) pay all costs, fees and expenses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Lenders have agreed to make available their respective shares of the Commitments and extend their respective Loans, in each case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covenants and agreements herein contained, the parties hereto covenant and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AND ACCOUNTING TERMS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Defined Terms</w:t>
      </w:r>
      <w:r>
        <w:rPr>
          <w:rFonts w:ascii="Times New Roman" w:hAnsi="Times New Roman"/>
          <w:sz w:val="20"/>
        </w:rPr>
        <w:t xml:space="preserve">. As used in this Agreement, the following terms have the meanings set forth below: </w:t>
      </w:r>
    </w:p>
    <w:p>
      <w:pPr>
        <w:pStyle w:val="TextBody"/>
        <w:bidi w:val="0"/>
        <w:spacing w:before="240" w:after="0"/>
        <w:jc w:val="left"/>
        <w:rPr/>
      </w:pPr>
      <w:r>
        <w:rPr/>
        <w:t>“</w:t>
      </w:r>
      <w:r>
        <w:rPr>
          <w:rFonts w:ascii="Times New Roman" w:hAnsi="Times New Roman"/>
          <w:b/>
          <w:sz w:val="20"/>
        </w:rPr>
        <w:t>2024 Newbuild Vessels</w:t>
      </w:r>
      <w:r>
        <w:rPr>
          <w:rFonts w:ascii="Times New Roman" w:hAnsi="Times New Roman"/>
          <w:sz w:val="20"/>
        </w:rPr>
        <w:t xml:space="preserve">” has the meaning specified in the definition of Excluded Vessel. </w:t>
      </w:r>
    </w:p>
    <w:p>
      <w:pPr>
        <w:pStyle w:val="TextBody"/>
        <w:bidi w:val="0"/>
        <w:spacing w:before="240" w:after="0"/>
        <w:jc w:val="left"/>
        <w:rPr/>
      </w:pPr>
      <w:r>
        <w:rPr/>
        <w:t>“</w:t>
      </w:r>
      <w:r>
        <w:rPr>
          <w:rFonts w:ascii="Times New Roman" w:hAnsi="Times New Roman"/>
          <w:b/>
          <w:sz w:val="20"/>
        </w:rPr>
        <w:t>Accounting Change</w:t>
      </w:r>
      <w:r>
        <w:rPr>
          <w:rFonts w:ascii="Times New Roman" w:hAnsi="Times New Roman"/>
          <w:sz w:val="20"/>
        </w:rPr>
        <w:t xml:space="preserve">” has the meaning specified in the definition of “GAAP.” </w:t>
      </w:r>
    </w:p>
    <w:p>
      <w:pPr>
        <w:pStyle w:val="TextBody"/>
        <w:bidi w:val="0"/>
        <w:spacing w:before="240" w:after="0"/>
        <w:jc w:val="left"/>
        <w:rPr/>
      </w:pPr>
      <w:r>
        <w:rPr/>
        <w:t>“</w:t>
      </w:r>
      <w:r>
        <w:rPr>
          <w:rFonts w:ascii="Times New Roman" w:hAnsi="Times New Roman"/>
          <w:b/>
          <w:sz w:val="20"/>
        </w:rPr>
        <w:t>Acquired Indebtedness</w:t>
      </w:r>
      <w:r>
        <w:rPr>
          <w:rFonts w:ascii="Times New Roman" w:hAnsi="Times New Roman"/>
          <w:sz w:val="20"/>
        </w:rPr>
        <w:t xml:space="preserve">” means with respect to any Person (x) Indebtedness of any other Person or any of its Subsidiaries existing at the time such other Person becomes a Restricted Subsidiary or merges or amalgamates with or into or consolidates or otherwise combines with the Borrower or any Restricted Subsidiary and (y) Indebtedness secured by a Lien encumbering any asset acquired by such Person. Acquired Indebtedness shall be deemed to have been incurred, with respect to </w:t>
      </w:r>
      <w:r>
        <w:rPr>
          <w:rFonts w:ascii="Times New Roman" w:hAnsi="Times New Roman"/>
          <w:sz w:val="20"/>
          <w:u w:val="single"/>
        </w:rPr>
        <w:t>clause (x)</w:t>
      </w:r>
      <w:r>
        <w:rPr>
          <w:rFonts w:ascii="Times New Roman" w:hAnsi="Times New Roman"/>
          <w:sz w:val="20"/>
        </w:rPr>
        <w:t xml:space="preserve"> of the preceding sentence, on the date such Person becomes a Restricted Subsidiary or on the date of the relevant merger, amalgamation, consolidation, acquisition or other combination.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Administrative Agent</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sz w:val="20"/>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11.02</w:t>
      </w:r>
      <w:r>
        <w:rPr>
          <w:rFonts w:ascii="Times New Roman" w:hAnsi="Times New Roman"/>
          <w:sz w:val="20"/>
        </w:rPr>
        <w:t xml:space="preserve">, or such other address or account as the Administrative Agent may from time to time notify the Borrower and the Lenders. </w:t>
      </w:r>
    </w:p>
    <w:p>
      <w:pPr>
        <w:pStyle w:val="TextBody"/>
        <w:bidi w:val="0"/>
        <w:spacing w:before="240" w:after="0"/>
        <w:jc w:val="left"/>
        <w:rPr/>
      </w:pPr>
      <w:r>
        <w:rPr/>
        <w:t>“</w:t>
      </w:r>
      <w:r>
        <w:rPr>
          <w:rFonts w:ascii="Times New Roman" w:hAnsi="Times New Roman"/>
          <w:b/>
          <w:sz w:val="20"/>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b/>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means, with respect to any Person, another Person that directly, or indirectly through one or more intermediaries, Controls or is Controlled by or is under common Control with the Person specified. “</w:t>
      </w:r>
      <w:r>
        <w:rPr>
          <w:rFonts w:ascii="Times New Roman" w:hAnsi="Times New Roman"/>
          <w:b/>
          <w:sz w:val="20"/>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b/>
          <w:sz w:val="20"/>
        </w:rPr>
        <w:t>Controlled</w:t>
      </w:r>
      <w:r>
        <w:rPr>
          <w:rFonts w:ascii="Times New Roman" w:hAnsi="Times New Roman"/>
          <w:sz w:val="20"/>
        </w:rPr>
        <w:t xml:space="preserve">” has the meaning correlative thereto. For the avoidance of doubt, none of the Agents or their respective lending affiliates shall be deemed to be an Affiliate of the Borrower or any of its Subsidiaries. </w:t>
      </w:r>
    </w:p>
    <w:p>
      <w:pPr>
        <w:pStyle w:val="TextBody"/>
        <w:bidi w:val="0"/>
        <w:spacing w:before="240" w:after="0"/>
        <w:jc w:val="left"/>
        <w:rPr/>
      </w:pPr>
      <w:r>
        <w:rPr/>
        <w:t>“</w:t>
      </w:r>
      <w:r>
        <w:rPr>
          <w:rFonts w:ascii="Times New Roman" w:hAnsi="Times New Roman"/>
          <w:b/>
          <w:sz w:val="20"/>
        </w:rPr>
        <w:t>Affiliate Transaction</w:t>
      </w:r>
      <w:r>
        <w:rPr>
          <w:rFonts w:ascii="Times New Roman" w:hAnsi="Times New Roman"/>
          <w:sz w:val="20"/>
        </w:rPr>
        <w:t xml:space="preserve">” has the meaning specified </w:t>
      </w:r>
      <w:r>
        <w:rPr>
          <w:rFonts w:ascii="Times New Roman" w:hAnsi="Times New Roman"/>
          <w:sz w:val="20"/>
          <w:u w:val="single"/>
        </w:rPr>
        <w:t>Section 6.18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Agent Parties</w:t>
      </w:r>
      <w:r>
        <w:rPr>
          <w:rFonts w:ascii="Times New Roman" w:hAnsi="Times New Roman"/>
          <w:sz w:val="20"/>
        </w:rPr>
        <w:t xml:space="preserve">” has the meaning specified in </w:t>
      </w:r>
      <w:r>
        <w:rPr>
          <w:rFonts w:ascii="Times New Roman" w:hAnsi="Times New Roman"/>
          <w:sz w:val="20"/>
          <w:u w:val="single"/>
        </w:rPr>
        <w:t>Section 11.02(e)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Agent-Related Persons</w:t>
      </w:r>
      <w:r>
        <w:rPr>
          <w:rFonts w:ascii="Times New Roman" w:hAnsi="Times New Roman"/>
          <w:sz w:val="20"/>
        </w:rPr>
        <w:t xml:space="preserve">” means the Agents, together with their respective Affiliates, and the officers, directors, shareholders, employees, agents, attorney-in-fact, partners, trustees, advisors and other representatives of such Persons and of such Persons’ Affiliates. </w:t>
      </w:r>
    </w:p>
    <w:p>
      <w:pPr>
        <w:pStyle w:val="TextBody"/>
        <w:bidi w:val="0"/>
        <w:spacing w:before="240" w:after="0"/>
        <w:jc w:val="left"/>
        <w:rPr/>
      </w:pPr>
      <w:r>
        <w:rPr/>
        <w:t>“</w:t>
      </w:r>
      <w:r>
        <w:rPr>
          <w:rFonts w:ascii="Times New Roman" w:hAnsi="Times New Roman"/>
          <w:b/>
          <w:sz w:val="20"/>
        </w:rPr>
        <w:t>Agents</w:t>
      </w:r>
      <w:r>
        <w:rPr>
          <w:rFonts w:ascii="Times New Roman" w:hAnsi="Times New Roman"/>
          <w:sz w:val="20"/>
        </w:rPr>
        <w:t xml:space="preserve">” means, collectively, the Administrative Agent, the Collateral Trustee, and the Supplemental Administrative Agents (if any). </w:t>
      </w:r>
    </w:p>
    <w:p>
      <w:pPr>
        <w:pStyle w:val="TextBody"/>
        <w:bidi w:val="0"/>
        <w:spacing w:before="240" w:after="0"/>
        <w:jc w:val="left"/>
        <w:rPr/>
      </w:pPr>
      <w:r>
        <w:rPr/>
        <w:t>“</w:t>
      </w:r>
      <w:r>
        <w:rPr>
          <w:rFonts w:ascii="Times New Roman" w:hAnsi="Times New Roman"/>
          <w:b/>
          <w:sz w:val="20"/>
        </w:rPr>
        <w:t>Aggregate Commitments</w:t>
      </w:r>
      <w:r>
        <w:rPr>
          <w:rFonts w:ascii="Times New Roman" w:hAnsi="Times New Roman"/>
          <w:sz w:val="20"/>
        </w:rPr>
        <w:t xml:space="preserve">” means the Commitments of all the Lenders.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Second Lien Term Loan Credit Agreement, as amended, restated, amended and restated, modified or supplemented from time to time in accordance with the terms hereof. </w:t>
      </w:r>
    </w:p>
    <w:p>
      <w:pPr>
        <w:pStyle w:val="TextBody"/>
        <w:bidi w:val="0"/>
        <w:spacing w:before="240" w:after="0"/>
        <w:jc w:val="left"/>
        <w:rPr/>
      </w:pPr>
      <w:r>
        <w:rPr/>
        <w:t>“</w:t>
      </w:r>
      <w:r>
        <w:rPr>
          <w:rFonts w:ascii="Times New Roman" w:hAnsi="Times New Roman"/>
          <w:b/>
          <w:sz w:val="20"/>
        </w:rPr>
        <w:t>Agreement Currency</w:t>
      </w:r>
      <w:r>
        <w:rPr>
          <w:rFonts w:ascii="Times New Roman" w:hAnsi="Times New Roman"/>
          <w:sz w:val="20"/>
        </w:rPr>
        <w:t xml:space="preserve">” has the meaning specified in </w:t>
      </w:r>
      <w:r>
        <w:rPr>
          <w:rFonts w:ascii="Times New Roman" w:hAnsi="Times New Roman"/>
          <w:sz w:val="20"/>
          <w:u w:val="single"/>
        </w:rPr>
        <w:t>Section 2.12(b)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Allocated Dollar Values</w:t>
      </w:r>
      <w:r>
        <w:rPr>
          <w:rFonts w:ascii="Times New Roman" w:hAnsi="Times New Roman"/>
          <w:sz w:val="20"/>
        </w:rPr>
        <w:t xml:space="preserve">” means, as to any Vessel, the dollar value assigned to such Vessel as set forth in </w:t>
      </w:r>
      <w:r>
        <w:rPr>
          <w:rFonts w:ascii="Times New Roman" w:hAnsi="Times New Roman"/>
          <w:sz w:val="20"/>
          <w:u w:val="single"/>
        </w:rPr>
        <w:t>Schedule 1.01(a)</w:t>
      </w:r>
      <w:r>
        <w:rPr>
          <w:rFonts w:ascii="Times New Roman" w:hAnsi="Times New Roman"/>
          <w:sz w:val="20"/>
        </w:rPr>
        <w:t xml:space="preserve"> hereto, as such </w:t>
      </w:r>
      <w:r>
        <w:rPr>
          <w:rFonts w:ascii="Times New Roman" w:hAnsi="Times New Roman"/>
          <w:sz w:val="20"/>
          <w:u w:val="single"/>
        </w:rPr>
        <w:t>Schedule 1.01(a)</w:t>
      </w:r>
      <w:r>
        <w:rPr>
          <w:rFonts w:ascii="Times New Roman" w:hAnsi="Times New Roman"/>
          <w:sz w:val="20"/>
        </w:rPr>
        <w:t xml:space="preserve">, may be amended, supplemented or modified from time to time in accordance with </w:t>
      </w:r>
      <w:r>
        <w:rPr>
          <w:rFonts w:ascii="Times New Roman" w:hAnsi="Times New Roman"/>
          <w:sz w:val="20"/>
          <w:u w:val="single"/>
        </w:rPr>
        <w:t>Section 6.11(d)(ii)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Ancillary Fees</w:t>
      </w:r>
      <w:r>
        <w:rPr>
          <w:rFonts w:ascii="Times New Roman" w:hAnsi="Times New Roman"/>
          <w:sz w:val="20"/>
        </w:rPr>
        <w:t xml:space="preserve">” has the meaning specified in </w:t>
      </w:r>
      <w:r>
        <w:rPr>
          <w:rFonts w:ascii="Times New Roman" w:hAnsi="Times New Roman"/>
          <w:sz w:val="20"/>
          <w:u w:val="single"/>
        </w:rPr>
        <w:t>Section 11.01(b)(ix)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means all laws, rules, and regulations of any jurisdiction applicable to the Borrower or any of its Subsidiaries from time to time concerning or relating to bribery, or corruption, including, but not limited to, the U.S. Foreign Corrupt Practices Act of 1977, as amended, and the UK Bribery Act 2010. </w:t>
      </w:r>
    </w:p>
    <w:p>
      <w:pPr>
        <w:pStyle w:val="TextBody"/>
        <w:bidi w:val="0"/>
        <w:spacing w:before="240" w:after="0"/>
        <w:jc w:val="left"/>
        <w:rPr/>
      </w:pPr>
      <w:r>
        <w:rPr/>
        <w:t>“</w:t>
      </w:r>
      <w:r>
        <w:rPr>
          <w:rFonts w:ascii="Times New Roman" w:hAnsi="Times New Roman"/>
          <w:b/>
          <w:sz w:val="20"/>
        </w:rPr>
        <w:t>Applicable Creditor</w:t>
      </w:r>
      <w:r>
        <w:rPr>
          <w:rFonts w:ascii="Times New Roman" w:hAnsi="Times New Roman"/>
          <w:sz w:val="20"/>
        </w:rPr>
        <w:t xml:space="preserve">” has the meaning specified in </w:t>
      </w:r>
      <w:r>
        <w:rPr>
          <w:rFonts w:ascii="Times New Roman" w:hAnsi="Times New Roman"/>
          <w:sz w:val="20"/>
          <w:u w:val="single"/>
        </w:rPr>
        <w:t>Section 2.12(b)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applicable decimal place</w:t>
      </w:r>
      <w:r>
        <w:rPr>
          <w:rFonts w:ascii="Times New Roman" w:hAnsi="Times New Roman"/>
          <w:sz w:val="20"/>
        </w:rPr>
        <w:t xml:space="preserve">” has the meaning specified in </w:t>
      </w:r>
      <w:r>
        <w:rPr>
          <w:rFonts w:ascii="Times New Roman" w:hAnsi="Times New Roman"/>
          <w:sz w:val="20"/>
          <w:u w:val="single"/>
        </w:rPr>
        <w:t>Section 1.04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Applicable Indebtedness</w:t>
      </w:r>
      <w:r>
        <w:rPr>
          <w:rFonts w:ascii="Times New Roman" w:hAnsi="Times New Roman"/>
          <w:sz w:val="20"/>
        </w:rPr>
        <w:t xml:space="preserve">” has the meaning specified in the definition of “Weighted Average Life to Maturity.” </w:t>
      </w:r>
    </w:p>
    <w:p>
      <w:pPr>
        <w:pStyle w:val="TextBody"/>
        <w:bidi w:val="0"/>
        <w:spacing w:before="240" w:after="0"/>
        <w:jc w:val="left"/>
        <w:rPr/>
      </w:pPr>
      <w:r>
        <w:rPr/>
        <w:t>“</w:t>
      </w:r>
      <w:r>
        <w:rPr>
          <w:rFonts w:ascii="Times New Roman" w:hAnsi="Times New Roman"/>
          <w:b/>
          <w:sz w:val="20"/>
        </w:rPr>
        <w:t>Applicable Jurisdiction</w:t>
      </w:r>
      <w:r>
        <w:rPr>
          <w:rFonts w:ascii="Times New Roman" w:hAnsi="Times New Roman"/>
          <w:sz w:val="20"/>
        </w:rPr>
        <w:t xml:space="preserve">” means the United States and any other jurisdiction approved by the Required Lenders and the Administrative Agent, in each case, acting reasonably and in good faith. </w:t>
      </w:r>
    </w:p>
    <w:p>
      <w:pPr>
        <w:pStyle w:val="TextBody"/>
        <w:bidi w:val="0"/>
        <w:spacing w:before="240" w:after="0"/>
        <w:jc w:val="left"/>
        <w:rPr/>
      </w:pPr>
      <w:r>
        <w:rPr/>
        <w:t>“</w:t>
      </w:r>
      <w:r>
        <w:rPr>
          <w:rFonts w:ascii="Times New Roman" w:hAnsi="Times New Roman"/>
          <w:b/>
          <w:sz w:val="20"/>
        </w:rPr>
        <w:t>Applicable Proceeds Threshold Amount</w:t>
      </w:r>
      <w:r>
        <w:rPr>
          <w:rFonts w:ascii="Times New Roman" w:hAnsi="Times New Roman"/>
          <w:sz w:val="20"/>
        </w:rPr>
        <w:t xml:space="preserve">” has the meaning specified in </w:t>
      </w:r>
      <w:r>
        <w:rPr>
          <w:rFonts w:ascii="Times New Roman" w:hAnsi="Times New Roman"/>
          <w:sz w:val="20"/>
          <w:u w:val="single"/>
        </w:rPr>
        <w:t>Section 7.05(c)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Approved Flag Jurisdiction</w:t>
      </w:r>
      <w:r>
        <w:rPr>
          <w:rFonts w:ascii="Times New Roman" w:hAnsi="Times New Roman"/>
          <w:sz w:val="20"/>
        </w:rPr>
        <w:t xml:space="preserve">” means (x) the United States of America, Mexico, Brazil, Vanuatu, Marshall Islands, Guyana, Colombia, and (y) any other flag state constituting an internationally recognized open ship registry used by U.S. shipping companies (as determined in good faith by the Borrower) or other flag state instituting a cabotage regime, which in the Borrower’s or any Restricted Subsidiary’s good faith judgment is necessary or desirable in order to pursue customer opportunities in such non-U.S. jurisdictions, in each case under this </w:t>
      </w:r>
      <w:r>
        <w:rPr>
          <w:rFonts w:ascii="Times New Roman" w:hAnsi="Times New Roman"/>
          <w:sz w:val="20"/>
          <w:u w:val="single"/>
        </w:rPr>
        <w:t>clause (y)</w:t>
      </w:r>
      <w:r>
        <w:rPr>
          <w:rFonts w:ascii="Times New Roman" w:hAnsi="Times New Roman"/>
          <w:sz w:val="20"/>
        </w:rPr>
        <w:t xml:space="preserve"> subject to the approval of the Administrative Agent, such approval not to be unreasonably withheld, conditioned or delayed. </w:t>
      </w:r>
    </w:p>
    <w:p>
      <w:pPr>
        <w:pStyle w:val="TextBody"/>
        <w:bidi w:val="0"/>
        <w:spacing w:before="240" w:after="0"/>
        <w:jc w:val="left"/>
        <w:rPr/>
      </w:pPr>
      <w:r>
        <w:rPr/>
        <w:t>“</w:t>
      </w:r>
      <w:r>
        <w:rPr>
          <w:rFonts w:ascii="Times New Roman" w:hAnsi="Times New Roman"/>
          <w:b/>
          <w:sz w:val="20"/>
        </w:rPr>
        <w:t>Approved Fund</w:t>
      </w:r>
      <w:r>
        <w:rPr>
          <w:rFonts w:ascii="Times New Roman" w:hAnsi="Times New Roman"/>
          <w:sz w:val="20"/>
        </w:rPr>
        <w:t xml:space="preserve">” means, with respect to any Lender, any Fund that is administered, advised or managed by (a) such Lender, (b) an Affiliate of such Lender or (c) an entity or an Affiliate of an entity that administers, advises or manages such Lender. </w:t>
      </w:r>
    </w:p>
    <w:p>
      <w:pPr>
        <w:pStyle w:val="TextBody"/>
        <w:bidi w:val="0"/>
        <w:spacing w:before="240" w:after="0"/>
        <w:jc w:val="left"/>
        <w:rPr/>
      </w:pPr>
      <w:r>
        <w:rPr/>
        <w:t>“</w:t>
      </w:r>
      <w:r>
        <w:rPr>
          <w:rFonts w:ascii="Times New Roman" w:hAnsi="Times New Roman"/>
          <w:b/>
          <w:sz w:val="20"/>
        </w:rPr>
        <w:t>Assignment and Assumption</w:t>
      </w:r>
      <w:r>
        <w:rPr>
          <w:rFonts w:ascii="Times New Roman" w:hAnsi="Times New Roman"/>
          <w:sz w:val="20"/>
        </w:rPr>
        <w:t xml:space="preserve">” means an Assignment and Assumption substantially in the form of </w:t>
      </w:r>
      <w:r>
        <w:rPr>
          <w:rFonts w:ascii="Times New Roman" w:hAnsi="Times New Roman"/>
          <w:sz w:val="20"/>
          <w:u w:val="single"/>
        </w:rPr>
        <w:t>Exhibit D</w:t>
      </w:r>
      <w:r>
        <w:rPr>
          <w:rFonts w:ascii="Times New Roman" w:hAnsi="Times New Roman"/>
          <w:sz w:val="20"/>
        </w:rPr>
        <w:t xml:space="preserve"> or any other form (including electronic documentation generated by an electronic platform) approved by the Administrative Agent. </w:t>
      </w:r>
    </w:p>
    <w:p>
      <w:pPr>
        <w:pStyle w:val="TextBody"/>
        <w:bidi w:val="0"/>
        <w:spacing w:before="240" w:after="0"/>
        <w:jc w:val="left"/>
        <w:rPr/>
      </w:pPr>
      <w:r>
        <w:rPr/>
        <w:t>“</w:t>
      </w:r>
      <w:r>
        <w:rPr>
          <w:rFonts w:ascii="Times New Roman" w:hAnsi="Times New Roman"/>
          <w:b/>
          <w:sz w:val="20"/>
        </w:rPr>
        <w:t>Associate</w:t>
      </w:r>
      <w:r>
        <w:rPr>
          <w:rFonts w:ascii="Times New Roman" w:hAnsi="Times New Roman"/>
          <w:sz w:val="20"/>
        </w:rPr>
        <w:t xml:space="preserve">” means (i) any Person engaged in a Similar Business of which the Borrower or its Restricted Subsidiaries are the legal and beneficial owners of between 20% and 50% of all outstanding Voting Stock and (ii) any joint venture entered into by the Borrower or any Restricted Subsidiary. </w:t>
      </w:r>
    </w:p>
    <w:p>
      <w:pPr>
        <w:pStyle w:val="TextBody"/>
        <w:bidi w:val="0"/>
        <w:spacing w:before="240" w:after="0"/>
        <w:jc w:val="left"/>
        <w:rPr/>
      </w:pPr>
      <w:r>
        <w:rPr/>
        <w:t>“</w:t>
      </w:r>
      <w:r>
        <w:rPr>
          <w:rFonts w:ascii="Times New Roman" w:hAnsi="Times New Roman"/>
          <w:b/>
          <w:sz w:val="20"/>
        </w:rPr>
        <w:t>Attorney Costs</w:t>
      </w:r>
      <w:r>
        <w:rPr>
          <w:rFonts w:ascii="Times New Roman" w:hAnsi="Times New Roman"/>
          <w:sz w:val="20"/>
        </w:rPr>
        <w:t xml:space="preserve">” means all reasonable (so long as no Event of Default has occurred and is continuing) and documented in reasonable detail fees, expenses, charges and disbursements of any law firm or other external legal counsel. </w:t>
      </w:r>
    </w:p>
    <w:p>
      <w:pPr>
        <w:pStyle w:val="TextBody"/>
        <w:bidi w:val="0"/>
        <w:spacing w:before="240" w:after="0"/>
        <w:jc w:val="left"/>
        <w:rPr/>
      </w:pPr>
      <w:r>
        <w:rPr/>
        <w:t>“</w:t>
      </w:r>
      <w:r>
        <w:rPr>
          <w:rFonts w:ascii="Times New Roman" w:hAnsi="Times New Roman"/>
          <w:b/>
          <w:sz w:val="20"/>
        </w:rPr>
        <w:t>Available Amount</w:t>
      </w:r>
      <w:r>
        <w:rPr>
          <w:rFonts w:ascii="Times New Roman" w:hAnsi="Times New Roman"/>
          <w:sz w:val="20"/>
        </w:rPr>
        <w:t xml:space="preserve">” has the meaning specified in </w:t>
      </w:r>
      <w:r>
        <w:rPr>
          <w:rFonts w:ascii="Times New Roman" w:hAnsi="Times New Roman"/>
          <w:sz w:val="20"/>
          <w:u w:val="single"/>
        </w:rPr>
        <w:t>Section 7.06(d)(v)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sz w:val="20"/>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sz w:val="20"/>
        </w:rPr>
        <w:t>Beneficial Ownership Certification</w:t>
      </w:r>
      <w:r>
        <w:rPr>
          <w:rFonts w:ascii="Times New Roman" w:hAnsi="Times New Roman"/>
          <w:sz w:val="20"/>
        </w:rPr>
        <w:t xml:space="preserve">” means a certification regarding beneficial ownership as required by the Beneficial Ownership Regulation. </w:t>
      </w:r>
    </w:p>
    <w:p>
      <w:pPr>
        <w:pStyle w:val="TextBody"/>
        <w:bidi w:val="0"/>
        <w:spacing w:before="240" w:after="0"/>
        <w:jc w:val="left"/>
        <w:rPr/>
      </w:pPr>
      <w:r>
        <w:rPr/>
        <w:t>“</w:t>
      </w:r>
      <w:r>
        <w:rPr>
          <w:rFonts w:ascii="Times New Roman" w:hAnsi="Times New Roman"/>
          <w:b/>
          <w:sz w:val="20"/>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b/>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b/>
          <w:sz w:val="20"/>
        </w:rPr>
        <w:t>Blocked Account</w:t>
      </w:r>
      <w:r>
        <w:rPr>
          <w:rFonts w:ascii="Times New Roman" w:hAnsi="Times New Roman"/>
          <w:sz w:val="20"/>
        </w:rPr>
        <w:t xml:space="preserve">” has the meaning assigned to such term in </w:t>
      </w:r>
      <w:r>
        <w:rPr>
          <w:rFonts w:ascii="Times New Roman" w:hAnsi="Times New Roman"/>
          <w:sz w:val="20"/>
          <w:u w:val="single"/>
        </w:rPr>
        <w:t>Section 6.11(c)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as to any Person, the board of directors, board of managers or other governing body of such Person, or if such Person is owned or managed by a single entity, the board of directors, board of managers or other governing body of such entity, and the term “directors” means members of the Board of Directors.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sz w:val="20"/>
        </w:rPr>
        <w:t>Borrower Materials</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Borrowing</w:t>
      </w:r>
      <w:r>
        <w:rPr>
          <w:rFonts w:ascii="Times New Roman" w:hAnsi="Times New Roman"/>
          <w:sz w:val="20"/>
        </w:rPr>
        <w:t xml:space="preserve">” means a borrowing consisting of Loans made on the same date. </w:t>
      </w:r>
    </w:p>
    <w:p>
      <w:pPr>
        <w:pStyle w:val="TextBody"/>
        <w:bidi w:val="0"/>
        <w:spacing w:before="240" w:after="0"/>
        <w:jc w:val="left"/>
        <w:rPr/>
      </w:pPr>
      <w:r>
        <w:rPr/>
        <w:t>“</w:t>
      </w:r>
      <w:r>
        <w:rPr>
          <w:rFonts w:ascii="Times New Roman" w:hAnsi="Times New Roman"/>
          <w:b/>
          <w:sz w:val="20"/>
        </w:rPr>
        <w:t>Borrowing Request</w:t>
      </w:r>
      <w:r>
        <w:rPr>
          <w:rFonts w:ascii="Times New Roman" w:hAnsi="Times New Roman"/>
          <w:sz w:val="20"/>
        </w:rPr>
        <w:t xml:space="preserve">” means a written notice of a Borrowing pursuant to </w:t>
      </w:r>
      <w:r>
        <w:rPr>
          <w:rFonts w:ascii="Times New Roman" w:hAnsi="Times New Roman"/>
          <w:sz w:val="20"/>
          <w:u w:val="single"/>
        </w:rPr>
        <w:t>Article II</w:t>
      </w:r>
      <w:r>
        <w:rPr>
          <w:rFonts w:ascii="Times New Roman" w:hAnsi="Times New Roman"/>
          <w:sz w:val="20"/>
        </w:rPr>
        <w:t xml:space="preserve">, which shall be substantially in the form of </w:t>
      </w:r>
      <w:r>
        <w:rPr>
          <w:rFonts w:ascii="Times New Roman" w:hAnsi="Times New Roman"/>
          <w:sz w:val="20"/>
          <w:u w:val="single"/>
        </w:rPr>
        <w:t>Exhibit A</w:t>
      </w:r>
      <w:r>
        <w:rPr>
          <w:rFonts w:ascii="Times New Roman" w:hAnsi="Times New Roman"/>
          <w:sz w:val="20"/>
        </w:rPr>
        <w:t xml:space="preserve"> or such other form as the Administrative Agent may reasonably agree. </w:t>
      </w:r>
    </w:p>
    <w:p>
      <w:pPr>
        <w:pStyle w:val="TextBody"/>
        <w:bidi w:val="0"/>
        <w:spacing w:before="240" w:after="0"/>
        <w:jc w:val="left"/>
        <w:rPr/>
      </w:pPr>
      <w:r>
        <w:rPr/>
        <w:t>“</w:t>
      </w:r>
      <w:r>
        <w:rPr>
          <w:rFonts w:ascii="Times New Roman" w:hAnsi="Times New Roman"/>
          <w:b/>
          <w:sz w:val="20"/>
        </w:rPr>
        <w:t>Builder</w:t>
      </w:r>
      <w:r>
        <w:rPr>
          <w:rFonts w:ascii="Times New Roman" w:hAnsi="Times New Roman"/>
          <w:sz w:val="20"/>
        </w:rPr>
        <w:t>” means Eastern Shipbuilding Group, Inc. (“</w:t>
      </w:r>
      <w:r>
        <w:rPr>
          <w:rFonts w:ascii="Times New Roman" w:hAnsi="Times New Roman"/>
          <w:b/>
          <w:sz w:val="20"/>
        </w:rPr>
        <w:t>ESG</w:t>
      </w:r>
      <w:r>
        <w:rPr>
          <w:rFonts w:ascii="Times New Roman" w:hAnsi="Times New Roman"/>
          <w:sz w:val="20"/>
        </w:rPr>
        <w:t>”) and Zurich American Insurance Company and Fidelity &amp; Deposit Company of Maryland, and their respective successors (the “</w:t>
      </w:r>
      <w:r>
        <w:rPr>
          <w:rFonts w:ascii="Times New Roman" w:hAnsi="Times New Roman"/>
          <w:b/>
          <w:sz w:val="20"/>
        </w:rPr>
        <w:t>Surety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Business Day</w:t>
      </w:r>
      <w:r>
        <w:rPr>
          <w:rFonts w:ascii="Times New Roman" w:hAnsi="Times New Roman"/>
          <w:sz w:val="20"/>
        </w:rPr>
        <w:t xml:space="preserve">” means any day that is not a Saturday, Sunday or other day on which commercial banks in New York City are authorized or required by law to remain closed. </w:t>
      </w:r>
    </w:p>
    <w:p>
      <w:pPr>
        <w:pStyle w:val="TextBody"/>
        <w:bidi w:val="0"/>
        <w:spacing w:before="240" w:after="0"/>
        <w:jc w:val="left"/>
        <w:rPr/>
      </w:pPr>
      <w:r>
        <w:rPr/>
        <w:t>“</w:t>
      </w:r>
      <w:r>
        <w:rPr>
          <w:rFonts w:ascii="Times New Roman" w:hAnsi="Times New Roman"/>
          <w:b/>
          <w:sz w:val="20"/>
        </w:rPr>
        <w:t>Business Successor</w:t>
      </w:r>
      <w:r>
        <w:rPr>
          <w:rFonts w:ascii="Times New Roman" w:hAnsi="Times New Roman"/>
          <w:sz w:val="20"/>
        </w:rPr>
        <w:t xml:space="preserve">” means (i) any former Subsidiary of the Borrower and (ii) any Person that, after the Closing Date, has acquired, merged or consolidated with a Subsidiary of the Borrower (that results in such Subsidiary ceasing to be a Subsidiary of the Borrower), or acquired (in one transaction or a series of transactions) all or substantially all of the property and assets or business of a Subsidiary or assets constituting a business unit, line of business or division of a Subsidiary of the Borrower. </w:t>
      </w:r>
    </w:p>
    <w:p>
      <w:pPr>
        <w:pStyle w:val="TextBody"/>
        <w:bidi w:val="0"/>
        <w:spacing w:before="240" w:after="0"/>
        <w:jc w:val="left"/>
        <w:rPr/>
      </w:pPr>
      <w:r>
        <w:rPr/>
        <w:t>“</w:t>
      </w:r>
      <w:r>
        <w:rPr>
          <w:rFonts w:ascii="Times New Roman" w:hAnsi="Times New Roman"/>
          <w:b/>
          <w:sz w:val="20"/>
        </w:rPr>
        <w:t>Capitalized Lease Obligation</w:t>
      </w:r>
      <w:r>
        <w:rPr>
          <w:rFonts w:ascii="Times New Roman" w:hAnsi="Times New Roman"/>
          <w:sz w:val="20"/>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w:t>
      </w:r>
    </w:p>
    <w:p>
      <w:pPr>
        <w:pStyle w:val="TextBody"/>
        <w:bidi w:val="0"/>
        <w:spacing w:before="240" w:after="0"/>
        <w:jc w:val="left"/>
        <w:rPr/>
      </w:pPr>
      <w:r>
        <w:rPr/>
        <w:t>“</w:t>
      </w:r>
      <w:r>
        <w:rPr>
          <w:rFonts w:ascii="Times New Roman" w:hAnsi="Times New Roman"/>
          <w:b/>
          <w:sz w:val="20"/>
        </w:rPr>
        <w:t>Capitalized Leases</w:t>
      </w:r>
      <w:r>
        <w:rPr>
          <w:rFonts w:ascii="Times New Roman" w:hAnsi="Times New Roman"/>
          <w:sz w:val="20"/>
        </w:rPr>
        <w:t xml:space="preserve">” means all capital or finance leases that have been or are required to be, in accordance with GAAP as in effect on the Closing Date, recorded as capitalized leases; </w:t>
      </w:r>
      <w:r>
        <w:rPr>
          <w:rFonts w:ascii="Times New Roman" w:hAnsi="Times New Roman"/>
          <w:i/>
          <w:sz w:val="20"/>
        </w:rPr>
        <w:t xml:space="preserve">provided </w:t>
      </w:r>
      <w:r>
        <w:rPr>
          <w:rFonts w:ascii="Times New Roman" w:hAnsi="Times New Roman"/>
          <w:sz w:val="20"/>
        </w:rPr>
        <w:t xml:space="preserve">that for all purposes hereunder the amount of obligations under any Capitalized Lease shall be the amount thereof accounted for as a liability in accordance with GAAP as in effect on the Closing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all obligations of the Borrower and its Restricted Subsidiaries that are or would be characterized as an operating lease as determined in accordance with GAAP prior to the adoption of Accounting Standards Codification Topic 842, “Leases,” shall be accounted for as an operating lease (and not as a Capitalized Lease) for purposes of this Agreement regardless of any change in GAAP following the Closing Date (that would otherwise require such obligation to be recharacterized as a Capitalized Lease). </w:t>
      </w:r>
    </w:p>
    <w:p>
      <w:pPr>
        <w:pStyle w:val="TextBody"/>
        <w:bidi w:val="0"/>
        <w:spacing w:before="240" w:after="0"/>
        <w:jc w:val="left"/>
        <w:rPr/>
      </w:pPr>
      <w:r>
        <w:rPr/>
        <w:t>“</w:t>
      </w:r>
      <w:r>
        <w:rPr>
          <w:rFonts w:ascii="Times New Roman" w:hAnsi="Times New Roman"/>
          <w:b/>
          <w:sz w:val="20"/>
        </w:rPr>
        <w:t>Captive Insurance Subsidiary</w:t>
      </w:r>
      <w:r>
        <w:rPr>
          <w:rFonts w:ascii="Times New Roman" w:hAnsi="Times New Roman"/>
          <w:sz w:val="20"/>
        </w:rPr>
        <w:t xml:space="preserve">” means any Subsidiary of the Borrower that is subject to regulation as an insurance company (or any Subsidiary thereof).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means any of the following types of Investments (including for the avoidance of doubt, cash), to the extent owned by the Borrower or any Restricted Subsidiary: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issued or directly and fully guaranteed or insured by the United States, government, a member of the European Union or, in each case any agency or instrumentality thereof the securities of which are guaranteed as a full faith and credit obligation of such government with maturities of one year or less from the date of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certificates of deposit, time deposits, eurodollar time deposits, overnight bank deposits, demand deposits or bankers’ acceptances with maturities of one year or less from the date of acquisition, in each case with a Lender or any other financial institution whose short-term unsecured debt rating is A or A2 or above as obtained from either S&amp;P or Moody’s having capital and surplus of not less than $250,000,000 (or the foreign currency equivalent thereof as of the date of such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obligations for underlying securities of the types described in </w:t>
            </w:r>
            <w:r>
              <w:rPr>
                <w:rFonts w:ascii="Times New Roman" w:hAnsi="Times New Roman"/>
                <w:sz w:val="20"/>
                <w:u w:val="single"/>
              </w:rPr>
              <w:t>clauses (c)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above or </w:t>
            </w:r>
            <w:r>
              <w:rPr>
                <w:rFonts w:ascii="Times New Roman" w:hAnsi="Times New Roman"/>
                <w:sz w:val="20"/>
                <w:u w:val="single"/>
              </w:rPr>
              <w:t>clauses (g)</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below and securities with maturities of one year or less from the date of acquisition backed by standby letters of credit, in each case, entered into with any financial institution meeting the qualifications specified in </w:t>
            </w:r>
            <w:r>
              <w:rPr>
                <w:rFonts w:ascii="Times New Roman" w:hAnsi="Times New Roman"/>
                <w:sz w:val="20"/>
                <w:u w:val="single"/>
              </w:rPr>
              <w:t>clause (d)</w:t>
            </w:r>
            <w:r>
              <w:rPr>
                <w:rFonts w:ascii="Times New Roman" w:hAnsi="Times New Roman"/>
                <w:sz w:val="20"/>
              </w:rPr>
              <w:t xml:space="preserv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paper and variable or fixed rate notes issued by any financial institution meeting the qualifications specified in </w:t>
            </w:r>
            <w:r>
              <w:rPr>
                <w:rFonts w:ascii="Times New Roman" w:hAnsi="Times New Roman"/>
                <w:sz w:val="20"/>
                <w:u w:val="single"/>
              </w:rPr>
              <w:t>clause (d)</w:t>
            </w:r>
            <w:r>
              <w:rPr>
                <w:rFonts w:ascii="Times New Roman" w:hAnsi="Times New Roman"/>
                <w:sz w:val="20"/>
              </w:rPr>
              <w:t xml:space="preserve"> above (or by the parent company thereof) with maturities of one year or less from the date of creation;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marketable short-term money market and similar highly liquid funds having a rating of at least P-2 or A-2 from Moody’s or S&amp;P, respectively (or, if at any time neither Moody’s nor S&amp;P shall be rating such obligations, an equivalent rating from another nationally recognized statistical rating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readily marketable direct obligations issued by and directly and fully guaranteed or insured by any state, commonwealth, province or territory of the United States or any political subdivision or taxing authority thereof, in each case rated at least A by S&amp;P or A by Moody’s (or, if at any time neither Moody’s nor S&amp;P shall be rating such obligations, an equivalent rating from another nationally recognized statistical rating agency) with maturities of 12 months or less from the date of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Investments with average maturities of 12 months or less from the date of acquisition in money market funds rated AAA (or the equivalent thereof) or better by S&amp;P or Aaa (or the equivalent thereof) or better by Moody’s (or, if at any time neither Moody’s nor S&amp;P shall be rating such obligations, an equivalent rating from another nationally recognized statistical rating agency) and have portfolio assets of at least U.S.$1,000,000,000.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(h)</w:t>
      </w:r>
      <w:r>
        <w:rPr>
          <w:rFonts w:ascii="Times New Roman" w:hAnsi="Times New Roman"/>
          <w:sz w:val="20"/>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(h)</w:t>
      </w:r>
      <w:r>
        <w:rPr>
          <w:rFonts w:ascii="Times New Roman" w:hAnsi="Times New Roman"/>
          <w:sz w:val="20"/>
        </w:rPr>
        <w:t xml:space="preserve"> above and in this paragraph. Notwithstanding the foregoing, Cash Equivalents shall include amounts denominated in Dollars, Canadian dollars, Australian dollars, pounds sterling, yen, euro, or any other national currency of any member state of the European Union; provided that (other than as set forth in </w:t>
      </w:r>
      <w:r>
        <w:rPr>
          <w:rFonts w:ascii="Times New Roman" w:hAnsi="Times New Roman"/>
          <w:sz w:val="20"/>
          <w:u w:val="single"/>
        </w:rPr>
        <w:t>clause (a)</w:t>
      </w:r>
      <w:r>
        <w:rPr>
          <w:rFonts w:ascii="Times New Roman" w:hAnsi="Times New Roman"/>
          <w:sz w:val="20"/>
        </w:rPr>
        <w:t xml:space="preserve"> above) such amounts, except amounts used to pay obligations of the Borrower or any Restricted Subsidiary denominated in any currency other than Dollars in the ordinary course of business, are converted into Dollars as promptly as practicable and in any event within ten (10) Business Days following the receipt of such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Casualty Event</w:t>
      </w:r>
      <w:r>
        <w:rPr>
          <w:rFonts w:ascii="Times New Roman" w:hAnsi="Times New Roman"/>
          <w:sz w:val="20"/>
        </w:rPr>
        <w:t xml:space="preserve">” means any event that gives rise to the receipt by a Loan Party of any insurance proceeds or condemnation awards in respect of any equipment, fixed assets or real property (including any improvements thereon) to replace or repair such equipment, fixed assets or real property. </w:t>
      </w:r>
    </w:p>
    <w:p>
      <w:pPr>
        <w:pStyle w:val="TextBody"/>
        <w:bidi w:val="0"/>
        <w:spacing w:before="240" w:after="0"/>
        <w:jc w:val="left"/>
        <w:rPr/>
      </w:pPr>
      <w:r>
        <w:rPr/>
        <w:t>“</w:t>
      </w:r>
      <w:r>
        <w:rPr>
          <w:rFonts w:ascii="Times New Roman" w:hAnsi="Times New Roman"/>
          <w:b/>
          <w:sz w:val="20"/>
        </w:rPr>
        <w:t>Change in Law</w:t>
      </w:r>
      <w:r>
        <w:rPr>
          <w:rFonts w:ascii="Times New Roman" w:hAnsi="Times New Roman"/>
          <w:sz w:val="20"/>
        </w:rPr>
        <w:t xml:space="preserve">” means the occurrence, after the date of this Agreement,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adoption or taking effect of any law, rule, regulation or treaty (excluding the taking effect after the date of this Agreement of a law, rule, regulation or treaty adopted prior to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any change in any law, rule, regulation or treaty or in the administration, interpretation or application thereof by any Governmental Authority or (c) the making or issuance of any request, guideline or directive (whether or not having the force of law) by any Governmental Authority. It is understood and agreed that (i) the Dodd-Frank Wall Street Reform and Consumer Protection Act (Pub. L. 111-203, H.R. 4173), all Laws relating thereto, all interpretations and applications thereof and any compliance by a Lender with any and all requests, rules, guidelines, requirements and directives thereunder or issued in connection therewith or in implementation thereof or relating thereto and (ii) all requests, rules, guidelines, requirements or directives issued by any United States or foreign regulatory authority in connection with the implementation of the recommendations of the Bank for International Settlements or the Basel Committee on Banking Regulations and Supervisory Practices (or any successor or similar authority) in each case pursuant to Basel III, shall, for the purposes of this Agreement, be deemed to be adopted subsequent to the date hereof and a Change in Law regardless of the date enacted, adopted, issued, promulgated or implemented.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the earliest to occur of: </w:t>
      </w:r>
    </w:p>
    <w:p>
      <w:pPr>
        <w:pStyle w:val="TextBody"/>
        <w:bidi w:val="0"/>
        <w:spacing w:before="120" w:after="0"/>
        <w:jc w:val="left"/>
        <w:rPr>
          <w:rFonts w:ascii="Times New Roman" w:hAnsi="Times New Roman"/>
          <w:sz w:val="20"/>
        </w:rPr>
      </w:pPr>
      <w:r>
        <w:rPr>
          <w:rFonts w:ascii="Times New Roman" w:hAnsi="Times New Roman"/>
          <w:sz w:val="20"/>
        </w:rPr>
        <w:t xml:space="preserve">(a) (i) at any time while the Voting Stock of the Borrower (or any Parent Entity) is publicly traded, the Borrower (or such Parent Entity) becomes aware of (by way of a report or any other filing pursuant to Section 13(d) of the Exchange Act, proxy, vote, written notice or otherwise) or (ii) at any other time, any “person” or “group” (as each term is used in Sections 13(d) and 14(d) of the Exchange Act as in effect on the Closing Date), other than one or more Permitted Holders or any Parent Entity, that is or becomes the “beneficial owner” (as defined in Rules 13d-3 and 13d-5 of the Exchange Act as in effect on the Closing Date) of more than 50% of the total voting power of the Voting Stock of the Borrower (or any Parent Entity); </w:t>
      </w:r>
      <w:r>
        <w:rPr>
          <w:rFonts w:ascii="Times New Roman" w:hAnsi="Times New Roman"/>
          <w:i/>
          <w:sz w:val="20"/>
        </w:rPr>
        <w:t>provided</w:t>
      </w:r>
      <w:r>
        <w:rPr>
          <w:rFonts w:ascii="Times New Roman" w:hAnsi="Times New Roman"/>
          <w:sz w:val="20"/>
        </w:rPr>
        <w:t xml:space="preserve"> that (x) so long as the Borrower is a Subsidiary of any Parent Entity, no person shall be deemed to be or become a beneficial owner of more than 50% of the total voting power of the Voting Stock of the Borrower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notwithstanding the foregoing or the other provisions of this Agreement, no “Change of Control” shall occur so long as (x) the change in total voting power of the Voting Stock of the Borrower (or any Parent Entity) as set forth in this clause (a) is a result of the Sponsors ceasing to hold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Equity Interests in connection with any Qualifying IPO or any other Equity Offering after any Qualifying IPO (including, for the avoidance of doubt, any block trades and/or secondary offering), or (y) upon the occurrence of any such event the Borrower maintains (or obtains) a loan issue credit rating on the Loans of at least equal to BB- (by S&amp;P or Fitch) or Ba3 (by Moody’s) or, if the Loans do not have a loan issue rating from S&amp;P, Moody’s or Fitch or if the Loans have a loan issue credit rating of less than BB- by S&amp;P or Fitch or less than Ba3 by Moody’s, such change of control would not increase Borrower’s Total Net Leverage Ratio (after giving Pro Forma Effect to such change of control) above 2.5 to 1.0 nor decrease the Borrower’s Fixed Charge Coverage Ratio (after giving Pro Forma Effect to such change of control) below 1.5 to 1.0 (any event that would have constituted a Change of Control but for the application of the foregoing proviso, a “</w:t>
      </w:r>
      <w:r>
        <w:rPr>
          <w:rFonts w:ascii="Times New Roman" w:hAnsi="Times New Roman"/>
          <w:b/>
          <w:sz w:val="20"/>
        </w:rPr>
        <w:t>Permitted Change of Control</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the sale or transfer, in one or a series of related transactions, of all or substantially all of the assets of the Borrower and its Restricted Subsidiaries, taken as a whole, to a Person (other than the Borrower or any of its Restricted Subsidiaries or one or more Permitted Holders) and any “person” or “group” (each, as defined in </w:t>
      </w:r>
      <w:r>
        <w:rPr>
          <w:rFonts w:ascii="Times New Roman" w:hAnsi="Times New Roman"/>
          <w:sz w:val="20"/>
          <w:u w:val="single"/>
        </w:rPr>
        <w:t>clause (a)</w:t>
      </w:r>
      <w:r>
        <w:rPr>
          <w:rFonts w:ascii="Times New Roman" w:hAnsi="Times New Roman"/>
          <w:sz w:val="20"/>
        </w:rPr>
        <w:t xml:space="preserve"> above), other than one or more Permitted Holders or any Parent Entity, is or becomes the “beneficial owner” (as so defined) of more than 50% of the total voting power of the Voting Stock of the transferee Person in such sale or transfer of assets, as the case may be; </w:t>
      </w:r>
      <w:r>
        <w:rPr>
          <w:rFonts w:ascii="Times New Roman" w:hAnsi="Times New Roman"/>
          <w:i/>
          <w:sz w:val="20"/>
        </w:rPr>
        <w:t>provided</w:t>
      </w:r>
      <w:r>
        <w:rPr>
          <w:rFonts w:ascii="Times New Roman" w:hAnsi="Times New Roman"/>
          <w:sz w:val="20"/>
        </w:rPr>
        <w:t xml:space="preserve"> that (x) so long as the Borrower is a Subsidiary of any Parent Entity, no person shall be deemed to be or become a beneficial owner of more than 50% of the total voting power of the Voting Stock of the Borrower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For the avoidance of doubt, any Permitted Change of Control consummated pursuant to a merger in accordance with </w:t>
      </w:r>
      <w:r>
        <w:rPr>
          <w:rFonts w:ascii="Times New Roman" w:hAnsi="Times New Roman"/>
          <w:sz w:val="20"/>
          <w:u w:val="single"/>
        </w:rPr>
        <w:t>Section 7.04</w:t>
      </w:r>
      <w:r>
        <w:rPr>
          <w:rFonts w:ascii="Times New Roman" w:hAnsi="Times New Roman"/>
          <w:sz w:val="20"/>
        </w:rPr>
        <w:t xml:space="preserve"> shall not be a Change of Control under this clause (b).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(v) for purposes of this definition, a time charter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bareboat charter or other contract for, vessels to customers in the ordinary course of business shall not be deemed a sale or transfer of assets under </w:t>
      </w:r>
      <w:r>
        <w:rPr>
          <w:rFonts w:ascii="Times New Roman" w:hAnsi="Times New Roman"/>
          <w:sz w:val="20"/>
          <w:u w:val="single"/>
        </w:rPr>
        <w:t>clause (a)</w:t>
      </w:r>
      <w:r>
        <w:rPr>
          <w:rFonts w:ascii="Times New Roman" w:hAnsi="Times New Roman"/>
          <w:sz w:val="20"/>
        </w:rPr>
        <w:t xml:space="preserve"> above and (vi) a Change of Control shall not occur as a result of any Reorganization Transactions and any transactions relating thereto, so long as, the Borrower maintains (or obtains) a loan issue credit rating on the Loans of at least equal to BB- (by S&amp;P or Fitch) or Ba3 (by Moody’s) or, if the Loans do not have a loan issue rating from S&amp;P, Moody’s or Fitch or if the Loans have a loan issue credit rating of less than BB- by S&amp;P or Fitch or less than Ba3 by Moody’s, such Reorganization Transactions would not increase Borrower’s Total Net Leverage Ratio (after giving Pro Forma Effect to such change of control) above 2.5 to 1.0 nor decrease the Borrower’s Fixed Charge Coverage Ratio below 1.5 to 1.0.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means December 27, 2024. </w:t>
      </w:r>
    </w:p>
    <w:p>
      <w:pPr>
        <w:pStyle w:val="TextBody"/>
        <w:bidi w:val="0"/>
        <w:spacing w:before="240" w:after="0"/>
        <w:jc w:val="left"/>
        <w:rPr/>
      </w:pPr>
      <w:r>
        <w:rPr/>
        <w:t>“</w:t>
      </w:r>
      <w:r>
        <w:rPr>
          <w:rFonts w:ascii="Times New Roman" w:hAnsi="Times New Roman"/>
          <w:b/>
          <w:sz w:val="20"/>
        </w:rPr>
        <w:t>Closing Date Jones Act Vessels</w:t>
      </w:r>
      <w:r>
        <w:rPr>
          <w:rFonts w:ascii="Times New Roman" w:hAnsi="Times New Roman"/>
          <w:sz w:val="20"/>
        </w:rPr>
        <w:t xml:space="preserve">” has the meaning specified in </w:t>
      </w:r>
      <w:r>
        <w:rPr>
          <w:rFonts w:ascii="Times New Roman" w:hAnsi="Times New Roman"/>
          <w:sz w:val="20"/>
          <w:u w:val="single"/>
        </w:rPr>
        <w:t>Section 5.20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from time to time.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means all the “Collateral” (or equivalent term) as defined in any Collateral Document (including the Vessel Collateral), and all other property that is subject or purported to be subject to any Lien in favor of the Collateral Trustee for the benefit of the Secured Parties pursuant to any Collateral Document, but in any event excluding all Excluded Assets. </w:t>
      </w:r>
    </w:p>
    <w:p>
      <w:pPr>
        <w:pStyle w:val="TextBody"/>
        <w:bidi w:val="0"/>
        <w:spacing w:before="240" w:after="0"/>
        <w:jc w:val="left"/>
        <w:rPr/>
      </w:pPr>
      <w:r>
        <w:rPr/>
        <w:t>“</w:t>
      </w:r>
      <w:r>
        <w:rPr>
          <w:rFonts w:ascii="Times New Roman" w:hAnsi="Times New Roman"/>
          <w:b/>
          <w:sz w:val="20"/>
        </w:rPr>
        <w:t>Collateral Agreement</w:t>
      </w:r>
      <w:r>
        <w:rPr>
          <w:rFonts w:ascii="Times New Roman" w:hAnsi="Times New Roman"/>
          <w:sz w:val="20"/>
        </w:rPr>
        <w:t xml:space="preserve">” means that certain Amended and Restated Guaranty and Collateral Agreement, dated as of December 27, 2024, executed by the Loan Parties party thereto (as the same may be amended, restated, amended and restated, supplemented or otherwise modified from time to time), together with each Collateral Agreement Supplement thereto executed and delivered pursuant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Collateral Agreement Supplement</w:t>
      </w:r>
      <w:r>
        <w:rPr>
          <w:rFonts w:ascii="Times New Roman" w:hAnsi="Times New Roman"/>
          <w:sz w:val="20"/>
        </w:rPr>
        <w:t xml:space="preserve">” has the meaning specified in the Collateral Agreement. </w:t>
      </w:r>
    </w:p>
    <w:p>
      <w:pPr>
        <w:pStyle w:val="TextBody"/>
        <w:bidi w:val="0"/>
        <w:spacing w:before="240" w:after="0"/>
        <w:jc w:val="left"/>
        <w:rPr/>
      </w:pPr>
      <w:r>
        <w:rPr/>
        <w:t>“</w:t>
      </w:r>
      <w:r>
        <w:rPr>
          <w:rFonts w:ascii="Times New Roman" w:hAnsi="Times New Roman"/>
          <w:b/>
          <w:sz w:val="20"/>
        </w:rPr>
        <w:t>Collateral Coverage Ratio</w:t>
      </w:r>
      <w:r>
        <w:rPr>
          <w:rFonts w:ascii="Times New Roman" w:hAnsi="Times New Roman"/>
          <w:sz w:val="20"/>
        </w:rPr>
        <w:t xml:space="preserve">” means as of any date of determination, the ratio of (a) Collateral Value Amount to (b) Consolidated First and Second Lien Debt, in each case, as of such date of determination. </w:t>
      </w:r>
    </w:p>
    <w:p>
      <w:pPr>
        <w:pStyle w:val="TextBody"/>
        <w:bidi w:val="0"/>
        <w:spacing w:before="240" w:after="0"/>
        <w:jc w:val="left"/>
        <w:rPr/>
      </w:pPr>
      <w:r>
        <w:rPr/>
        <w:t>“</w:t>
      </w:r>
      <w:r>
        <w:rPr>
          <w:rFonts w:ascii="Times New Roman" w:hAnsi="Times New Roman"/>
          <w:b/>
          <w:sz w:val="20"/>
        </w:rPr>
        <w:t>Collateral Documents</w:t>
      </w:r>
      <w:r>
        <w:rPr>
          <w:rFonts w:ascii="Times New Roman" w:hAnsi="Times New Roman"/>
          <w:sz w:val="20"/>
        </w:rPr>
        <w:t xml:space="preserve">” means, collectively, the Collateral Agreement, the Collateral Trust Agreement, the Vessel Mortgages, each of the collateral assignments, Collateral Agreement Supplements, security agreements, collateral assignments of vessel construction contracts, pledge agreements, account control agreements (if any) or other similar agreements delivered to the Agents and the Lenders pursuant to </w:t>
      </w:r>
      <w:r>
        <w:rPr>
          <w:rFonts w:ascii="Times New Roman" w:hAnsi="Times New Roman"/>
          <w:sz w:val="20"/>
          <w:u w:val="single"/>
        </w:rPr>
        <w:t>Sections 4.01(a)(iii)</w:t>
      </w:r>
      <w:r>
        <w:rPr>
          <w:rFonts w:ascii="Times New Roman" w:hAnsi="Times New Roman"/>
          <w:sz w:val="20"/>
        </w:rPr>
        <w:t xml:space="preserve">, </w:t>
      </w:r>
      <w:r>
        <w:rPr>
          <w:rFonts w:ascii="Times New Roman" w:hAnsi="Times New Roman"/>
          <w:sz w:val="20"/>
          <w:u w:val="single"/>
        </w:rPr>
        <w:t>6.11</w:t>
      </w:r>
      <w:r>
        <w:rPr>
          <w:rFonts w:ascii="Times New Roman" w:hAnsi="Times New Roman"/>
          <w:sz w:val="20"/>
        </w:rPr>
        <w:t xml:space="preserve">, </w:t>
      </w:r>
      <w:r>
        <w:rPr>
          <w:rFonts w:ascii="Times New Roman" w:hAnsi="Times New Roman"/>
          <w:sz w:val="20"/>
          <w:u w:val="single"/>
        </w:rPr>
        <w:t>6.12</w:t>
      </w:r>
      <w:r>
        <w:rPr>
          <w:rFonts w:ascii="Times New Roman" w:hAnsi="Times New Roman"/>
          <w:sz w:val="20"/>
        </w:rPr>
        <w:t xml:space="preserve"> or </w:t>
      </w:r>
      <w:r>
        <w:rPr>
          <w:rFonts w:ascii="Times New Roman" w:hAnsi="Times New Roman"/>
          <w:sz w:val="20"/>
          <w:u w:val="single"/>
        </w:rPr>
        <w:t>6.15</w:t>
      </w:r>
      <w:r>
        <w:rPr>
          <w:rFonts w:ascii="Times New Roman" w:hAnsi="Times New Roman"/>
          <w:sz w:val="20"/>
        </w:rPr>
        <w:t xml:space="preserve">, and each of the other agreements, instruments or documents that creates or purports to create a Lien in favor of the Collateral Trustee for the benefit of the Secured Parties. </w:t>
      </w:r>
    </w:p>
    <w:p>
      <w:pPr>
        <w:pStyle w:val="TextBody"/>
        <w:bidi w:val="0"/>
        <w:spacing w:before="240" w:after="0"/>
        <w:jc w:val="left"/>
        <w:rPr/>
      </w:pPr>
      <w:r>
        <w:rPr/>
        <w:t>“</w:t>
      </w:r>
      <w:r>
        <w:rPr>
          <w:rFonts w:ascii="Times New Roman" w:hAnsi="Times New Roman"/>
          <w:b/>
          <w:sz w:val="20"/>
        </w:rPr>
        <w:t>Collateral Trust Agreement</w:t>
      </w:r>
      <w:r>
        <w:rPr>
          <w:rFonts w:ascii="Times New Roman" w:hAnsi="Times New Roman"/>
          <w:sz w:val="20"/>
        </w:rPr>
        <w:t xml:space="preserve">” means that certain Collateral Trust Agreement, dated as of December 27, 2024, substantially in the form attached hereto as </w:t>
      </w:r>
      <w:r>
        <w:rPr>
          <w:rFonts w:ascii="Times New Roman" w:hAnsi="Times New Roman"/>
          <w:sz w:val="20"/>
          <w:u w:val="single"/>
        </w:rPr>
        <w:t>Exhibit L</w:t>
      </w:r>
      <w:r>
        <w:rPr>
          <w:rFonts w:ascii="Times New Roman" w:hAnsi="Times New Roman"/>
          <w:sz w:val="20"/>
        </w:rPr>
        <w:t xml:space="preserve"> (as the same may be modified in a manner satisfactory to the Administrative Agent, the Collateral Trustee, the Required Lenders and the Borrower) or, if requested by the providers of other secured Indebtedness permitted hereunder, another collateral trust arrangement reasonably satisfactory to the Administrative Agent, the Collateral Trustee, the Required Lenders and the Borrower, in each case, as amended, restated, amended and restated, modified or supplemented from time to time in accordance with the terms hereof and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Collateral Trustee</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sz w:val="20"/>
        </w:rPr>
        <w:t xml:space="preserve">Collateral Trustee Fee Letter” </w:t>
      </w:r>
      <w:r>
        <w:rPr>
          <w:rFonts w:ascii="Times New Roman" w:hAnsi="Times New Roman"/>
          <w:sz w:val="20"/>
        </w:rPr>
        <w:t xml:space="preserve">means the Fee Letter, dated as of December 27, 2024, by and among the Borrower and the Collateral Trustee, as amended, restated, amended and restated, supplemented or otherwise modified from time to time in accordance with the terms thereof. </w:t>
      </w:r>
    </w:p>
    <w:p>
      <w:pPr>
        <w:pStyle w:val="TextBody"/>
        <w:bidi w:val="0"/>
        <w:spacing w:before="240" w:after="0"/>
        <w:jc w:val="left"/>
        <w:rPr/>
      </w:pPr>
      <w:r>
        <w:rPr/>
        <w:t>“</w:t>
      </w:r>
      <w:r>
        <w:rPr>
          <w:rFonts w:ascii="Times New Roman" w:hAnsi="Times New Roman"/>
          <w:b/>
          <w:sz w:val="20"/>
        </w:rPr>
        <w:t>Collateral Value Amount</w:t>
      </w:r>
      <w:r>
        <w:rPr>
          <w:rFonts w:ascii="Times New Roman" w:hAnsi="Times New Roman"/>
          <w:sz w:val="20"/>
        </w:rPr>
        <w:t xml:space="preserve">” means an amount equal to the sum of (a) the Vessel Collateral Value Amount as determined on or about the applicable Measurement Date (but, in any case, no earlier than thirty (30) days prior to the applicable Measurement Date and no later than five (5) days after the Measurement Date), </w:t>
      </w:r>
      <w:r>
        <w:rPr>
          <w:rFonts w:ascii="Times New Roman" w:hAnsi="Times New Roman"/>
          <w:i/>
          <w:sz w:val="20"/>
        </w:rPr>
        <w:t>plus</w:t>
      </w:r>
      <w:r>
        <w:rPr>
          <w:rFonts w:ascii="Times New Roman" w:hAnsi="Times New Roman"/>
          <w:sz w:val="20"/>
        </w:rPr>
        <w:t xml:space="preserve"> (b) cash Collateral provided in favor of the Secured Parties in a blocked account and subject to a first lien in favor of the Secured Parties (which, at the option of the Borrower, may be an interest-bearing blocked account with interest bearing at market rates) prior to the applicable Measurement Date. </w:t>
      </w:r>
    </w:p>
    <w:p>
      <w:pPr>
        <w:pStyle w:val="TextBody"/>
        <w:bidi w:val="0"/>
        <w:spacing w:before="240" w:after="0"/>
        <w:jc w:val="left"/>
        <w:rPr/>
      </w:pPr>
      <w:r>
        <w:rPr/>
        <w:t>“</w:t>
      </w:r>
      <w:r>
        <w:rPr>
          <w:rFonts w:ascii="Times New Roman" w:hAnsi="Times New Roman"/>
          <w:b/>
          <w:sz w:val="20"/>
        </w:rPr>
        <w:t>Commitment</w:t>
      </w:r>
      <w:r>
        <w:rPr>
          <w:rFonts w:ascii="Times New Roman" w:hAnsi="Times New Roman"/>
          <w:sz w:val="20"/>
        </w:rPr>
        <w:t xml:space="preserve">” means the commitment of a Lender to make or otherwise fund any Loan. The amount of each Lender’s Commitment is set forth on </w:t>
      </w:r>
      <w:r>
        <w:rPr>
          <w:rFonts w:ascii="Times New Roman" w:hAnsi="Times New Roman"/>
          <w:sz w:val="20"/>
          <w:u w:val="single"/>
        </w:rPr>
        <w:t>Schedule 2.01</w:t>
      </w:r>
      <w:r>
        <w:rPr>
          <w:rFonts w:ascii="Times New Roman" w:hAnsi="Times New Roman"/>
          <w:sz w:val="20"/>
        </w:rPr>
        <w:t xml:space="preserve"> under the caption “Commitment”. The aggregate amount of the Commitments as of the Closing Date is $450,000,000. </w:t>
      </w:r>
    </w:p>
    <w:p>
      <w:pPr>
        <w:pStyle w:val="TextBody"/>
        <w:bidi w:val="0"/>
        <w:spacing w:before="240" w:after="0"/>
        <w:jc w:val="left"/>
        <w:rPr/>
      </w:pPr>
      <w:r>
        <w:rPr/>
        <w:t>“</w:t>
      </w:r>
      <w:r>
        <w:rPr>
          <w:rFonts w:ascii="Times New Roman" w:hAnsi="Times New Roman"/>
          <w:b/>
          <w:sz w:val="20"/>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240" w:after="0"/>
        <w:jc w:val="left"/>
        <w:rPr/>
      </w:pPr>
      <w:r>
        <w:rPr/>
        <w:t>“</w:t>
      </w:r>
      <w:r>
        <w:rPr>
          <w:rFonts w:ascii="Times New Roman" w:hAnsi="Times New Roman"/>
          <w:b/>
          <w:sz w:val="20"/>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Connection Income Taxes</w:t>
      </w:r>
      <w:r>
        <w:rPr>
          <w:rFonts w:ascii="Times New Roman" w:hAnsi="Times New Roman"/>
          <w:sz w:val="20"/>
        </w:rPr>
        <w:t xml:space="preserve">” means Other Connection Taxes that are imposed on or measured by net income (however denominated) or capital or that are franchise Taxes or branch profits Taxes. </w:t>
      </w:r>
    </w:p>
    <w:p>
      <w:pPr>
        <w:pStyle w:val="TextBody"/>
        <w:bidi w:val="0"/>
        <w:spacing w:before="240" w:after="0"/>
        <w:jc w:val="left"/>
        <w:rPr/>
      </w:pPr>
      <w:r>
        <w:rPr/>
        <w:t>“</w:t>
      </w:r>
      <w:r>
        <w:rPr>
          <w:rFonts w:ascii="Times New Roman" w:hAnsi="Times New Roman"/>
          <w:b/>
          <w:sz w:val="20"/>
        </w:rPr>
        <w:t>Consolidated Adjusted EBITDA</w:t>
      </w:r>
      <w:r>
        <w:rPr>
          <w:rFonts w:ascii="Times New Roman" w:hAnsi="Times New Roman"/>
          <w:sz w:val="20"/>
        </w:rPr>
        <w:t xml:space="preserve">” means, with respect to any Person for any Test Period, the Consolidated Net Income of such Person for such Test Period: </w:t>
      </w:r>
    </w:p>
    <w:p>
      <w:pPr>
        <w:pStyle w:val="TextBody"/>
        <w:bidi w:val="0"/>
        <w:spacing w:before="120" w:after="0"/>
        <w:jc w:val="left"/>
        <w:rPr>
          <w:rFonts w:ascii="Times New Roman" w:hAnsi="Times New Roman"/>
          <w:sz w:val="20"/>
        </w:rPr>
      </w:pPr>
      <w:r>
        <w:rPr>
          <w:rFonts w:ascii="Times New Roman" w:hAnsi="Times New Roman"/>
          <w:sz w:val="20"/>
        </w:rPr>
        <w:t xml:space="preserve">(1) increased (without duplication) by: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deducted (and not added back) in computing Consolidated Net Income, Consolidated Interest Expense of such Person for such period (including (x) net payments and losses or any obligations on any Swap Obligations or other derivative instruments (including any one-time cash costs associated with breakage in respect of any Swap obligations or other derivative instruments), (y) bank, letter of credit and other financing fees (including any annual agency fees) and (z) costs of surety bonds in connection with financing activities);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extent deducted (and not added back) in computing Consolidated Net Income, (x) provision for Taxes based on gross receipts, income, profits, revenue or capital, including federal, foreign, state, provincial, territorial, local, unitary, excise, property, franchise, value added and similar Taxes (such as Delaware franchise Tax, Pennsylvania capital Tax and Texas margin Tax) and withholding Taxes (including any future Taxes or other levies which replace or are intended to be in lieu of such Taxes and any penalties, additions to Tax, and interest related to such Taxes or arising from Tax examinations) and similar Taxes of such Person paid or accrued during such period (including in respect of repatriated funds), (y) any distributions made to a Parent Entity or other direct or indirect holder of Equity Interests in the Borrower in respect of any such Taxes attributable to such Parent Entity or holder or pursuant to a Tax sharing arrangement or as a result of a Tax distribution or repatriated funds and (z) the net Tax expense associated with any adjustments made pursuant to the definition of “Consolidated Net Income”;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deducted (and not added back) in computing Consolidated Net Income, consolidated depreciation and amortization expense (as determined by the Borrower in accordance with GAAP) of such Person for such period;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deducted (and not added back) in computing Consolidated Net Income¸ any fees, costs, expenses or charges (other than consolidated depreciation and amortization expense (as determined by the Borrower in accordance with GAAP)) related to any actual, proposed or contemplated Equity Offering (including any expense relating to enhanced accounting functions or other transaction costs associated with becoming a public company, including Public Company Costs), Permitted Investment, Restricted Payment, acquisition, disposition or other transaction outside the ordinary course of business (whether or not successful or completed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this Agreement, the First Lien RCF Credit Agreement, any other credit facilities or debt instruments and any Securitization Fees, and (ii) any amendment, waiver or other modification of this Agreement, the First Lien RCF Credit Agreement, any other credit facilities or debt instruments, any Securitization Fees, any other Indebtedness or any Equity Offering, in each case, whether or not consummated; </w:t>
      </w:r>
      <w:r>
        <w:rPr>
          <w:rFonts w:ascii="Times New Roman" w:hAnsi="Times New Roman"/>
          <w:i/>
          <w:sz w:val="20"/>
        </w:rPr>
        <w:t>provided, however,</w:t>
      </w:r>
      <w:r>
        <w:rPr>
          <w:rFonts w:ascii="Times New Roman" w:hAnsi="Times New Roman"/>
          <w:sz w:val="20"/>
        </w:rPr>
        <w:t xml:space="preserve"> in no event will synergies, cost savings or similar pro forma adjustments be added-back pursuant to this clause (d); </w:t>
      </w:r>
      <w:r>
        <w:rPr>
          <w:rFonts w:ascii="Times New Roman" w:hAnsi="Times New Roman"/>
          <w:i/>
          <w:sz w:val="20"/>
        </w:rPr>
        <w:t>provided, further,</w:t>
      </w:r>
      <w:r>
        <w:rPr>
          <w:rFonts w:ascii="Times New Roman" w:hAnsi="Times New Roman"/>
          <w:sz w:val="20"/>
        </w:rPr>
        <w:t xml:space="preserve"> that the amount of adjustments made for cash items pursuant to </w:t>
      </w:r>
      <w:r>
        <w:rPr>
          <w:rFonts w:ascii="Times New Roman" w:hAnsi="Times New Roman"/>
          <w:sz w:val="20"/>
          <w:u w:val="single"/>
        </w:rPr>
        <w:t>sub-clauses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of this </w:t>
      </w:r>
      <w:r>
        <w:rPr>
          <w:rFonts w:ascii="Times New Roman" w:hAnsi="Times New Roman"/>
          <w:sz w:val="20"/>
          <w:u w:val="single"/>
        </w:rPr>
        <w:t>clause (1)</w:t>
      </w:r>
      <w:r>
        <w:rPr>
          <w:rFonts w:ascii="Times New Roman" w:hAnsi="Times New Roman"/>
          <w:sz w:val="20"/>
        </w:rPr>
        <w:t xml:space="preserve"> in any period shall not exceed 15% of the aggregate amount of Consolidated Adjusted EBITDA for such period (calculated prior to giving effect to such capped amount under such clauses);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(i) the amount of any restructuring charge, accrual, reserve (and adjustments to existing reserves) or expense, integration cost, inventory optimization programs or other business optimization, realignment or restructuring expense or cost (including charges directly related to the implementation of cost-savings initiatives and Tax restructurings) outside the ordinary course of business that is deducted (and not otherwise added back) in such period in computing Consolidated Net Income, including any costs incurred in connection with acquisitions or divestitures after the Closing Date, and (ii) fees,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expenses associated with litigation and settlement thereof; </w:t>
      </w:r>
      <w:r>
        <w:rPr>
          <w:rFonts w:ascii="Times New Roman" w:hAnsi="Times New Roman"/>
          <w:i/>
          <w:sz w:val="20"/>
        </w:rPr>
        <w:t>provided, however,</w:t>
      </w:r>
      <w:r>
        <w:rPr>
          <w:rFonts w:ascii="Times New Roman" w:hAnsi="Times New Roman"/>
          <w:sz w:val="20"/>
        </w:rPr>
        <w:t xml:space="preserve"> in no event will synergies, cost savings or similar pro forma adjustments be added-back pursuant to this clause (e); </w:t>
      </w:r>
      <w:r>
        <w:rPr>
          <w:rFonts w:ascii="Times New Roman" w:hAnsi="Times New Roman"/>
          <w:i/>
          <w:sz w:val="20"/>
        </w:rPr>
        <w:t>provided, further,</w:t>
      </w:r>
      <w:r>
        <w:rPr>
          <w:rFonts w:ascii="Times New Roman" w:hAnsi="Times New Roman"/>
          <w:sz w:val="20"/>
        </w:rPr>
        <w:t xml:space="preserve"> that the amount of adjustments for cash items made pursuant to sub-</w:t>
      </w:r>
      <w:r>
        <w:rPr>
          <w:rFonts w:ascii="Times New Roman" w:hAnsi="Times New Roman"/>
          <w:sz w:val="20"/>
          <w:u w:val="single"/>
        </w:rPr>
        <w:t>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of this </w:t>
      </w:r>
      <w:r>
        <w:rPr>
          <w:rFonts w:ascii="Times New Roman" w:hAnsi="Times New Roman"/>
          <w:sz w:val="20"/>
          <w:u w:val="single"/>
        </w:rPr>
        <w:t>clause (1)</w:t>
      </w:r>
      <w:r>
        <w:rPr>
          <w:rFonts w:ascii="Times New Roman" w:hAnsi="Times New Roman"/>
          <w:sz w:val="20"/>
        </w:rPr>
        <w:t xml:space="preserve"> in any period shall not exceed 15% of the aggregate amount of Consolidated Adjusted EBITDA for such period (calculated prior to giving effect to such capped amount under such clauses);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any other non-cash charges, write-downs, expenses, losses or items reducing Consolidated Net Income for such period including, without limitation, (i) any write-offs or write-downs, deferred commissions, deferred revenue or impairment charges, (ii) impairment charges, amortization (or write offs) of financing costs (including debt discount, early extinguishments, debt issuance costs, yield, make whole premium and commissions and other fees associated with Indebtedness, including Indebtedness under this Agreement) of such Person and its Subsidiaries, and/or (iii) the impact of acquisition method accounting adjustment and any non-cash write-up, write-down or write-off with respect to re-valuing assets and liabilities in connection with any Investment, deferred revenue or any effects of adjustments resulting from the application of purchase accounting, purchase price accounting (including any step-up in inventory and loss of profit on the acquired inventory) (excluding non-cash losses on the sale of assets) (provided that if any such non-cash charge, write-down, expense, loss or item represents an accrual or reserve for potential cash items in any future period, (A) the Borrower may elect not to add back such non-cash charge, expense or loss in the current period and (B) to the extent the Borrower elects to add back such non-cash charge, the cash payment in respect thereof in such future period shall be subtracted from Consolidated Adjusted EBITDA when paid), or other items classified by the Borrower as special items less other non-cash items of income increasing Consolidated Net Income (excluding any amortization of a prepaid cash item that was paid in a prior period or such non-cash item of income to the extent it represents a receipt of cash in any future period and excluding non-cash gains on the sale of assets);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120" w:after="0"/>
        <w:jc w:val="left"/>
        <w:rPr>
          <w:rFonts w:ascii="Times New Roman" w:hAnsi="Times New Roman"/>
          <w:sz w:val="20"/>
        </w:rPr>
      </w:pPr>
      <w:r>
        <w:rPr>
          <w:rFonts w:ascii="Times New Roman" w:hAnsi="Times New Roman"/>
          <w:sz w:val="20"/>
        </w:rPr>
        <w:t xml:space="preserve">(h) to the extent deducted (and not added back) in computing Consolidated Net Income¸ any costs or expenses incurred by the Borrower or a Restricted Subsidiary or a Parent Entity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Equity Interests held by management, to the extent that such costs or expenses are non-cash or otherwise funded with cash proceeds contributed to the capital of the Borrower or net cash proceeds of an issuance of Equity Interests (other than Disqualified Equity Interests) of the Borrower; provided, that the amount of adjustments for cash items made pursuant to </w:t>
      </w:r>
      <w:r>
        <w:rPr>
          <w:rFonts w:ascii="Times New Roman" w:hAnsi="Times New Roman"/>
          <w:sz w:val="20"/>
          <w:u w:val="single"/>
        </w:rPr>
        <w:t>sub-clauses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of this </w:t>
      </w:r>
      <w:r>
        <w:rPr>
          <w:rFonts w:ascii="Times New Roman" w:hAnsi="Times New Roman"/>
          <w:sz w:val="20"/>
          <w:u w:val="single"/>
        </w:rPr>
        <w:t>clause (1)</w:t>
      </w:r>
      <w:r>
        <w:rPr>
          <w:rFonts w:ascii="Times New Roman" w:hAnsi="Times New Roman"/>
          <w:sz w:val="20"/>
        </w:rPr>
        <w:t xml:space="preserve"> in any period shall not exceed 15% of the aggregate amount of Consolidated Adjusted EBITDA for such period (calculated prior to giving effect to such capped amount under such clauses);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(i) unrealized or realized foreign exchange losses resulting from the impact of foreign currency changes and (ii) gains and losses due to fluctuations in currency values and related Tax effects determined in accordance with GAAP, provided, that the amount of adjustments for cash items made pursuant to sub-</w:t>
      </w:r>
      <w:r>
        <w:rPr>
          <w:rFonts w:ascii="Times New Roman" w:hAnsi="Times New Roman"/>
          <w:sz w:val="20"/>
          <w:u w:val="single"/>
        </w:rPr>
        <w:t>clauses (d)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w:t>
      </w:r>
      <w:r>
        <w:rPr>
          <w:rFonts w:ascii="Times New Roman" w:hAnsi="Times New Roman"/>
          <w:sz w:val="20"/>
          <w:u w:val="single"/>
        </w:rPr>
        <w:t xml:space="preserve"> (h)</w:t>
      </w:r>
      <w:r>
        <w:rPr>
          <w:rFonts w:ascii="Times New Roman" w:hAnsi="Times New Roman"/>
          <w:sz w:val="20"/>
        </w:rPr>
        <w:t xml:space="preserve">, and (i) of this </w:t>
      </w:r>
      <w:r>
        <w:rPr>
          <w:rFonts w:ascii="Times New Roman" w:hAnsi="Times New Roman"/>
          <w:sz w:val="20"/>
          <w:u w:val="single"/>
        </w:rPr>
        <w:t>clause (1)</w:t>
      </w:r>
      <w:r>
        <w:rPr>
          <w:rFonts w:ascii="Times New Roman" w:hAnsi="Times New Roman"/>
          <w:sz w:val="20"/>
        </w:rPr>
        <w:t xml:space="preserve"> in any period shall not exceed 15% of the aggregate amount of Consolidated Adjusted EBITDA for such period (calculated prior to giving effect to such capped amount under such clauses)</w:t>
      </w:r>
      <w:r>
        <w:rPr>
          <w:rFonts w:ascii="Times New Roman" w:hAnsi="Times New Roman"/>
          <w:i/>
          <w:sz w:val="20"/>
        </w:rPr>
        <w:t>; 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the amount of any non-cash costs, charges or expenses relating to payments made to stock appreciation or similar rights, stock option, restricted stock, phantom equity, profits interests or other interests or rights holders of the Borrower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any recovery of the Borrower or any of its Restricted Subsidiaries on account of any litigation, arbitration or bona fide dispute (whether determined through settlement, arbitration, judicial adjudication or otherwise) and any recovery of the Borrower or any of its Restricted Subsidiaries arising under or in respect of surety or similar arrangements to the extent such amounts were actually received and deducted (and not added back) in computing Consolidated Net Income;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any mark-to-market fair value adjustment to liability-classified warrants and any other similar liability-classified adjustments in respect of any warrants, options and similar arrangements in respect of Equity Interests of the Borrower, any Parent Entity or any of their Subsidiaries to the extent deducted (and not added back) in computing Consolidated Net Income;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any other non-cash adjustments to Consolidated Net Income approved by the Administrative Agent (such approval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(2) decreased (without duplication) to the extent added back in or otherwise increasing Consolidated Net Income for such period, by non-cash items of such Person for such period, excluding any non-cash items to the extent they represent the reversal of an accrual or reserve for a potential cash item that reduced Consolidated Adjusted EBITDA in any prior period (other than non-cash gains relating to the application of Accounting Standards Codification Topic 842—Leases (or any successor provision or other financial accounting standard having a similar result or effect)). </w:t>
      </w:r>
    </w:p>
    <w:p>
      <w:pPr>
        <w:pStyle w:val="TextBody"/>
        <w:bidi w:val="0"/>
        <w:spacing w:before="240" w:after="0"/>
        <w:jc w:val="left"/>
        <w:rPr>
          <w:rFonts w:ascii="Times New Roman" w:hAnsi="Times New Roman"/>
          <w:sz w:val="20"/>
        </w:rPr>
      </w:pPr>
      <w:r>
        <w:rPr>
          <w:rFonts w:ascii="Times New Roman" w:hAnsi="Times New Roman"/>
          <w:sz w:val="20"/>
        </w:rPr>
        <w:t xml:space="preserve">In addition, “Consolidated Adjusted EBITDA” shall be calculated on a pro forma basis with such pro forma adjustments as are appropriate and consistent with the pro forma provisions set forth in the definition of “Fixed Charge Coverage Ratio” and </w:t>
      </w:r>
      <w:r>
        <w:rPr>
          <w:rFonts w:ascii="Times New Roman" w:hAnsi="Times New Roman"/>
          <w:sz w:val="20"/>
          <w:u w:val="single"/>
        </w:rPr>
        <w:t>Section 1.08</w:t>
      </w:r>
      <w:r>
        <w:rPr>
          <w:rFonts w:ascii="Times New Roman" w:hAnsi="Times New Roman"/>
          <w:sz w:val="20"/>
        </w:rPr>
        <w:t xml:space="preserve"> and to also give effect to (A) (i) any acquisition of a Vessel (whether by out-right purchase thereof or by virtue of a merger of a company that is not the Borrower or a Restricted Subsidiary into the Borrower or a Restricted Subsidiary or acquisition by the Borrower or a Restricted Subsidiary of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that is not the Borrower or a Restricted Subsidiary (which acquisitions or mergers are not otherwise prohibited by this Agreement)), (ii) any acquisition or delivery of a newly constructed or converted Vessel of the Borrower or a Restricted Subsidiary (whether constructed or converted directly for the Borrower or a Restricted Subsidiary or constructed or converted for a third party and acquired by the Borrower or a Restricted Subsidiary within twelve (12) months after its delivery), or (iii) any reactivated Vessel that has been a Stacked Vessel for more than twelve months (including prior to the time of acquisition by the Borrower or any Restricted Subsidiary) (Vessels of the type described in </w:t>
      </w:r>
      <w:r>
        <w:rPr>
          <w:rFonts w:ascii="Times New Roman" w:hAnsi="Times New Roman"/>
          <w:sz w:val="20"/>
          <w:u w:val="single"/>
        </w:rPr>
        <w:t>clauses (i) – (iii)</w:t>
      </w:r>
      <w:r>
        <w:rPr>
          <w:rFonts w:ascii="Times New Roman" w:hAnsi="Times New Roman"/>
          <w:sz w:val="20"/>
        </w:rPr>
        <w:t>, the “</w:t>
      </w:r>
      <w:r>
        <w:rPr>
          <w:rFonts w:ascii="Times New Roman" w:hAnsi="Times New Roman"/>
          <w:b/>
          <w:sz w:val="20"/>
        </w:rPr>
        <w:t>Specified Vessels</w:t>
      </w:r>
      <w:r>
        <w:rPr>
          <w:rFonts w:ascii="Times New Roman" w:hAnsi="Times New Roman"/>
          <w:sz w:val="20"/>
        </w:rPr>
        <w:t xml:space="preserve">”) (including, but not limited to, offshore supply vessels, offshore service vessels, multi-purpose support vessels, service operation vessels, commissioning service operation vessels, other offshore wind-related vessels, construction support offshore vessels, flotels, other specialty vessels, other construction vessels, crewboats, fast supply vessels, anchor handling and towing supply vessels, tankers, tugs and tank barges) usable in the normal course of business of the Borrower or any of its Restricted Subsidiaries, that is (or are) subject to a Qualified Services Contract and (B) subject to the Borrower providing the Administrative Agent with a written notice of implementation of a stacking strategy, cost savings and operating expense reductions in connection with any Vessel (including, but not limited to, offshore supply vessels, offshore service vessels, multi-purpose support vessels, service operation vessels, commissioning service operation vessels, other offshore wind-related vessels, construction support offshore vessels, flotels, other specialty vessels, other construction vessels, crewboats, fast supply vessels, anchor handling and towing supply vessels, tankers, tugs and tank barges) that will or has become a Stacked Vessel pursuant to such stacking strategy. </w:t>
      </w:r>
    </w:p>
    <w:p>
      <w:pPr>
        <w:pStyle w:val="TextBody"/>
        <w:bidi w:val="0"/>
        <w:spacing w:before="240" w:after="0"/>
        <w:jc w:val="left"/>
        <w:rPr>
          <w:rFonts w:ascii="Times New Roman" w:hAnsi="Times New Roman"/>
          <w:sz w:val="20"/>
        </w:rPr>
      </w:pPr>
      <w:r>
        <w:rPr>
          <w:rFonts w:ascii="Times New Roman" w:hAnsi="Times New Roman"/>
          <w:sz w:val="20"/>
        </w:rPr>
        <w:t>For purposes of this paragraph, the amount of Consolidated Adjusted EBITDA or cost savings and operating expense reductions attributable to such Specified Vessel (or Specified Vessels) (or in the case of clause (B), such other Vessels) shall be factually supportable and calculated in good faith by a responsible financial or accounting officer of the Borrower, and shall include in the calculation of the Consolidated Adjusted EBITDA the revenues to be earned pursuant to the Qualified Services Contract relating to such Specified Vessel (or Specified Vessels), taking into account, where applicable, only contractual minimum amounts (and not, for the avoidance of doubt, on an annualized or other extended basis in excess of the minimum contractual length), and the estimated expenses related thereto. Such estimated expenses shall be based on the expenses previously incurred by any reactivated Stacked Vessel or, in the case of a new Specified Vessel (or Specified Vessels), the expenses of the most nearly comparable vessel in the Borrower’s fleet or, if no such comparable vessel exists, then on the industry average for expenses of comparable vessels; provided</w:t>
      </w:r>
      <w:r>
        <w:rPr>
          <w:rFonts w:ascii="Times New Roman" w:hAnsi="Times New Roman"/>
          <w:i/>
          <w:sz w:val="20"/>
        </w:rPr>
        <w:t>, however,</w:t>
      </w:r>
      <w:r>
        <w:rPr>
          <w:rFonts w:ascii="Times New Roman" w:hAnsi="Times New Roman"/>
          <w:sz w:val="20"/>
        </w:rPr>
        <w:t xml:space="preserve"> in determining the estimated expenses attributable to such new Specified Vessel (or Specified Vessels), the calculation shall give effect to the interest expense attributable to the incurrence, assumption or guarantee of any Indebtedness relating to the construction, delivery, acquisition or reactivation of such new Specified Vessel (or Specified Vessels). Notwithstanding the foregoing, in any calculation of Consolidated Adjusted EBITDA based on this paragraph, the pro forma inclusion of Consolidated Adjusted EBITDA attributable to such Qualified Services Contract for the applicable period shall be reduced by the actual Consolidated Adjusted EBITDA from such new Specified Vessel (or Specified Vessels) previously earned and accounted for in the actual results for the applicable period. Any such adjustments pursuant to this paragraph shall be (x) reasonably acceptable to the Required Lenders (and deemed acceptable unless the Required Lenders, through the Administrative Agent, notify that the Borrower that such adjustments are not reasonable), (y) supported by delivery of an abstract of the relevant Qualified Services Contract, and (z) in the case of Qualified Services Contracts for Specified Vessels which are reactivated, off-set by any amounts included in Consolidated Adjusted EBITDA in respect of any Vessel taken off-contract which such Specified Vessel is replacing.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that trailing actual Consolidated Adjusted EBITDA is not available for a newly acquired Specified Vessel, when determining Consolidated Adjusted EBITDA for such Specified Vessel, the pro forma calculation for such Specified Vessel will be based on the reasonably anticipated actual number of days of employment for such Specified Vessel for the year after acquisition and other reference data provided by the chief financial officer of the Parent Entity acting in good faith to the reasonable satisfaction of the Administrative Agent, which may include revenues to be earned pursuant to any Qualified Service Contract in accordance with the preceding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to “Restricted Subsidiary” in this definition may apply equally to any existing, any newly created or any newly acquired Restricted Subsidiaries. </w:t>
      </w:r>
    </w:p>
    <w:p>
      <w:pPr>
        <w:pStyle w:val="TextBody"/>
        <w:bidi w:val="0"/>
        <w:spacing w:before="240" w:after="0"/>
        <w:jc w:val="left"/>
        <w:rPr>
          <w:rFonts w:ascii="Times New Roman" w:hAnsi="Times New Roman"/>
          <w:sz w:val="20"/>
        </w:rPr>
      </w:pPr>
      <w:r>
        <w:rPr>
          <w:rFonts w:ascii="Times New Roman" w:hAnsi="Times New Roman"/>
          <w:sz w:val="20"/>
        </w:rPr>
        <w:t>The adjustments described in the foregoing five paragraphs shall be referred to herein as a “</w:t>
      </w:r>
      <w:r>
        <w:rPr>
          <w:rFonts w:ascii="Times New Roman" w:hAnsi="Times New Roman"/>
          <w:b/>
          <w:sz w:val="20"/>
        </w:rPr>
        <w:t>QSC and Stacking Adjustment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Consolidated First and Second Lien Debt</w:t>
      </w:r>
      <w:r>
        <w:rPr>
          <w:rFonts w:ascii="Times New Roman" w:hAnsi="Times New Roman"/>
          <w:sz w:val="20"/>
        </w:rPr>
        <w:t xml:space="preserve">” means, as of any date of determination, the amount of Consolidated Total Debt outstanding under the Term Loan Facility and outstanding under any other Indebtedness (other than Intercompany Indebtedness) that is First Lien Debt or secured by the Collateral. </w:t>
      </w:r>
    </w:p>
    <w:p>
      <w:pPr>
        <w:pStyle w:val="TextBody"/>
        <w:bidi w:val="0"/>
        <w:spacing w:before="240" w:after="0"/>
        <w:jc w:val="left"/>
        <w:rPr/>
      </w:pPr>
      <w:r>
        <w:rPr/>
        <w:t>“</w:t>
      </w:r>
      <w:r>
        <w:rPr>
          <w:rFonts w:ascii="Times New Roman" w:hAnsi="Times New Roman"/>
          <w:b/>
          <w:sz w:val="20"/>
        </w:rPr>
        <w:t>Consolidated Interest Expense</w:t>
      </w:r>
      <w:r>
        <w:rPr>
          <w:rFonts w:ascii="Times New Roman" w:hAnsi="Times New Roman"/>
          <w:sz w:val="20"/>
        </w:rPr>
        <w:t xml:space="preserve">” means, with respect to any Person for any period, the sum, without duplication, of (a) the consolidated interest expense of such Person and its Restricted Subsidiaries for such period, whether paid or accrued (including, without limitation, amortization of original issue discount, the interest component of any deferred payment obligations, the interest component of all payments associated with Capitalized Lease Obligations, commissions, discounts and other fees and charges incurred in respect of letter of credit or bankers’ acceptance financings, and net payments (if any) pursuant to Swap Obligations but excluding (i) amortization of debt issuance costs and (ii) any nonrecurring charges relating to any premium or penalty paid, write off of deferred finance costs or original issue discount or other charges in connection with redeeming or otherwise retiring any Indebtedness prior to its maturity date, to the extent that any of such nonrecurring charges constitute interest expense) and (b) the consolidated interest expense of such Person and its Restricted Subsidiaries that was capitalized during such period; provided that Consolidated Interest Expense shall exclude any interest that is paid-in-kind or is imputed non-cash interest expense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But excluding solely for purposes of determining “Fixed Charges”, for the avoidance of doubt, (i) amortization of deferred financing costs, debt issuance costs, commissions, fees and expenses and any other amounts of non-cash interest other than referred to in </w:t>
      </w:r>
      <w:r>
        <w:rPr>
          <w:rFonts w:ascii="Times New Roman" w:hAnsi="Times New Roman"/>
          <w:sz w:val="20"/>
          <w:u w:val="single"/>
        </w:rPr>
        <w:t>clause (b)</w:t>
      </w:r>
      <w:r>
        <w:rPr>
          <w:rFonts w:ascii="Times New Roman" w:hAnsi="Times New Roman"/>
          <w:sz w:val="20"/>
        </w:rPr>
        <w:t xml:space="preserve"> 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Hedging, (iii) any one-time cash costs associated with breakage in respect of Hedge Agreements, (iv) commissions, discounts, yield, make whole premium and other fees and charges (including any interest expense) incurred in connection with any permitted receivables financing, (v) any “additional interest” owing pursuant to a registration rights agreement with respect to any securities, (vi) any payments with respect to make-whole premiums or other breakage costs of any Indebtedness, including any Indebtedness issued in connection with the Transactions, (vii) penalties and interest relating to taxes, (viii) accretion or accrual of discounted liabilities not constituting Indebtedness, (ix) interest expense attributable to a direct or indirect Parent Entity resulting from push-down accounting, (x) any expense resulting from the discounting of Indebtedness in connection with the application of recapitalization or purchase accounting, (xi) any interest expense attributable to the exercise of appraisal rights and the settlement of any claims or actions (whether actual, contingent or potential) with respect thereto and with respect to any acquisition or Investment permitted hereunder, all as calculated on a consolidated basis in accordance with GAAP and (xii) annual agency fees paid to any trustees, administrative agents, collateral trustees, and collateral agents with respect to any secured or unsecured loans, debt facilities, debentures, bonds, commercial paper facilities or other forms of Indebtedness (including any security or intercreditor arrangements related thereto). For the avoidance of doubt, interest expense shall be determined after giving effect to any net payments made or received by the Borrower and the Restricted Subsidiaries in respect of Hedge Agreements relating to interest rate protection. </w:t>
      </w:r>
    </w:p>
    <w:p>
      <w:pPr>
        <w:pStyle w:val="TextBody"/>
        <w:bidi w:val="0"/>
        <w:spacing w:before="240" w:after="0"/>
        <w:jc w:val="left"/>
        <w:rPr/>
      </w:pPr>
      <w:r>
        <w:rPr/>
        <w:t>“</w:t>
      </w:r>
      <w:r>
        <w:rPr>
          <w:rFonts w:ascii="Times New Roman" w:hAnsi="Times New Roman"/>
          <w:b/>
          <w:sz w:val="20"/>
        </w:rPr>
        <w:t>Consolidated Net Debt</w:t>
      </w:r>
      <w:r>
        <w:rPr>
          <w:rFonts w:ascii="Times New Roman" w:hAnsi="Times New Roman"/>
          <w:sz w:val="20"/>
        </w:rPr>
        <w:t xml:space="preserve">” means, as of any date of determination, (a) Consolidated Total Debt </w:t>
      </w:r>
      <w:r>
        <w:rPr>
          <w:rFonts w:ascii="Times New Roman" w:hAnsi="Times New Roman"/>
          <w:i/>
          <w:sz w:val="20"/>
          <w:u w:val="single"/>
        </w:rPr>
        <w:t>minus</w:t>
      </w:r>
      <w:r>
        <w:rPr>
          <w:rFonts w:ascii="Times New Roman" w:hAnsi="Times New Roman"/>
          <w:sz w:val="20"/>
        </w:rPr>
        <w:t xml:space="preserve"> (b) the aggregate amount of cash and Cash Equivalents of the Borrower and the Restricted Subsidiaries as of such date that is not Restricted. </w:t>
      </w:r>
    </w:p>
    <w:p>
      <w:pPr>
        <w:pStyle w:val="TextBody"/>
        <w:bidi w:val="0"/>
        <w:spacing w:before="240" w:after="0"/>
        <w:jc w:val="left"/>
        <w:rPr/>
      </w:pPr>
      <w:r>
        <w:rPr/>
        <w:t>“</w:t>
      </w:r>
      <w:r>
        <w:rPr>
          <w:rFonts w:ascii="Times New Roman" w:hAnsi="Times New Roman"/>
          <w:b/>
          <w:sz w:val="20"/>
        </w:rPr>
        <w:t>Consolidated Net Income</w:t>
      </w:r>
      <w:r>
        <w:rPr>
          <w:rFonts w:ascii="Times New Roman" w:hAnsi="Times New Roman"/>
          <w:sz w:val="20"/>
        </w:rPr>
        <w:t xml:space="preserve">” means, with respect to any Person for any period, the consolidated net income (or loss) of such Person and its Restricted Subsidiaries, determined in accordance with GAAP and before any reduction in respect of preferred stock dividends,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Net Income (but not loss) of any Person that is not a Restricted Subsidiary or that is accounted for by the equity method of accounting shall be included only to the extent of the amount of dividends or distributions paid in cash to the referent Person or a Restricted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(2) except to the extent of the amount of dividends or distributions paid to Restricted Subsidiaries which are Guarantors, the Net Income of any Restricted Subsidiary which is not a Guarantor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unrealized losses and gains under derivative instruments included in the determination of Consolidated Net Income, including, without limitation those resulting from the application of FASB ASC Topic No. 815, Derivatives and Hedging,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(4) the cumulative effect of a change in accounting principles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(5) any income (loss) from the extinguishment, conversion, modification or cancellation of Indebtedness, Swap Obligations or other derivative instruments (including deferred financing costs written off, premiums paid or other expenses incurred)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(6) any unrealized or realized gain or loss resulting in such period from currency translation increases or decreases or transaction gains or losses and any other realized or unrealized foreign exchange gains or losses relating to the translation of assets and liabilities denominated in foreign currencies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(7) (i) any impairment charge, write-off or write-down, including impairment charges, write-offs or write-downs related to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and the amortization of intangibles arising pursuant to GAAP and (ii) gains, losses or charges arising from Accounting Standards Codification Topic 820—Fair Value Measurements and Disclosures shall be excluded, and </w:t>
      </w:r>
    </w:p>
    <w:p>
      <w:pPr>
        <w:pStyle w:val="TextBody"/>
        <w:bidi w:val="0"/>
        <w:spacing w:before="120" w:after="0"/>
        <w:jc w:val="left"/>
        <w:rPr>
          <w:rFonts w:ascii="Times New Roman" w:hAnsi="Times New Roman"/>
          <w:sz w:val="20"/>
        </w:rPr>
      </w:pPr>
      <w:r>
        <w:rPr>
          <w:rFonts w:ascii="Times New Roman" w:hAnsi="Times New Roman"/>
          <w:sz w:val="20"/>
        </w:rPr>
        <w:t xml:space="preserve">(8) any extraordinary, non-recurring, unusual or infrequent items shall be excluded (other than any gains or losses from dispositions of property or assets in the ordinary course of business (it being acknowledged and agreed that sales of Vessels permitted under </w:t>
      </w:r>
      <w:r>
        <w:rPr>
          <w:rFonts w:ascii="Times New Roman" w:hAnsi="Times New Roman"/>
          <w:sz w:val="20"/>
          <w:u w:val="single"/>
        </w:rPr>
        <w:t>Section 7.05</w:t>
      </w:r>
      <w:r>
        <w:rPr>
          <w:rFonts w:ascii="Times New Roman" w:hAnsi="Times New Roman"/>
          <w:sz w:val="20"/>
        </w:rPr>
        <w:t xml:space="preserve"> of this Agreement are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notwithstanding the preceding, (a) there shall be excluded from Consolidated Net Income any nonrecurring charges relating to any premium or penalty paid, write off of deferred finance costs or original issue discount or other charges in connection with redeeming or otherwise retiring any Indebtedness prior to its stated maturity and (b) to the extent not already excluded (or included, as applicable) in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Borrower has made a determination that there exists reasonable evidence that such amount will in fact be reimbursed within 365 days of the date of such evidence (including that such counterparty has not denied reimbursement or indemnification) (net of any amount so added back in a prior period to the extent not so reimbursed within the applicable 365-day period) and (ii) to the extent covered by insurance (including business interruption insurance) and actually reimbursed, or, so long as the Borrower has made a determination that there exists reasonable evidence that such amount will in fact be reimbursed by the insurer (including that the insurer has not denied reimbursement of such amounts)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Consolidated Net Tangible Assets</w:t>
      </w:r>
      <w:r>
        <w:rPr>
          <w:rFonts w:ascii="Times New Roman" w:hAnsi="Times New Roman"/>
          <w:sz w:val="20"/>
        </w:rPr>
        <w:t xml:space="preserve">” means, with respect to any Person as of any date, the sum of the amounts that would appear on a consolidated balance sheet of such Person and its consolidated Restricted Subsidiaries as the total assets of such Person and its consolidated Restricted Subsidiaries, determined on a consolidated basis in accordance with GAAP and after deducting therefrom, (a) to the extent otherwise included, unamortized debt discount and expenses and other unamortized deferred charges, goodwill, patents, trademarks, service marks, trade names, copyrights, licenses, organization or development expenses, right of use assets and other intangible items and (b) the aggregate amount of liabilities of such Person and its Restricted Subsidiaries that may be properly classified as current liabilities (including tax accrued as estimated), determined on a consolidated basis in accordance with GAAP. </w:t>
      </w:r>
    </w:p>
    <w:p>
      <w:pPr>
        <w:pStyle w:val="TextBody"/>
        <w:bidi w:val="0"/>
        <w:spacing w:before="240" w:after="0"/>
        <w:jc w:val="left"/>
        <w:rPr/>
      </w:pPr>
      <w:r>
        <w:rPr/>
        <w:t>“</w:t>
      </w:r>
      <w:r>
        <w:rPr>
          <w:rFonts w:ascii="Times New Roman" w:hAnsi="Times New Roman"/>
          <w:b/>
          <w:sz w:val="20"/>
        </w:rPr>
        <w:t>Consolidated Total Debt</w:t>
      </w:r>
      <w:r>
        <w:rPr>
          <w:rFonts w:ascii="Times New Roman" w:hAnsi="Times New Roman"/>
          <w:sz w:val="20"/>
        </w:rPr>
        <w:t xml:space="preserve">” means, as of any date of determination, the aggregate outstanding principal amount of Indebtedness (other than Intercompany Indebtedness) of the Borrower and the Restricted Subsidiaries on such date, determined on a consolidated basis and as reflected on the face of a balance sheet prepared in accordance with GAAP (but excluding the effects of the application of purchase accounting in connection with the Transactions, any acquisition or any other Investment permitted hereunder), consisting of Indebtedness for borrowed money, unreimbursed obligations in respect of drawn letters of credit (to the extent not cash collateralized), and obligations in respect of Capitalized Leases and purchase money obligations and debt obligations evidenced by promissory notes (other than, for the avoidance of doubt, the Jones Act Notes) or debentures; </w:t>
      </w:r>
      <w:r>
        <w:rPr>
          <w:rFonts w:ascii="Times New Roman" w:hAnsi="Times New Roman"/>
          <w:i/>
          <w:sz w:val="20"/>
        </w:rPr>
        <w:t>provided</w:t>
      </w:r>
      <w:r>
        <w:rPr>
          <w:rFonts w:ascii="Times New Roman" w:hAnsi="Times New Roman"/>
          <w:sz w:val="20"/>
        </w:rPr>
        <w:t>, that Consolidated Total Debt will not include Indebtedness in respect of (a) [reserved], (b) any letter of credit, except to the extent of unreimbursed obligations in respect of drawn letters of credit (</w:t>
      </w:r>
      <w:r>
        <w:rPr>
          <w:rFonts w:ascii="Times New Roman" w:hAnsi="Times New Roman"/>
          <w:i/>
          <w:sz w:val="20"/>
        </w:rPr>
        <w:t>provided</w:t>
      </w:r>
      <w:r>
        <w:rPr>
          <w:rFonts w:ascii="Times New Roman" w:hAnsi="Times New Roman"/>
          <w:sz w:val="20"/>
        </w:rPr>
        <w:t>, that any unreimbursed amount under commercial letters of credit will not be counted as Consolidated Total Debt until three (3) Business Days after such amount is drawn (it being understood that any borrowing, whether automatic or otherwise, to fund such reimbursement will be counted)), (c) obligations under Hedge Agreements, (d) trade payable and earn outs and similar obligations except to the extent owing and not paid, (e) Indebtedness to the extent it has been cash collateralized, and (f) any lease obligations other than in respect of Capitalized Leases (and any of the Indebtedness described in the foregoing (other than in the proviso) constituting Consolidated Total Debt, “</w:t>
      </w:r>
      <w:r>
        <w:rPr>
          <w:rFonts w:ascii="Times New Roman" w:hAnsi="Times New Roman"/>
          <w:b/>
          <w:sz w:val="20"/>
        </w:rPr>
        <w:t>Specified Debt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Construction Contracts</w:t>
      </w:r>
      <w:r>
        <w:rPr>
          <w:rFonts w:ascii="Times New Roman" w:hAnsi="Times New Roman"/>
          <w:sz w:val="20"/>
        </w:rPr>
        <w:t xml:space="preserve">” mean (i) that certain Vessel Conversion Agreement, dated as of June 30, 2023, between ESG and Hornbeck Offshore Wind, LLC, (ii) that certain Completion Agreement (Hull No. 370), dated as of December 20, 2023, between Surety and ESG, (iii) that certain Completion Agreement (Hull No. 369), dated as of December 20, 2023, between Surety and ESG, and (iv) that certain Takeover Agreement, dated as of October 3, 2023, between HOS LLC and Surety, each as amended or supplemented from time to time. </w:t>
      </w:r>
    </w:p>
    <w:p>
      <w:pPr>
        <w:pStyle w:val="TextBody"/>
        <w:bidi w:val="0"/>
        <w:spacing w:before="240" w:after="0"/>
        <w:jc w:val="left"/>
        <w:rPr/>
      </w:pPr>
      <w:r>
        <w:rPr/>
        <w:t>“</w:t>
      </w:r>
      <w:r>
        <w:rPr>
          <w:rFonts w:ascii="Times New Roman" w:hAnsi="Times New Roman"/>
          <w:b/>
          <w:sz w:val="20"/>
        </w:rPr>
        <w:t>Contingent Obligations</w:t>
      </w:r>
      <w:r>
        <w:rPr>
          <w:rFonts w:ascii="Times New Roman" w:hAnsi="Times New Roman"/>
          <w:sz w:val="20"/>
        </w:rPr>
        <w:t>” means, with respect to any Person, any obligation of such Person guaranteeing in any manner, whether directly or indirectly, any Non-Financing Lease Obligation, dividend or other obligation that does not constitute Indebtedness (“</w:t>
      </w:r>
      <w:r>
        <w:rPr>
          <w:rFonts w:ascii="Times New Roman" w:hAnsi="Times New Roman"/>
          <w:b/>
          <w:sz w:val="20"/>
        </w:rPr>
        <w:t>primary obligations</w:t>
      </w:r>
      <w:r>
        <w:rPr>
          <w:rFonts w:ascii="Times New Roman" w:hAnsi="Times New Roman"/>
          <w:sz w:val="20"/>
        </w:rPr>
        <w:t>”) of any other Person (the “</w:t>
      </w:r>
      <w:r>
        <w:rPr>
          <w:rFonts w:ascii="Times New Roman" w:hAnsi="Times New Roman"/>
          <w:b/>
          <w:sz w:val="20"/>
        </w:rPr>
        <w:t>primary obligor</w:t>
      </w:r>
      <w:r>
        <w:rPr>
          <w:rFonts w:ascii="Times New Roman" w:hAnsi="Times New Roman"/>
          <w:sz w:val="20"/>
        </w:rPr>
        <w:t xml:space="preserve">”), including any obligation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to purchase any such primary obligation or any property constituting direct or indirect security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to advance or supply funds: </w:t>
      </w:r>
    </w:p>
    <w:p>
      <w:pPr>
        <w:pStyle w:val="TextBody"/>
        <w:bidi w:val="0"/>
        <w:spacing w:before="120" w:after="0"/>
        <w:jc w:val="left"/>
        <w:rPr>
          <w:rFonts w:ascii="Times New Roman" w:hAnsi="Times New Roman"/>
          <w:sz w:val="20"/>
        </w:rPr>
      </w:pPr>
      <w:r>
        <w:rPr>
          <w:rFonts w:ascii="Times New Roman" w:hAnsi="Times New Roman"/>
          <w:sz w:val="20"/>
        </w:rPr>
        <w:t xml:space="preserve">(a) for the purchase or payment of any such primary obligation; or </w:t>
      </w:r>
    </w:p>
    <w:p>
      <w:pPr>
        <w:pStyle w:val="TextBody"/>
        <w:bidi w:val="0"/>
        <w:spacing w:before="120" w:after="0"/>
        <w:jc w:val="left"/>
        <w:rPr>
          <w:rFonts w:ascii="Times New Roman" w:hAnsi="Times New Roman"/>
          <w:sz w:val="20"/>
        </w:rPr>
      </w:pPr>
      <w:r>
        <w:rPr>
          <w:rFonts w:ascii="Times New Roman" w:hAnsi="Times New Roman"/>
          <w:sz w:val="20"/>
        </w:rPr>
        <w:t xml:space="preserve">(b) to maintain the working capital or equity capital of the primary obligor or otherwise to maintain the net worth or solvency of the primary obligor; or </w:t>
      </w:r>
    </w:p>
    <w:p>
      <w:pPr>
        <w:pStyle w:val="TextBody"/>
        <w:bidi w:val="0"/>
        <w:spacing w:before="120" w:after="0"/>
        <w:jc w:val="left"/>
        <w:rPr>
          <w:rFonts w:ascii="Times New Roman" w:hAnsi="Times New Roman"/>
          <w:sz w:val="20"/>
        </w:rPr>
      </w:pPr>
      <w:r>
        <w:rPr>
          <w:rFonts w:ascii="Times New Roman" w:hAnsi="Times New Roman"/>
          <w:sz w:val="20"/>
        </w:rPr>
        <w:t xml:space="preserve">(3) 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and “</w:t>
      </w:r>
      <w:r>
        <w:rPr>
          <w:rFonts w:ascii="Times New Roman" w:hAnsi="Times New Roman"/>
          <w:b/>
          <w:sz w:val="20"/>
        </w:rPr>
        <w:t>Controlled</w:t>
      </w:r>
      <w:r>
        <w:rPr>
          <w:rFonts w:ascii="Times New Roman" w:hAnsi="Times New Roman"/>
          <w:sz w:val="20"/>
        </w:rPr>
        <w:t xml:space="preserve">” have the meaning specified in the definition of “Affiliate.” </w:t>
      </w:r>
    </w:p>
    <w:p>
      <w:pPr>
        <w:pStyle w:val="TextBody"/>
        <w:bidi w:val="0"/>
        <w:spacing w:before="240" w:after="0"/>
        <w:jc w:val="left"/>
        <w:rPr/>
      </w:pPr>
      <w:r>
        <w:rPr/>
        <w:t>“</w:t>
      </w:r>
      <w:r>
        <w:rPr>
          <w:rFonts w:ascii="Times New Roman" w:hAnsi="Times New Roman"/>
          <w:b/>
          <w:sz w:val="20"/>
        </w:rPr>
        <w:t>Control Agreement</w:t>
      </w:r>
      <w:r>
        <w:rPr>
          <w:rFonts w:ascii="Times New Roman" w:hAnsi="Times New Roman"/>
          <w:sz w:val="20"/>
        </w:rPr>
        <w:t xml:space="preserve">” means (a) with respect to accounts governed by U.S. law, an agreement, in form and substance satisfactory to the Administrative Agent and the Collateral Trustee, which provides for the Collateral Trustee to have with respect to accounts governed by U.S. law, “control” (as defined in Section 9-104 of the Uniform Commercial Code of the State of New York or Section 8-106 of the Uniform Commercial Code of the State of New York, as applicable) of Deposit Accounts or Securities Accounts, as applicable and (b) with respect to accounts governed by the law of any other jurisdiction, a customary “control agreement” for such jurisdiction in form and substance satisfactory to the Administrative Agent and the Collateral Trustee (it being agreed and understood that no Loan Document requires a “control agreement” of the type described in this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Controlled Investment Affiliate(s)</w:t>
      </w:r>
      <w:r>
        <w:rPr>
          <w:rFonts w:ascii="Times New Roman" w:hAnsi="Times New Roman"/>
          <w:sz w:val="20"/>
        </w:rPr>
        <w:t xml:space="preserve">”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its Subsidiaries any Parent Entity and/or other companies. </w:t>
      </w:r>
    </w:p>
    <w:p>
      <w:pPr>
        <w:pStyle w:val="TextBody"/>
        <w:bidi w:val="0"/>
        <w:spacing w:before="240" w:after="0"/>
        <w:jc w:val="left"/>
        <w:rPr/>
      </w:pPr>
      <w:r>
        <w:rPr/>
        <w:t>“</w:t>
      </w:r>
      <w:r>
        <w:rPr>
          <w:rFonts w:ascii="Times New Roman" w:hAnsi="Times New Roman"/>
          <w:b/>
          <w:sz w:val="20"/>
        </w:rPr>
        <w:t>Conversion Settlement</w:t>
      </w:r>
      <w:r>
        <w:rPr>
          <w:rFonts w:ascii="Times New Roman" w:hAnsi="Times New Roman"/>
          <w:sz w:val="20"/>
        </w:rPr>
        <w:t xml:space="preserve">” has the meaning specified in the definition of “Permitted Payment.” </w:t>
      </w:r>
    </w:p>
    <w:p>
      <w:pPr>
        <w:pStyle w:val="TextBody"/>
        <w:bidi w:val="0"/>
        <w:spacing w:before="240" w:after="0"/>
        <w:jc w:val="left"/>
        <w:rPr/>
      </w:pPr>
      <w:r>
        <w:rPr/>
        <w:t>“</w:t>
      </w:r>
      <w:r>
        <w:rPr>
          <w:rFonts w:ascii="Times New Roman" w:hAnsi="Times New Roman"/>
          <w:b/>
          <w:sz w:val="20"/>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(b)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(c) a “covered FSI” as that term is defined in, and interpreted in accordance with, 12 C.F.R. § 382.2(b). </w:t>
      </w:r>
    </w:p>
    <w:p>
      <w:pPr>
        <w:pStyle w:val="TextBody"/>
        <w:bidi w:val="0"/>
        <w:spacing w:before="240" w:after="0"/>
        <w:jc w:val="left"/>
        <w:rPr/>
      </w:pPr>
      <w:r>
        <w:rPr/>
        <w:t>“</w:t>
      </w:r>
      <w:r>
        <w:rPr>
          <w:rFonts w:ascii="Times New Roman" w:hAnsi="Times New Roman"/>
          <w:b/>
          <w:sz w:val="20"/>
        </w:rPr>
        <w:t>Covered Party</w:t>
      </w:r>
      <w:r>
        <w:rPr>
          <w:rFonts w:ascii="Times New Roman" w:hAnsi="Times New Roman"/>
          <w:sz w:val="20"/>
        </w:rPr>
        <w:t xml:space="preserve">” has the meaning specified in </w:t>
      </w:r>
      <w:r>
        <w:rPr>
          <w:rFonts w:ascii="Times New Roman" w:hAnsi="Times New Roman"/>
          <w:sz w:val="20"/>
          <w:u w:val="single"/>
        </w:rPr>
        <w:t>Section 11.26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Debtor Relief Laws</w:t>
      </w:r>
      <w:r>
        <w:rPr>
          <w:rFonts w:ascii="Times New Roman" w:hAnsi="Times New Roman"/>
          <w:sz w:val="20"/>
        </w:rPr>
        <w:t xml:space="preserve">” means the U.S.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or condition that constitutes an Event of Default or that, with the giving of any notice, the passage of time, or both, would be an Event of Default. </w:t>
      </w:r>
    </w:p>
    <w:p>
      <w:pPr>
        <w:pStyle w:val="TextBody"/>
        <w:bidi w:val="0"/>
        <w:spacing w:before="240" w:after="0"/>
        <w:jc w:val="left"/>
        <w:rPr/>
      </w:pPr>
      <w:r>
        <w:rPr/>
        <w:t>“</w:t>
      </w:r>
      <w:r>
        <w:rPr>
          <w:rFonts w:ascii="Times New Roman" w:hAnsi="Times New Roman"/>
          <w:b/>
          <w:sz w:val="20"/>
        </w:rPr>
        <w:t>Default Rate</w:t>
      </w:r>
      <w:r>
        <w:rPr>
          <w:rFonts w:ascii="Times New Roman" w:hAnsi="Times New Roman"/>
          <w:sz w:val="20"/>
        </w:rPr>
        <w:t xml:space="preserve">” means the lesser of (a) an interest rate equal to fourteen percent (14%) </w:t>
      </w:r>
      <w:r>
        <w:rPr>
          <w:rFonts w:ascii="Times New Roman" w:hAnsi="Times New Roman"/>
          <w:i/>
          <w:sz w:val="20"/>
        </w:rPr>
        <w:t>per annum</w:t>
      </w:r>
      <w:r>
        <w:rPr>
          <w:rFonts w:ascii="Times New Roman" w:hAnsi="Times New Roman"/>
          <w:sz w:val="20"/>
        </w:rPr>
        <w:t xml:space="preserve"> and (b) the Maximum Rate. </w:t>
      </w:r>
    </w:p>
    <w:p>
      <w:pPr>
        <w:pStyle w:val="TextBody"/>
        <w:bidi w:val="0"/>
        <w:spacing w:before="240" w:after="0"/>
        <w:jc w:val="left"/>
        <w:rPr/>
      </w:pPr>
      <w:r>
        <w:rPr/>
        <w:t>“</w:t>
      </w:r>
      <w:r>
        <w:rPr>
          <w:rFonts w:ascii="Times New Roman" w:hAnsi="Times New Roman"/>
          <w:b/>
          <w:sz w:val="20"/>
        </w:rPr>
        <w:t>Default Rights</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b/>
          <w:sz w:val="20"/>
        </w:rPr>
        <w:t>Defaulting Lender</w:t>
      </w:r>
      <w:r>
        <w:rPr>
          <w:rFonts w:ascii="Times New Roman" w:hAnsi="Times New Roman"/>
          <w:sz w:val="20"/>
        </w:rPr>
        <w:t xml:space="preserve">” means, subject to </w:t>
      </w:r>
      <w:r>
        <w:rPr>
          <w:rFonts w:ascii="Times New Roman" w:hAnsi="Times New Roman"/>
          <w:sz w:val="20"/>
          <w:u w:val="single"/>
        </w:rPr>
        <w:t>Section 2.11(b)</w:t>
      </w:r>
      <w:r>
        <w:rPr>
          <w:rFonts w:ascii="Times New Roman" w:hAnsi="Times New Roman"/>
          <w:sz w:val="20"/>
        </w:rPr>
        <w:t xml:space="preserve">, any Lender that, </w:t>
      </w:r>
    </w:p>
    <w:p>
      <w:pPr>
        <w:pStyle w:val="TextBody"/>
        <w:bidi w:val="0"/>
        <w:spacing w:before="120" w:after="0"/>
        <w:jc w:val="left"/>
        <w:rPr>
          <w:rFonts w:ascii="Times New Roman" w:hAnsi="Times New Roman"/>
          <w:sz w:val="20"/>
        </w:rPr>
      </w:pPr>
      <w:r>
        <w:rPr>
          <w:rFonts w:ascii="Times New Roman" w:hAnsi="Times New Roman"/>
          <w:sz w:val="20"/>
        </w:rPr>
        <w:t xml:space="preserve">(a)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or any other Lender any other amount required to be paid by it hereunder within two (2) Business Days of the date when due, </w:t>
      </w:r>
    </w:p>
    <w:p>
      <w:pPr>
        <w:pStyle w:val="TextBody"/>
        <w:bidi w:val="0"/>
        <w:spacing w:before="120" w:after="0"/>
        <w:jc w:val="left"/>
        <w:rPr>
          <w:rFonts w:ascii="Times New Roman" w:hAnsi="Times New Roman"/>
          <w:sz w:val="20"/>
        </w:rPr>
      </w:pPr>
      <w:r>
        <w:rPr>
          <w:rFonts w:ascii="Times New Roman" w:hAnsi="Times New Roman"/>
          <w:sz w:val="20"/>
        </w:rPr>
        <w:t xml:space="preserve">(b)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w:t>
      </w:r>
    </w:p>
    <w:p>
      <w:pPr>
        <w:pStyle w:val="TextBody"/>
        <w:bidi w:val="0"/>
        <w:spacing w:before="120" w:after="0"/>
        <w:jc w:val="left"/>
        <w:rPr>
          <w:rFonts w:ascii="Times New Roman" w:hAnsi="Times New Roman"/>
          <w:sz w:val="20"/>
        </w:rPr>
      </w:pPr>
      <w:r>
        <w:rPr>
          <w:rFonts w:ascii="Times New Roman" w:hAnsi="Times New Roman"/>
          <w:sz w:val="20"/>
        </w:rPr>
        <w:t>(c)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i/>
          <w:sz w:val="20"/>
        </w:rPr>
        <w:t xml:space="preserve">provided </w:t>
      </w:r>
      <w:r>
        <w:rPr>
          <w:rFonts w:ascii="Times New Roman" w:hAnsi="Times New Roman"/>
          <w:sz w:val="20"/>
        </w:rPr>
        <w:t xml:space="preserve">that such Lender shall cease to be a Defaulting Lender pursuant to this </w:t>
      </w:r>
      <w:r>
        <w:rPr>
          <w:rFonts w:ascii="Times New Roman" w:hAnsi="Times New Roman"/>
          <w:sz w:val="20"/>
          <w:u w:val="single"/>
        </w:rPr>
        <w:t>clause (b)</w:t>
      </w:r>
      <w:r>
        <w:rPr>
          <w:rFonts w:ascii="Times New Roman" w:hAnsi="Times New Roman"/>
          <w:sz w:val="20"/>
        </w:rPr>
        <w:t xml:space="preserve"> upon receipt of such written confirmation by the Administrative Agent and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administrator, assignee for the benefit of creditors or similar Person charged with reorganization or liquidation of its business or assets, including the Federal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Insurance Corporation or any other Federal or state, provincial or territorial regulatory authority acting in such a capacity or the like has been appointed for such Lender or its direct or indirect parent company, or such Lender or its direct or indirect parent company has taken any action in furtherance of or indicating its consent to or acquiescence in any such proceeding or appointment or (iii) become the subject of a Bail-In Action; </w:t>
      </w:r>
      <w:r>
        <w:rPr>
          <w:rFonts w:ascii="Times New Roman" w:hAnsi="Times New Roman"/>
          <w:i/>
          <w:sz w:val="20"/>
        </w:rPr>
        <w:t xml:space="preserve">provided </w:t>
      </w:r>
      <w:r>
        <w:rPr>
          <w:rFonts w:ascii="Times New Roman" w:hAnsi="Times New Roman"/>
          <w:sz w:val="20"/>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w:t>
      </w:r>
    </w:p>
    <w:p>
      <w:pPr>
        <w:pStyle w:val="TextBody"/>
        <w:bidi w:val="0"/>
        <w:spacing w:before="240" w:after="0"/>
        <w:jc w:val="left"/>
        <w:rPr>
          <w:rFonts w:ascii="Times New Roman" w:hAnsi="Times New Roman"/>
          <w:sz w:val="20"/>
        </w:rPr>
      </w:pPr>
      <w:r>
        <w:rPr>
          <w:rFonts w:ascii="Times New Roman" w:hAnsi="Times New Roman"/>
          <w:sz w:val="20"/>
        </w:rPr>
        <w:t xml:space="preserve">Any determination by the Administrative Agent that a Lender is a Defaulting Lender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above shall be conclusive absent manifest error, and such Lender shall be deemed to be a Defaulting Lender (subject to </w:t>
      </w:r>
      <w:r>
        <w:rPr>
          <w:rFonts w:ascii="Times New Roman" w:hAnsi="Times New Roman"/>
          <w:sz w:val="20"/>
          <w:u w:val="single"/>
        </w:rPr>
        <w:t>Section 2.11</w:t>
      </w:r>
      <w:r>
        <w:rPr>
          <w:rFonts w:ascii="Times New Roman" w:hAnsi="Times New Roman"/>
          <w:sz w:val="20"/>
        </w:rPr>
        <w:t xml:space="preserve">) upon delivery of written notice of such determination to the Borrower and each Lender. </w:t>
      </w:r>
    </w:p>
    <w:p>
      <w:pPr>
        <w:pStyle w:val="TextBody"/>
        <w:bidi w:val="0"/>
        <w:spacing w:before="240" w:after="0"/>
        <w:jc w:val="left"/>
        <w:rPr/>
      </w:pPr>
      <w:r>
        <w:rPr/>
        <w:t>“</w:t>
      </w:r>
      <w:r>
        <w:rPr>
          <w:rFonts w:ascii="Times New Roman" w:hAnsi="Times New Roman"/>
          <w:b/>
          <w:sz w:val="20"/>
        </w:rPr>
        <w:t>Deliverable Obligation</w:t>
      </w:r>
      <w:r>
        <w:rPr>
          <w:rFonts w:ascii="Times New Roman" w:hAnsi="Times New Roman"/>
          <w:sz w:val="20"/>
        </w:rPr>
        <w:t xml:space="preserve">” means each obligation of the Loan Parties that would constitute a “Deliverable Obligation” under a market standard credit default swap transaction documented under the ISDA CDS Definitions and specifying any of the Loan Parties as a Reference Entity. Each capitalized term used but not defined in the preceding sentence has the meaning specified in the ISDA CDS Definitions. </w:t>
      </w:r>
    </w:p>
    <w:p>
      <w:pPr>
        <w:pStyle w:val="TextBody"/>
        <w:bidi w:val="0"/>
        <w:spacing w:before="240" w:after="0"/>
        <w:jc w:val="left"/>
        <w:rPr/>
      </w:pPr>
      <w:r>
        <w:rPr/>
        <w:t>“</w:t>
      </w:r>
      <w:r>
        <w:rPr>
          <w:rFonts w:ascii="Times New Roman" w:hAnsi="Times New Roman"/>
          <w:b/>
          <w:sz w:val="20"/>
        </w:rPr>
        <w:t>Deposit Account</w:t>
      </w:r>
      <w:r>
        <w:rPr>
          <w:rFonts w:ascii="Times New Roman" w:hAnsi="Times New Roman"/>
          <w:sz w:val="20"/>
        </w:rPr>
        <w:t xml:space="preserve">” has the meaning specified in the Uniform Commercial Code. </w:t>
      </w:r>
    </w:p>
    <w:p>
      <w:pPr>
        <w:pStyle w:val="TextBody"/>
        <w:bidi w:val="0"/>
        <w:spacing w:before="240" w:after="0"/>
        <w:jc w:val="left"/>
        <w:rPr/>
      </w:pPr>
      <w:r>
        <w:rPr/>
        <w:t>“</w:t>
      </w:r>
      <w:r>
        <w:rPr>
          <w:rFonts w:ascii="Times New Roman" w:hAnsi="Times New Roman"/>
          <w:b/>
          <w:sz w:val="20"/>
        </w:rPr>
        <w:t>Derivative Instrument</w:t>
      </w:r>
      <w:r>
        <w:rPr>
          <w:rFonts w:ascii="Times New Roman" w:hAnsi="Times New Roman"/>
          <w:sz w:val="20"/>
        </w:rPr>
        <w:t xml:space="preserve">” means, with respect to a Person, any contract or instrument to which such Person is a party (whether or not requiring further performance by such Person), the value and/or cash flows of which (or any portion thereof) are based on the value and/or performance of the Loans and/or any Deliverable Obligations or “Obligations” (as defined in the ISDA CDS Definitions) with respect to the Loan Parties; </w:t>
      </w:r>
      <w:r>
        <w:rPr>
          <w:rFonts w:ascii="Times New Roman" w:hAnsi="Times New Roman"/>
          <w:i/>
          <w:sz w:val="20"/>
        </w:rPr>
        <w:t xml:space="preserve">provided </w:t>
      </w:r>
      <w:r>
        <w:rPr>
          <w:rFonts w:ascii="Times New Roman" w:hAnsi="Times New Roman"/>
          <w:sz w:val="20"/>
        </w:rPr>
        <w:t xml:space="preserve">that a “Derivative Instrument” will not include any contract or instrument that is entered into pursuant to bona fide market-making activities. </w:t>
      </w:r>
    </w:p>
    <w:p>
      <w:pPr>
        <w:pStyle w:val="TextBody"/>
        <w:bidi w:val="0"/>
        <w:spacing w:before="240" w:after="0"/>
        <w:jc w:val="left"/>
        <w:rPr/>
      </w:pPr>
      <w:r>
        <w:rPr/>
        <w:t>“</w:t>
      </w:r>
      <w:r>
        <w:rPr>
          <w:rFonts w:ascii="Times New Roman" w:hAnsi="Times New Roman"/>
          <w:b/>
          <w:sz w:val="20"/>
        </w:rPr>
        <w:t>Designated Non-Cash Consideration</w:t>
      </w:r>
      <w:r>
        <w:rPr>
          <w:rFonts w:ascii="Times New Roman" w:hAnsi="Times New Roman"/>
          <w:sz w:val="20"/>
        </w:rPr>
        <w:t xml:space="preserve">” means the Fair Market Value of any non-cash consideration received by the Borrower or a Restricted Subsidiary in connection with a Disposition pursuant to </w:t>
      </w:r>
      <w:r>
        <w:rPr>
          <w:rFonts w:ascii="Times New Roman" w:hAnsi="Times New Roman"/>
          <w:sz w:val="20"/>
          <w:u w:val="single"/>
        </w:rPr>
        <w:t>Section 7.05</w:t>
      </w:r>
      <w:r>
        <w:rPr>
          <w:rFonts w:ascii="Times New Roman" w:hAnsi="Times New Roman"/>
          <w:sz w:val="20"/>
        </w:rPr>
        <w:t xml:space="preserve"> that is designated as Designated Non-Cash Consideration pursuant to a certificate of a Responsible Officer, setting forth in reasonable detail the basis of such valuation (which (i) certificate shall conclusively establish such value absent manifest error and (ii) amount will be reduced by the Fair Market Value of the portion of the non-cash consideration converted to cash following the consummation of the applicable Disposition). </w:t>
      </w:r>
    </w:p>
    <w:p>
      <w:pPr>
        <w:pStyle w:val="TextBody"/>
        <w:bidi w:val="0"/>
        <w:spacing w:before="240" w:after="0"/>
        <w:jc w:val="left"/>
        <w:rPr/>
      </w:pPr>
      <w:r>
        <w:rPr/>
        <w:t>“</w:t>
      </w:r>
      <w:r>
        <w:rPr>
          <w:rFonts w:ascii="Times New Roman" w:hAnsi="Times New Roman"/>
          <w:b/>
          <w:sz w:val="20"/>
        </w:rPr>
        <w:t>Disinterested Director</w:t>
      </w:r>
      <w:r>
        <w:rPr>
          <w:rFonts w:ascii="Times New Roman" w:hAnsi="Times New Roman"/>
          <w:sz w:val="20"/>
        </w:rPr>
        <w:t xml:space="preserve">”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Equity Interests of the Borrower or any Parent Entity or any options, warrants or other rights in respect of such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Disposition” or “Dispose” means: </w:t>
      </w:r>
    </w:p>
    <w:p>
      <w:pPr>
        <w:pStyle w:val="TextBody"/>
        <w:bidi w:val="0"/>
        <w:spacing w:before="120" w:after="0"/>
        <w:jc w:val="left"/>
        <w:rPr>
          <w:rFonts w:ascii="Times New Roman" w:hAnsi="Times New Roman"/>
          <w:sz w:val="20"/>
        </w:rPr>
      </w:pPr>
      <w:r>
        <w:rPr>
          <w:rFonts w:ascii="Times New Roman" w:hAnsi="Times New Roman"/>
          <w:sz w:val="20"/>
        </w:rPr>
        <w:t xml:space="preserve">(a) the sale, conveyance, transfer or other disposition, whether in a single transaction or a series of related transactions, of property or assets (including by way of a Sale Leaseback Transaction) of the Borrower or any of its Restricted Subsidiaries (in each case other than Equity Interests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(b) the issuance or sale of Equity Interests of any Restricted Subsidiary (other than preferred stock or Disqualified Equity Interests of Restricted Subsidiaries or directors’ qualifying shares and shares issued to foreign nationals as required under applicable law), whether in a single transaction or a series of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each case, other than: </w:t>
      </w:r>
    </w:p>
    <w:p>
      <w:pPr>
        <w:pStyle w:val="TextBody"/>
        <w:bidi w:val="0"/>
        <w:spacing w:before="120" w:after="0"/>
        <w:jc w:val="left"/>
        <w:rPr>
          <w:rFonts w:ascii="Times New Roman" w:hAnsi="Times New Roman"/>
          <w:sz w:val="20"/>
        </w:rPr>
      </w:pPr>
      <w:r>
        <w:rPr>
          <w:rFonts w:ascii="Times New Roman" w:hAnsi="Times New Roman"/>
          <w:sz w:val="20"/>
        </w:rPr>
        <w:t xml:space="preserve">(1) a disposition by the Borrower or a Restricted Subsidiary to the Borrower or a Restricted Subsidiary, including pursuant to any Intercompany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(2) a disposition of cash, Cash Equivalents or Investment Grade Securities, including any marketable securities portfolio owned by the Borrower and its Subsidiaries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(3) 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(4) a disposition of obsolete, worn-out, uneconomic, damaged, non-core or surplus property, equipment or other assets or property, equipment or other assets that are no longer economically practical or commercially desirable to maintain or used or useful in the business of the Borrower and its Restricted Subsidiaries whether now or hereafter owned or leased or acquired in connection with an acquisition or used or useful in the conduct of the business of the Borrower and its Restricted Subsidiaries (including by ceasing to enforce, allowing the lapse, abandonment or invalidation of or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its reasonable judgment that such action or inaction is desirable); </w:t>
      </w:r>
    </w:p>
    <w:p>
      <w:pPr>
        <w:pStyle w:val="TextBody"/>
        <w:bidi w:val="0"/>
        <w:spacing w:before="120" w:after="0"/>
        <w:jc w:val="left"/>
        <w:rPr>
          <w:rFonts w:ascii="Times New Roman" w:hAnsi="Times New Roman"/>
          <w:sz w:val="20"/>
        </w:rPr>
      </w:pPr>
      <w:r>
        <w:rPr>
          <w:rFonts w:ascii="Times New Roman" w:hAnsi="Times New Roman"/>
          <w:sz w:val="20"/>
        </w:rPr>
        <w:t xml:space="preserve">(5) transactions governed by and permitted under </w:t>
      </w:r>
      <w:r>
        <w:rPr>
          <w:rFonts w:ascii="Times New Roman" w:hAnsi="Times New Roman"/>
          <w:sz w:val="20"/>
          <w:u w:val="single"/>
        </w:rPr>
        <w:t>Section 7.04</w:t>
      </w:r>
      <w:r>
        <w:rPr>
          <w:rFonts w:ascii="Times New Roman" w:hAnsi="Times New Roman"/>
          <w:sz w:val="20"/>
        </w:rPr>
        <w:t xml:space="preserve"> or a transaction that constitutes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(6) an issuance of Equity Interests by a Restricted Subsidiary to the Borrower or to another Restricted Subsidiary or as part of or pursuant to an equity incentive or compensation plan approved by the Board of Directors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any dispositions of Equity Interests (other than Equity Interests of the Borrower or any Guarantor), properties or assets (excluding Vessel Collateral) in a single transaction or series of related transactions with a Fair Market Value (as determined in good faith by the Borrower) of up to $25.0 million; </w:t>
      </w:r>
    </w:p>
    <w:p>
      <w:pPr>
        <w:pStyle w:val="TextBody"/>
        <w:bidi w:val="0"/>
        <w:spacing w:before="120" w:after="0"/>
        <w:jc w:val="left"/>
        <w:rPr>
          <w:rFonts w:ascii="Times New Roman" w:hAnsi="Times New Roman"/>
          <w:sz w:val="20"/>
        </w:rPr>
      </w:pPr>
      <w:r>
        <w:rPr>
          <w:rFonts w:ascii="Times New Roman" w:hAnsi="Times New Roman"/>
          <w:sz w:val="20"/>
        </w:rPr>
        <w:t xml:space="preserve">(8) any Restricted Payment that is permitted to be made, and is made, under </w:t>
      </w:r>
      <w:r>
        <w:rPr>
          <w:rFonts w:ascii="Times New Roman" w:hAnsi="Times New Roman"/>
          <w:sz w:val="20"/>
          <w:u w:val="single"/>
        </w:rPr>
        <w:t>Section 7.06</w:t>
      </w:r>
      <w:r>
        <w:rPr>
          <w:rFonts w:ascii="Times New Roman" w:hAnsi="Times New Roman"/>
          <w:sz w:val="20"/>
        </w:rPr>
        <w:t xml:space="preserve"> or </w:t>
      </w:r>
      <w:r>
        <w:rPr>
          <w:rFonts w:ascii="Times New Roman" w:hAnsi="Times New Roman"/>
          <w:sz w:val="20"/>
          <w:u w:val="single"/>
        </w:rPr>
        <w:t>Section 7.09</w:t>
      </w:r>
      <w:r>
        <w:rPr>
          <w:rFonts w:ascii="Times New Roman" w:hAnsi="Times New Roman"/>
          <w:sz w:val="20"/>
        </w:rPr>
        <w:t xml:space="preserve"> and the making of any Permitted Payment, Permitted Investment or asset sales; </w:t>
      </w:r>
    </w:p>
    <w:p>
      <w:pPr>
        <w:pStyle w:val="TextBody"/>
        <w:bidi w:val="0"/>
        <w:spacing w:before="120" w:after="0"/>
        <w:jc w:val="left"/>
        <w:rPr>
          <w:rFonts w:ascii="Times New Roman" w:hAnsi="Times New Roman"/>
          <w:sz w:val="20"/>
        </w:rPr>
      </w:pPr>
      <w:r>
        <w:rPr>
          <w:rFonts w:ascii="Times New Roman" w:hAnsi="Times New Roman"/>
          <w:sz w:val="20"/>
        </w:rPr>
        <w:t xml:space="preserve">(9) dispositions in connection with Permitted Liens, Permitted Intercompany Activities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(10) dispositions of receivables in connection with the compromise, settlement or collection thereof in the ordinary course of business or consistent with past practice or in bankruptcy or similar proceedings and exclusive of factoring or similar arrangements; </w:t>
      </w:r>
    </w:p>
    <w:p>
      <w:pPr>
        <w:pStyle w:val="TextBody"/>
        <w:bidi w:val="0"/>
        <w:spacing w:before="120" w:after="0"/>
        <w:jc w:val="left"/>
        <w:rPr>
          <w:rFonts w:ascii="Times New Roman" w:hAnsi="Times New Roman"/>
          <w:sz w:val="20"/>
        </w:rPr>
      </w:pPr>
      <w:r>
        <w:rPr>
          <w:rFonts w:ascii="Times New Roman" w:hAnsi="Times New Roman"/>
          <w:sz w:val="20"/>
        </w:rPr>
        <w:t xml:space="preserve">(11) conveyances, sales, transfers, licenses, sublicenses, cross-licenses or other dispositions of intellectual property, software or other general intangibles and licenses, sublicenses, cross-licenses,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 from such agreement; </w:t>
      </w:r>
    </w:p>
    <w:p>
      <w:pPr>
        <w:pStyle w:val="TextBody"/>
        <w:bidi w:val="0"/>
        <w:spacing w:before="120" w:after="0"/>
        <w:jc w:val="left"/>
        <w:rPr>
          <w:rFonts w:ascii="Times New Roman" w:hAnsi="Times New Roman"/>
          <w:sz w:val="20"/>
        </w:rPr>
      </w:pPr>
      <w:r>
        <w:rPr>
          <w:rFonts w:ascii="Times New Roman" w:hAnsi="Times New Roman"/>
          <w:sz w:val="20"/>
        </w:rPr>
        <w:t xml:space="preserve">(12) the lease, assignment, license, sublease or sublicense of any real or personal property in the ordinary course of business or consistent with industry practice; </w:t>
      </w:r>
    </w:p>
    <w:p>
      <w:pPr>
        <w:pStyle w:val="TextBody"/>
        <w:bidi w:val="0"/>
        <w:spacing w:before="120" w:after="0"/>
        <w:jc w:val="left"/>
        <w:rPr>
          <w:rFonts w:ascii="Times New Roman" w:hAnsi="Times New Roman"/>
          <w:sz w:val="20"/>
        </w:rPr>
      </w:pPr>
      <w:r>
        <w:rPr>
          <w:rFonts w:ascii="Times New Roman" w:hAnsi="Times New Roman"/>
          <w:sz w:val="20"/>
        </w:rPr>
        <w:t xml:space="preserve">(13) foreclosure, condemnation, expropriation, forced disposition or any similar action with respect to any property or other assets or the granting of Liens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(14) the sale, discount or other disposition (with or without recourse, and on customary or commercially reasonable terms and for credit management purposes) of inventory, accounts receivable or notes receivable in the ordinary course of business or consistent with past practice, or the conversion or exchange of accounts receivable for notes receivable; </w:t>
      </w:r>
    </w:p>
    <w:p>
      <w:pPr>
        <w:pStyle w:val="TextBody"/>
        <w:bidi w:val="0"/>
        <w:spacing w:before="120" w:after="0"/>
        <w:jc w:val="left"/>
        <w:rPr>
          <w:rFonts w:ascii="Times New Roman" w:hAnsi="Times New Roman"/>
          <w:sz w:val="20"/>
        </w:rPr>
      </w:pPr>
      <w:r>
        <w:rPr>
          <w:rFonts w:ascii="Times New Roman" w:hAnsi="Times New Roman"/>
          <w:sz w:val="20"/>
        </w:rPr>
        <w:t xml:space="preserve">(15) any issuance or sale of Equity Interests in, or Indebtedness or other securities of, an Unrestricted Subsidiary or any other disposition of Equity Interests, Indebtedness or other securities of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(16) 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 </w:t>
      </w:r>
    </w:p>
    <w:p>
      <w:pPr>
        <w:pStyle w:val="TextBody"/>
        <w:bidi w:val="0"/>
        <w:spacing w:before="120" w:after="0"/>
        <w:jc w:val="left"/>
        <w:rPr>
          <w:rFonts w:ascii="Times New Roman" w:hAnsi="Times New Roman"/>
          <w:sz w:val="20"/>
        </w:rPr>
      </w:pPr>
      <w:r>
        <w:rPr>
          <w:rFonts w:ascii="Times New Roman" w:hAnsi="Times New Roman"/>
          <w:sz w:val="20"/>
        </w:rPr>
        <w:t xml:space="preserve">(17) (i)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allowable under Section 1031 of the Code or comparable law or regulation, any exchange of like property (excluding any boot thereon) for use in a Similar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[reserved]; </w:t>
      </w:r>
    </w:p>
    <w:p>
      <w:pPr>
        <w:pStyle w:val="TextBody"/>
        <w:bidi w:val="0"/>
        <w:spacing w:before="120" w:after="0"/>
        <w:jc w:val="left"/>
        <w:rPr>
          <w:rFonts w:ascii="Times New Roman" w:hAnsi="Times New Roman"/>
          <w:sz w:val="20"/>
        </w:rPr>
      </w:pPr>
      <w:r>
        <w:rPr>
          <w:rFonts w:ascii="Times New Roman" w:hAnsi="Times New Roman"/>
          <w:sz w:val="20"/>
        </w:rPr>
        <w:t xml:space="preserve">(19) any financing transaction with respect to property constructed, acquired, leased, renewed, relocated, expanded, replaced, repaired, maintained, upgraded or improved (including any reconstruction, refurbishment, renovation and/or development of real property) by the Borrower or any Restricted Subsidiary after the Closing Date, including Sale Leaseback Transactions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(20) sales, transfers or other dispositions of Investments in joint ventures or similar entities to the extent required by, or made pursuant to customary buy/sell arrangements between, the parties set forth in joint venture arrangements and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(21) any surrender or waiver of contractual rights or the settlement, release, surrender or waiver of contractual, tort, litigation or other claims of any kind; </w:t>
      </w:r>
    </w:p>
    <w:p>
      <w:pPr>
        <w:pStyle w:val="TextBody"/>
        <w:bidi w:val="0"/>
        <w:spacing w:before="120" w:after="0"/>
        <w:jc w:val="left"/>
        <w:rPr>
          <w:rFonts w:ascii="Times New Roman" w:hAnsi="Times New Roman"/>
          <w:sz w:val="20"/>
        </w:rPr>
      </w:pPr>
      <w:r>
        <w:rPr>
          <w:rFonts w:ascii="Times New Roman" w:hAnsi="Times New Roman"/>
          <w:sz w:val="20"/>
        </w:rPr>
        <w:t xml:space="preserve">(22) the unwinding of any Cash Management Obligations (as such term is defined in the First Lien RCF Credit Agreement as of the Closing Date) or Hedge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(23) transfers of property or assets subject to Casualty Events upon receipt of the net proceeds of such Casualty Event; </w:t>
      </w:r>
    </w:p>
    <w:p>
      <w:pPr>
        <w:pStyle w:val="TextBody"/>
        <w:bidi w:val="0"/>
        <w:spacing w:before="120" w:after="0"/>
        <w:jc w:val="left"/>
        <w:rPr>
          <w:rFonts w:ascii="Times New Roman" w:hAnsi="Times New Roman"/>
          <w:sz w:val="20"/>
        </w:rPr>
      </w:pPr>
      <w:r>
        <w:rPr>
          <w:rFonts w:ascii="Times New Roman" w:hAnsi="Times New Roman"/>
          <w:sz w:val="20"/>
        </w:rPr>
        <w:t xml:space="preserve">(24) any disposition to a Captive Insurance Subsidiary; </w:t>
      </w:r>
    </w:p>
    <w:p>
      <w:pPr>
        <w:pStyle w:val="TextBody"/>
        <w:bidi w:val="0"/>
        <w:spacing w:before="120" w:after="0"/>
        <w:jc w:val="left"/>
        <w:rPr>
          <w:rFonts w:ascii="Times New Roman" w:hAnsi="Times New Roman"/>
          <w:sz w:val="20"/>
        </w:rPr>
      </w:pPr>
      <w:r>
        <w:rPr>
          <w:rFonts w:ascii="Times New Roman" w:hAnsi="Times New Roman"/>
          <w:sz w:val="20"/>
        </w:rPr>
        <w:t xml:space="preserve">(25) the disposition of any assets (including Equity Interests) (i) acquired in a transaction after the Closing Date, which assets are not useful in the core or principal business of the Borrower and its Restricted Subsidiaries, or (ii) made in connection with the approval of any applicable antitrust authority or otherwise necessary or advisable in the reasonable determination of the Borrower to consummate any acquisition; </w:t>
      </w:r>
    </w:p>
    <w:p>
      <w:pPr>
        <w:pStyle w:val="TextBody"/>
        <w:bidi w:val="0"/>
        <w:spacing w:before="120" w:after="0"/>
        <w:jc w:val="left"/>
        <w:rPr>
          <w:rFonts w:ascii="Times New Roman" w:hAnsi="Times New Roman"/>
          <w:sz w:val="20"/>
        </w:rPr>
      </w:pPr>
      <w:r>
        <w:rPr>
          <w:rFonts w:ascii="Times New Roman" w:hAnsi="Times New Roman"/>
          <w:sz w:val="20"/>
        </w:rPr>
        <w:t xml:space="preserve">(26) any charter or lease of any equipment or other properties or assets entered into in the ordinary course of business and with respect to which the Borrower or any of its Restricted Subsidiaries is the lessor or Person granting the charter, except any such charter or lease that provides for the acquisition of such properties or assets by the lessee during or at the end of the term thereof for an amount that is less than the Fair Market Value thereof at the time the right to acquire such properties or assets occurs; </w:t>
      </w:r>
    </w:p>
    <w:p>
      <w:pPr>
        <w:pStyle w:val="TextBody"/>
        <w:bidi w:val="0"/>
        <w:spacing w:before="120" w:after="0"/>
        <w:jc w:val="left"/>
        <w:rPr>
          <w:rFonts w:ascii="Times New Roman" w:hAnsi="Times New Roman"/>
          <w:sz w:val="20"/>
        </w:rPr>
      </w:pPr>
      <w:r>
        <w:rPr>
          <w:rFonts w:ascii="Times New Roman" w:hAnsi="Times New Roman"/>
          <w:sz w:val="20"/>
        </w:rPr>
        <w:t xml:space="preserve">(27) any sale, lease, conveyance or other disposition of any property or assets other than the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(28) any disposition of non-revenue producing assets to a Person who is providing services related to such assets, the provision of which have been or are to be outsourced by the Borrower or any Restricted Subsidiary to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a transaction (or any portion thereof) meets the criteria of a permitted Disposition and would also be a Permitted Investment or an Investment permitted under </w:t>
      </w:r>
      <w:r>
        <w:rPr>
          <w:rFonts w:ascii="Times New Roman" w:hAnsi="Times New Roman"/>
          <w:sz w:val="20"/>
          <w:u w:val="single"/>
        </w:rPr>
        <w:t>Section 7.06</w:t>
      </w:r>
      <w:r>
        <w:rPr>
          <w:rFonts w:ascii="Times New Roman" w:hAnsi="Times New Roman"/>
          <w:sz w:val="20"/>
        </w:rPr>
        <w:t xml:space="preserve"> the Borrower, in its sole discretion, will be entitled to divide and classify such transaction (or a portion thereof) as a Disposition and/or one or more of the types of Permitted Investments or Investments permitted under </w:t>
      </w:r>
      <w:r>
        <w:rPr>
          <w:rFonts w:ascii="Times New Roman" w:hAnsi="Times New Roman"/>
          <w:sz w:val="20"/>
          <w:u w:val="single"/>
        </w:rPr>
        <w:t>Section 7.06</w:t>
      </w:r>
      <w:r>
        <w:rPr>
          <w:rFonts w:ascii="Times New Roman" w:hAnsi="Times New Roman"/>
          <w:sz w:val="20"/>
        </w:rPr>
        <w:t xml:space="preserve">. For the avoidance of doubt, the entry into a Hedge Agreement (including any call, capped call or warrant transaction) any settlement, unwind or termination thereof shall not constitute a Disposition. </w:t>
      </w:r>
    </w:p>
    <w:p>
      <w:pPr>
        <w:pStyle w:val="TextBody"/>
        <w:bidi w:val="0"/>
        <w:spacing w:before="240" w:after="0"/>
        <w:jc w:val="left"/>
        <w:rPr/>
      </w:pPr>
      <w:r>
        <w:rPr/>
        <w:t>“</w:t>
      </w:r>
      <w:r>
        <w:rPr>
          <w:rFonts w:ascii="Times New Roman" w:hAnsi="Times New Roman"/>
          <w:b/>
          <w:sz w:val="20"/>
        </w:rPr>
        <w:t>Disqualified Equity Interest</w:t>
      </w:r>
      <w:r>
        <w:rPr>
          <w:rFonts w:ascii="Times New Roman" w:hAnsi="Times New Roman"/>
          <w:sz w:val="20"/>
        </w:rPr>
        <w:t xml:space="preserve">” means, with respect to any Person, any Equity Interests of such Person which by its terms (or by the terms of any security into which it is convertible or for which it is exchangeable) or upon the happening of any event: </w:t>
      </w:r>
    </w:p>
    <w:p>
      <w:pPr>
        <w:pStyle w:val="TextBody"/>
        <w:bidi w:val="0"/>
        <w:spacing w:before="120" w:after="0"/>
        <w:jc w:val="left"/>
        <w:rPr>
          <w:rFonts w:ascii="Times New Roman" w:hAnsi="Times New Roman"/>
          <w:sz w:val="20"/>
        </w:rPr>
      </w:pPr>
      <w:r>
        <w:rPr>
          <w:rFonts w:ascii="Times New Roman" w:hAnsi="Times New Roman"/>
          <w:sz w:val="20"/>
        </w:rPr>
        <w:t xml:space="preserve">(1) matures or is mandatorily redeemable for cash or in exchange for Indebtedness pursuant to a sinking fund obligation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(2) is or may become (in accordance with its terms) upon the occurrence of certain events or otherwise redeemable or repurchasable for cash or in exchange for Indebtedness at the option of the holder of the Equity Interests in whole or in part, in each case on or prior to the earlier of (a) the Maturity Date of the Loans or (b) the date on which all Loans and other Obligations have been paid in full; provided, however, that (i) only the portion of Equity Interests which so matures or is mandatorily redeemable, is so convertible or exchangeable or is so redeemable at the option of the holder thereof prior to such date will be deemed to be Disqualified Equity Interests and (ii) any Equity Interests that would constitute Disqualified Equity Interests solely because the holders thereof have the right to require the Borrower to repurchase such Equity Interests upon the occurrence of a change of control or asset sale (howsoever defined or referred to) shall not constitute Disqualified Equity Interests if any such redemption or repurchase obligation is subject to compliance by the relevant Person with </w:t>
      </w:r>
      <w:r>
        <w:rPr>
          <w:rFonts w:ascii="Times New Roman" w:hAnsi="Times New Roman"/>
          <w:sz w:val="20"/>
          <w:u w:val="single"/>
        </w:rPr>
        <w:t>Section 7.06</w:t>
      </w:r>
      <w:r>
        <w:rPr>
          <w:rFonts w:ascii="Times New Roman" w:hAnsi="Times New Roman"/>
          <w:sz w:val="20"/>
        </w:rPr>
        <w:t xml:space="preserve">; provided, however, that if such Equity Interests are issued to any future, current or former employee, director, officer, manager, contractor, consultant or advisor (or their respective Controlled Investment Affiliates or Immediate Family Members) (excluding the Permitted Holders (but not excluding any future, current or former employee, director, officer, manager, contractor, consultant or advisor) or Immediate Family Members), of the Borrower, any of its Subsidiaries, any Parent Entity or any other entity in which the Borrower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Borrower or its Subsidiaries or by any such plan to such employees (or their respective Controlled Investment Affiliates or Immediate Family Members), such Equity Interests shall not constitute Disqualified Equity Interests solely because it may be required to be repurchased by the Borrower or its Subsidiaries in order to satisfy applicable statutory or regulatory obligations. </w:t>
      </w:r>
    </w:p>
    <w:p>
      <w:pPr>
        <w:pStyle w:val="TextBody"/>
        <w:bidi w:val="0"/>
        <w:spacing w:before="240" w:after="0"/>
        <w:jc w:val="left"/>
        <w:rPr/>
      </w:pPr>
      <w:r>
        <w:rPr/>
        <w:t>“</w:t>
      </w:r>
      <w:r>
        <w:rPr>
          <w:rFonts w:ascii="Times New Roman" w:hAnsi="Times New Roman"/>
          <w:b/>
          <w:sz w:val="20"/>
        </w:rPr>
        <w:t>Disqualified Lender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the competitors of the Borrower and their Subsidiaries identified in writing by or on behalf of the Borrower (i) to the Administrative Agent on or prior to the Closing Date and (ii) to the Administrative Agent from time to time on or after the Closing Date subject to the Administrative Agent’s consent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any Persons that are engaged as principals primarily in private equity, mezzanine financing or venture capital and (ii) those particular banks, financial institutions, other institutional lenders and other Persons,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to the extent identified in writing by or on behalf of the Borrower to the Administrative Agent on or prior to the Closing Date or after the Closing Date subject to the Administrative Agent’s consent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(c) any Affiliate of the Persons described in the preceding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 each case, other than any Affiliates that are banks, financial institutions, </w:t>
      </w:r>
      <w:r>
        <w:rPr>
          <w:rFonts w:ascii="Times New Roman" w:hAnsi="Times New Roman"/>
          <w:i/>
          <w:sz w:val="20"/>
        </w:rPr>
        <w:t xml:space="preserve">bona fide </w:t>
      </w:r>
      <w:r>
        <w:rPr>
          <w:rFonts w:ascii="Times New Roman" w:hAnsi="Times New Roman"/>
          <w:sz w:val="20"/>
        </w:rPr>
        <w:t xml:space="preserve">debt funds or investment vehicles that are engaged in making, purchasing, holding or otherwise investing in commercial loans, bonds and similar extensions of credit in the ordinary course (except to the extent separately identified under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in each case, that are either reasonably identifiable as such on the basis of their name or are identified as such in writing by or on behalf of the Borrower (i) to the Administrative Agent on or prior to the Closing Date, or (ii) to the Administrative Agent from time to time on or after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(d) at any time, or with respect to any action (or proposed action) in connection with which, a Net Short Representation is required to be made (or deemed made) hereunder, any Lender (or prospective Lender) that has breached its Net Short Representation at such time or in connection with such action (or proposed 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any Persons identified as Disqualified Lenders on or after the Closing Date shall be added to the list of Disqualified Lenders, and such designation as a Disqualified Lender will take effect, three (3) Business Days after such designation or identification is made in writing and received by the Administrative Agent; </w:t>
      </w:r>
      <w:r>
        <w:rPr>
          <w:rFonts w:ascii="Times New Roman" w:hAnsi="Times New Roman"/>
          <w:i/>
          <w:sz w:val="20"/>
        </w:rPr>
        <w:t>provided</w:t>
      </w:r>
      <w:r>
        <w:rPr>
          <w:rFonts w:ascii="Times New Roman" w:hAnsi="Times New Roman"/>
          <w:sz w:val="20"/>
        </w:rPr>
        <w:t xml:space="preserve">, that to the extent any transfer is made in anticipation of such designation or otherwise in bad faith by any Lender or Participant during such three (3) Business Day period, such transaction shall be subject to the applicable provisions of </w:t>
      </w:r>
      <w:r>
        <w:rPr>
          <w:rFonts w:ascii="Times New Roman" w:hAnsi="Times New Roman"/>
          <w:sz w:val="20"/>
          <w:u w:val="single"/>
        </w:rPr>
        <w:t>Section 11.29(a)</w:t>
      </w:r>
      <w:r>
        <w:rPr>
          <w:rFonts w:ascii="Times New Roman" w:hAnsi="Times New Roman"/>
          <w:sz w:val="20"/>
        </w:rPr>
        <w:t xml:space="preserve"> (and the Borrower shall be entitled to seek specific performance in any applicable court of law or equity to enforce this sentence). The Administrative Agent shall make the list of Disqualified Lenders available to any Lender, Participant or prospective Lender or Participant upon request by such Lender, Participant or prospective Lender or Participant; </w:t>
      </w:r>
      <w:r>
        <w:rPr>
          <w:rFonts w:ascii="Times New Roman" w:hAnsi="Times New Roman"/>
          <w:i/>
          <w:sz w:val="20"/>
        </w:rPr>
        <w:t xml:space="preserve">provided </w:t>
      </w:r>
      <w:r>
        <w:rPr>
          <w:rFonts w:ascii="Times New Roman" w:hAnsi="Times New Roman"/>
          <w:sz w:val="20"/>
        </w:rPr>
        <w:t xml:space="preserve">that such Lender, Participant or prospective Lender or Participant shall only make such request, to the extent and only to the extent, necessary to determine whether a proposed assignment, participation or disclosure of Information is permitted. </w:t>
      </w:r>
    </w:p>
    <w:p>
      <w:pPr>
        <w:pStyle w:val="TextBody"/>
        <w:bidi w:val="0"/>
        <w:spacing w:before="240" w:after="0"/>
        <w:jc w:val="left"/>
        <w:rPr/>
      </w:pPr>
      <w:r>
        <w:rPr/>
        <w:t>“</w:t>
      </w:r>
      <w:r>
        <w:rPr>
          <w:rFonts w:ascii="Times New Roman" w:hAnsi="Times New Roman"/>
          <w:b/>
          <w:sz w:val="20"/>
        </w:rPr>
        <w:t>Division</w:t>
      </w:r>
      <w:r>
        <w:rPr>
          <w:rFonts w:ascii="Times New Roman" w:hAnsi="Times New Roman"/>
          <w:sz w:val="20"/>
        </w:rPr>
        <w:t xml:space="preserve">” has the meaning specified in </w:t>
      </w:r>
      <w:r>
        <w:rPr>
          <w:rFonts w:ascii="Times New Roman" w:hAnsi="Times New Roman"/>
          <w:sz w:val="20"/>
          <w:u w:val="single"/>
        </w:rPr>
        <w:t>Section 1.02(d)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Dollar</w:t>
      </w:r>
      <w:r>
        <w:rPr>
          <w:rFonts w:ascii="Times New Roman" w:hAnsi="Times New Roman"/>
          <w:sz w:val="20"/>
        </w:rPr>
        <w:t>”, “</w:t>
      </w:r>
      <w:r>
        <w:rPr>
          <w:rFonts w:ascii="Times New Roman" w:hAnsi="Times New Roman"/>
          <w:b/>
          <w:sz w:val="20"/>
        </w:rPr>
        <w:t>$</w:t>
      </w:r>
      <w:r>
        <w:rPr>
          <w:rFonts w:ascii="Times New Roman" w:hAnsi="Times New Roman"/>
          <w:sz w:val="20"/>
        </w:rPr>
        <w:t>” and “</w:t>
      </w:r>
      <w:r>
        <w:rPr>
          <w:rFonts w:ascii="Times New Roman" w:hAnsi="Times New Roman"/>
          <w:b/>
          <w:sz w:val="20"/>
        </w:rPr>
        <w:t>USD</w:t>
      </w:r>
      <w:r>
        <w:rPr>
          <w:rFonts w:ascii="Times New Roman" w:hAnsi="Times New Roman"/>
          <w:sz w:val="20"/>
        </w:rPr>
        <w:t xml:space="preserve">” mean lawful money of the United States. </w:t>
      </w:r>
    </w:p>
    <w:p>
      <w:pPr>
        <w:pStyle w:val="TextBody"/>
        <w:bidi w:val="0"/>
        <w:spacing w:before="240" w:after="0"/>
        <w:jc w:val="left"/>
        <w:rPr/>
      </w:pPr>
      <w:r>
        <w:rPr/>
        <w:t>“</w:t>
      </w:r>
      <w:r>
        <w:rPr>
          <w:rFonts w:ascii="Times New Roman" w:hAnsi="Times New Roman"/>
          <w:b/>
          <w:sz w:val="20"/>
        </w:rPr>
        <w:t>Domestic Subsidiary</w:t>
      </w:r>
      <w:r>
        <w:rPr>
          <w:rFonts w:ascii="Times New Roman" w:hAnsi="Times New Roman"/>
          <w:sz w:val="20"/>
        </w:rPr>
        <w:t xml:space="preserve">” means any Subsidiary that is organized under the Laws of the United States, any state thereof or the District of Columbia.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sz w:val="20"/>
          <w:u w:val="single"/>
        </w:rPr>
        <w:t>clause (a)</w:t>
      </w:r>
      <w:r>
        <w:rPr>
          <w:rFonts w:ascii="Times New Roman" w:hAnsi="Times New Roman"/>
          <w:sz w:val="20"/>
        </w:rPr>
        <w:t xml:space="preserve"> of this definition, or (c) any financial institution established in an EEA Member Country which is a subsidiary of an institution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b/>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b/>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sz w:val="20"/>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 11.07(b)(v)</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following Persons shall not be Eligible Assignees: (a) any Defaulting Lender, and (b) so long as no Event of Default pursuant to </w:t>
      </w:r>
      <w:r>
        <w:rPr>
          <w:rFonts w:ascii="Times New Roman" w:hAnsi="Times New Roman"/>
          <w:sz w:val="20"/>
          <w:u w:val="single"/>
        </w:rPr>
        <w:t>Section 9.01(a)</w:t>
      </w:r>
      <w:r>
        <w:rPr>
          <w:rFonts w:ascii="Times New Roman" w:hAnsi="Times New Roman"/>
          <w:sz w:val="20"/>
        </w:rPr>
        <w:t xml:space="preserve"> or </w:t>
      </w:r>
      <w:r>
        <w:rPr>
          <w:rFonts w:ascii="Times New Roman" w:hAnsi="Times New Roman"/>
          <w:sz w:val="20"/>
          <w:u w:val="single"/>
        </w:rPr>
        <w:t>Section 9.01(f)</w:t>
      </w:r>
      <w:r>
        <w:rPr>
          <w:rFonts w:ascii="Times New Roman" w:hAnsi="Times New Roman"/>
          <w:sz w:val="20"/>
        </w:rPr>
        <w:t xml:space="preserve"> shall have occurred and be continuing for at least 10 days, any Disqualified Lender (other than a Net Short Lender, which shall never be an Eligible Assignee hereunder); </w:t>
      </w:r>
      <w:r>
        <w:rPr>
          <w:rFonts w:ascii="Times New Roman" w:hAnsi="Times New Roman"/>
          <w:i/>
          <w:sz w:val="20"/>
        </w:rPr>
        <w:t xml:space="preserve">provided </w:t>
      </w:r>
      <w:r>
        <w:rPr>
          <w:rFonts w:ascii="Times New Roman" w:hAnsi="Times New Roman"/>
          <w:sz w:val="20"/>
        </w:rPr>
        <w:t xml:space="preserve">that, to the extent persons become Disqualified Lenders after the Closing Date in accordance with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in the definition thereof, the inclusion of such persons as Disqualified Lenders shall not retroactively apply to prior assignments or participations made in compliance with applicable assignment or participation provisions. </w:t>
      </w:r>
    </w:p>
    <w:p>
      <w:pPr>
        <w:pStyle w:val="TextBody"/>
        <w:bidi w:val="0"/>
        <w:spacing w:before="240" w:after="0"/>
        <w:jc w:val="left"/>
        <w:rPr/>
      </w:pPr>
      <w:r>
        <w:rPr/>
        <w:t>“</w:t>
      </w:r>
      <w:r>
        <w:rPr>
          <w:rFonts w:ascii="Times New Roman" w:hAnsi="Times New Roman"/>
          <w:b/>
          <w:sz w:val="20"/>
        </w:rPr>
        <w:t>EMU</w:t>
      </w:r>
      <w:r>
        <w:rPr>
          <w:rFonts w:ascii="Times New Roman" w:hAnsi="Times New Roman"/>
          <w:sz w:val="20"/>
        </w:rPr>
        <w:t xml:space="preserve">” means the Economic and Monetary Union as contemplated in the EU Treaty. </w:t>
      </w:r>
    </w:p>
    <w:p>
      <w:pPr>
        <w:pStyle w:val="TextBody"/>
        <w:bidi w:val="0"/>
        <w:spacing w:before="240" w:after="0"/>
        <w:jc w:val="left"/>
        <w:rPr/>
      </w:pPr>
      <w:r>
        <w:rPr/>
        <w:t>“</w:t>
      </w:r>
      <w:r>
        <w:rPr>
          <w:rFonts w:ascii="Times New Roman" w:hAnsi="Times New Roman"/>
          <w:b/>
          <w:sz w:val="20"/>
        </w:rPr>
        <w:t>EMU Legislation</w:t>
      </w:r>
      <w:r>
        <w:rPr>
          <w:rFonts w:ascii="Times New Roman" w:hAnsi="Times New Roman"/>
          <w:sz w:val="20"/>
        </w:rPr>
        <w:t xml:space="preserve">” means the legislative measures of the EMU for the introduction of, changeover to, or operation of the Euro in one or more member states. </w:t>
      </w:r>
    </w:p>
    <w:p>
      <w:pPr>
        <w:pStyle w:val="TextBody"/>
        <w:bidi w:val="0"/>
        <w:spacing w:before="240" w:after="0"/>
        <w:jc w:val="left"/>
        <w:rPr/>
      </w:pPr>
      <w:r>
        <w:rPr/>
        <w:t>“</w:t>
      </w:r>
      <w:r>
        <w:rPr>
          <w:rFonts w:ascii="Times New Roman" w:hAnsi="Times New Roman"/>
          <w:b/>
          <w:sz w:val="20"/>
        </w:rPr>
        <w:t>Environmental Claim</w:t>
      </w:r>
      <w:r>
        <w:rPr>
          <w:rFonts w:ascii="Times New Roman" w:hAnsi="Times New Roman"/>
          <w:sz w:val="20"/>
        </w:rPr>
        <w:t xml:space="preserve">” means any and all administrative, regulatory or judicial actions, suits, demands, demand letters, claims, liens, notices of noncompliance or violation, or proceedings with respect to any Environmental Liability or pursuant to Environmental Law, including those (a) by any Governmental Authority for enforcement, cleanup, removal, response, remedial or other actions or damages pursuant to any Environmental Law and (b) by any Person seeking damages, contribution, indemnification, cost recovery, compensation or injunctive relief pursuant to any Environmental Law.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Laws relating to the protection of the environment or, to the extent relating to exposure to Hazardous Materials, human health. </w:t>
      </w:r>
    </w:p>
    <w:p>
      <w:pPr>
        <w:pStyle w:val="TextBody"/>
        <w:bidi w:val="0"/>
        <w:spacing w:before="240" w:after="0"/>
        <w:jc w:val="left"/>
        <w:rPr/>
      </w:pPr>
      <w:r>
        <w:rPr/>
        <w:t>“</w:t>
      </w:r>
      <w:r>
        <w:rPr>
          <w:rFonts w:ascii="Times New Roman" w:hAnsi="Times New Roman"/>
          <w:b/>
          <w:sz w:val="20"/>
        </w:rPr>
        <w:t>Environmental Liability</w:t>
      </w:r>
      <w:r>
        <w:rPr>
          <w:rFonts w:ascii="Times New Roman" w:hAnsi="Times New Roman"/>
          <w:sz w:val="20"/>
        </w:rPr>
        <w:t xml:space="preserve">” means any liability, contingent or otherwise (including any liability for damages, costs of environmental remediation, fines, penalties or indemnities, including but not limited to those assumed by contract, written agreement, or other consensual written agreement) of any Loan Party or any of its Subsidiaries directly resulting from or based upon (a) violation of any Environmental Law, (b) the generation, use, handling, transportation, storage, treatment or disposal of any Hazardous Materials, (c) exposure of any Person to any Hazardous Materials, or (d) the release or threatened release of any Hazardous Materials into the environment. </w:t>
      </w:r>
    </w:p>
    <w:p>
      <w:pPr>
        <w:pStyle w:val="TextBody"/>
        <w:bidi w:val="0"/>
        <w:spacing w:before="240" w:after="0"/>
        <w:jc w:val="left"/>
        <w:rPr/>
      </w:pPr>
      <w:r>
        <w:rPr/>
        <w:t>“</w:t>
      </w:r>
      <w:r>
        <w:rPr>
          <w:rFonts w:ascii="Times New Roman" w:hAnsi="Times New Roman"/>
          <w:b/>
          <w:sz w:val="20"/>
        </w:rPr>
        <w:t>Environmental Permit</w:t>
      </w:r>
      <w:r>
        <w:rPr>
          <w:rFonts w:ascii="Times New Roman" w:hAnsi="Times New Roman"/>
          <w:sz w:val="20"/>
        </w:rPr>
        <w:t xml:space="preserve">” means any permit, approval, identification number, license or other authorization required under or issued pursuant to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Equity Interests</w:t>
      </w:r>
      <w:r>
        <w:rPr>
          <w:rFonts w:ascii="Times New Roman" w:hAnsi="Times New Roman"/>
          <w:sz w:val="20"/>
        </w:rPr>
        <w:t xml:space="preserve">” of any Person means any and all shares of, rights to purchase or acquire, warrants (including, for the avoidance of doubt, the Jones Act Warrants), options or depositary receipts for, or other equivalents of, or partnership or other interests in (however designated), equity of such Person, including any Preferred Stock, but excluding any debt securities convertible into, or exchangeable for, such equity. </w:t>
      </w:r>
    </w:p>
    <w:p>
      <w:pPr>
        <w:pStyle w:val="TextBody"/>
        <w:bidi w:val="0"/>
        <w:spacing w:before="240" w:after="0"/>
        <w:jc w:val="left"/>
        <w:rPr/>
      </w:pPr>
      <w:r>
        <w:rPr/>
        <w:t>“</w:t>
      </w:r>
      <w:r>
        <w:rPr>
          <w:rFonts w:ascii="Times New Roman" w:hAnsi="Times New Roman"/>
          <w:b/>
          <w:sz w:val="20"/>
        </w:rPr>
        <w:t>Equity Offering</w:t>
      </w:r>
      <w:r>
        <w:rPr>
          <w:rFonts w:ascii="Times New Roman" w:hAnsi="Times New Roman"/>
          <w:sz w:val="20"/>
        </w:rPr>
        <w:t xml:space="preserve">” means (x) a sale of Equity Interests (other than through the issuance of Disqualified Equity Interests) other than (a) offerings registered on Form S-8 (or any successor form) under the Securities Act or any similar offering in other jurisdictions or other securities of the Borrower or any Parent Entity and (b) issuances of Equity Interests to any Subsidiary of the Borrower or (y) a cash equity contribution to the Borrower.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from time to time, and the rules and regulations promulgated thereunder.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any trade or business (whether or not incorporated) that together with any Loan Party is treated as a single employer within the meaning of Section 414 of the Code or Section 4001 of ERISA. For the avoidance of doubt, when any provision of this Agreement relates to a past event or period of time, the term “ERISA Affiliate” includes any Person who was, as to the time of such past event or period of time, an ERISA Affiliate within the meaning of the preceding sentence. </w:t>
      </w:r>
    </w:p>
    <w:p>
      <w:pPr>
        <w:pStyle w:val="TextBody"/>
        <w:bidi w:val="0"/>
        <w:spacing w:before="240" w:after="0"/>
        <w:jc w:val="left"/>
        <w:rPr/>
      </w:pPr>
      <w:r>
        <w:rPr/>
        <w:t>“</w:t>
      </w:r>
      <w:r>
        <w:rPr>
          <w:rFonts w:ascii="Times New Roman" w:hAnsi="Times New Roman"/>
          <w:b/>
          <w:sz w:val="20"/>
        </w:rPr>
        <w:t>ERISA Event</w:t>
      </w:r>
      <w:r>
        <w:rPr>
          <w:rFonts w:ascii="Times New Roman" w:hAnsi="Times New Roman"/>
          <w:sz w:val="20"/>
        </w:rPr>
        <w:t xml:space="preserve">” means (a) a Reportable Event with respect to a Pension Plan; (b) a withdrawal by any Loan Party or any of their respective ERISA Affiliates from a Pension Plan subject to Section 4063 of ERISA during a plan year in which it was a substantial employer (as defined in Section 4001(a)(2) of ERISA) or a cessation of operations that is treated as a termination under Section 4062(e) of ERISA; (c) a complete or partial withdrawal by any Loan Party or any of their respective ERISA Affiliates from a Multiemployer Plan, written notification of any Loan Party or any of their respective ERISA Affiliates concerning the imposition of Withdrawal Liability on it or written notification that a Multiemployer Plan is insolvent within the meaning of Title IV of ERISA or in endangered or critical status within the meaning of Section 432 of the Code or Section 305 of ERISA; (d) the filing under Section 4041(c) of ERISA of a notice of intent to terminate a Pension Plan, the treatment of a Pension Plan or Multiemployer Plan amendment as a termination under Sections 4041 or 4041A of ERISA, the commencement of proceedings by the PBGC to terminate a Pension Plan or Multiemployer Plan, or the written notification from the PBGC or a plan administrator relating to an intention to terminate or to appoint a trustee to administer any Pension Plan or Multiemployer Plan under Section 4042 of ERISA; (e) the imposition of any liability under Title IV of ERISA, other than for the payment of plan contributions or PBGC premiums due but not delinquent under Section 4007 of ERISA, upon any Loan Party; (f) the failure to satisfy the minimum funding standards (within the meaning of Section 412 of the Code or Section 302 of ERISA) with respect to any Pension Plan; (g) the application for a minimum funding waiver under Section 412 of the Code or Section 302(c) of ERISA with respect to a Pension Plan; (h) the failure by any Loan Party or any of their respective ERISA Affiliates to make any required contribution to any Pension Plan or any Multiemployer Plan; (i) the imposition of a lien on the assets of a Loan Party under Section 430(k) of the Code or Section 303(k) of ERISA with respect to any Pension Plan; or (j) a determination that any Pension Plan is in “at risk” status (within the meaning of Section 430(i) of the Code or Section 303(i)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Erroneous Payment</w:t>
      </w:r>
      <w:r>
        <w:rPr>
          <w:rFonts w:ascii="Times New Roman" w:hAnsi="Times New Roman"/>
          <w:sz w:val="20"/>
        </w:rPr>
        <w:t xml:space="preserve">” has the meaning specified in </w:t>
      </w:r>
      <w:r>
        <w:rPr>
          <w:rFonts w:ascii="Times New Roman" w:hAnsi="Times New Roman"/>
          <w:sz w:val="20"/>
          <w:u w:val="single"/>
        </w:rPr>
        <w:t>Section 10.17(a)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Erroneous Payment Deficiency Assignment</w:t>
      </w:r>
      <w:r>
        <w:rPr>
          <w:rFonts w:ascii="Times New Roman" w:hAnsi="Times New Roman"/>
          <w:sz w:val="20"/>
        </w:rPr>
        <w:t xml:space="preserve">” has the meaning specified in </w:t>
      </w:r>
      <w:r>
        <w:rPr>
          <w:rFonts w:ascii="Times New Roman" w:hAnsi="Times New Roman"/>
          <w:sz w:val="20"/>
          <w:u w:val="single"/>
        </w:rPr>
        <w:t>Section 10.17(d)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Erroneous Payment Impacted Loan</w:t>
      </w:r>
      <w:r>
        <w:rPr>
          <w:rFonts w:ascii="Times New Roman" w:hAnsi="Times New Roman"/>
          <w:sz w:val="20"/>
        </w:rPr>
        <w:t xml:space="preserve">” has the meaning specified in </w:t>
      </w:r>
      <w:r>
        <w:rPr>
          <w:rFonts w:ascii="Times New Roman" w:hAnsi="Times New Roman"/>
          <w:sz w:val="20"/>
          <w:u w:val="single"/>
        </w:rPr>
        <w:t>Section 10.17(d)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Erroneous Payment Return Deficiency</w:t>
      </w:r>
      <w:r>
        <w:rPr>
          <w:rFonts w:ascii="Times New Roman" w:hAnsi="Times New Roman"/>
          <w:sz w:val="20"/>
        </w:rPr>
        <w:t xml:space="preserve">” has the meaning specified in </w:t>
      </w:r>
      <w:r>
        <w:rPr>
          <w:rFonts w:ascii="Times New Roman" w:hAnsi="Times New Roman"/>
          <w:sz w:val="20"/>
          <w:u w:val="single"/>
        </w:rPr>
        <w:t>Section 10.17(d)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Erroneous Payment Subrogation Rights</w:t>
      </w:r>
      <w:r>
        <w:rPr>
          <w:rFonts w:ascii="Times New Roman" w:hAnsi="Times New Roman"/>
          <w:sz w:val="20"/>
        </w:rPr>
        <w:t xml:space="preserve">” has the meaning specified in </w:t>
      </w:r>
      <w:r>
        <w:rPr>
          <w:rFonts w:ascii="Times New Roman" w:hAnsi="Times New Roman"/>
          <w:sz w:val="20"/>
          <w:u w:val="single"/>
        </w:rPr>
        <w:t>Section 10.17(d)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ESG</w:t>
      </w:r>
      <w:r>
        <w:rPr>
          <w:rFonts w:ascii="Times New Roman" w:hAnsi="Times New Roman"/>
          <w:sz w:val="20"/>
        </w:rPr>
        <w:t xml:space="preserve">” has the meaning specified in the definition of “Builder”. </w:t>
      </w:r>
    </w:p>
    <w:p>
      <w:pPr>
        <w:pStyle w:val="TextBody"/>
        <w:bidi w:val="0"/>
        <w:spacing w:before="240" w:after="0"/>
        <w:jc w:val="left"/>
        <w:rPr/>
      </w:pPr>
      <w:r>
        <w:rPr/>
        <w:t>“</w:t>
      </w:r>
      <w:r>
        <w:rPr>
          <w:rFonts w:ascii="Times New Roman" w:hAnsi="Times New Roman"/>
          <w:b/>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sz w:val="20"/>
        </w:rPr>
        <w:t>EU Treaty</w:t>
      </w:r>
      <w:r>
        <w:rPr>
          <w:rFonts w:ascii="Times New Roman" w:hAnsi="Times New Roman"/>
          <w:sz w:val="20"/>
        </w:rPr>
        <w:t xml:space="preserve">” means the Treaty on European Union. </w:t>
      </w:r>
    </w:p>
    <w:p>
      <w:pPr>
        <w:pStyle w:val="TextBody"/>
        <w:bidi w:val="0"/>
        <w:spacing w:before="240" w:after="0"/>
        <w:jc w:val="left"/>
        <w:rPr/>
      </w:pPr>
      <w:r>
        <w:rPr/>
        <w:t>“</w:t>
      </w:r>
      <w:r>
        <w:rPr>
          <w:rFonts w:ascii="Times New Roman" w:hAnsi="Times New Roman"/>
          <w:b/>
          <w:sz w:val="20"/>
        </w:rPr>
        <w:t>Euro</w:t>
      </w:r>
      <w:r>
        <w:rPr>
          <w:rFonts w:ascii="Times New Roman" w:hAnsi="Times New Roman"/>
          <w:sz w:val="20"/>
        </w:rPr>
        <w:t>” and “</w:t>
      </w:r>
      <w:r>
        <w:rPr>
          <w:rFonts w:ascii="Times New Roman" w:hAnsi="Times New Roman"/>
          <w:b/>
          <w:sz w:val="20"/>
        </w:rPr>
        <w:t></w:t>
      </w:r>
      <w:r>
        <w:rPr>
          <w:rFonts w:ascii="Times New Roman" w:hAnsi="Times New Roman"/>
          <w:sz w:val="20"/>
        </w:rPr>
        <w:t xml:space="preserve">” mean the single currency of the Participating Member States introduced in accordance with the provisions of Article 109(i)4 of the EU Treaty.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has the meaning specified in </w:t>
      </w:r>
      <w:r>
        <w:rPr>
          <w:rFonts w:ascii="Times New Roman" w:hAnsi="Times New Roman"/>
          <w:sz w:val="20"/>
          <w:u w:val="single"/>
        </w:rPr>
        <w:t>Section 9.01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SEC promulgated thereunder, as amended. </w:t>
      </w:r>
    </w:p>
    <w:p>
      <w:pPr>
        <w:pStyle w:val="TextBody"/>
        <w:bidi w:val="0"/>
        <w:spacing w:before="240" w:after="0"/>
        <w:jc w:val="left"/>
        <w:rPr/>
      </w:pPr>
      <w:r>
        <w:rPr/>
        <w:t>“</w:t>
      </w:r>
      <w:r>
        <w:rPr>
          <w:rFonts w:ascii="Times New Roman" w:hAnsi="Times New Roman"/>
          <w:b/>
          <w:sz w:val="20"/>
        </w:rPr>
        <w:t>Exchange Rate</w:t>
      </w:r>
      <w:r>
        <w:rPr>
          <w:rFonts w:ascii="Times New Roman" w:hAnsi="Times New Roman"/>
          <w:sz w:val="20"/>
        </w:rPr>
        <w:t xml:space="preserve">” means, on any date with respect to any currency, the rate at which such currency may be exchanged into any other currency, as set forth at approximately 11:00 a.m., London time, on such date on the applicable Bloomberg page for such currency. In the event that such rate does not appear on any Bloomberg page, the Exchange Rate shall be determined by reference to such other publicly available service for displaying the exchange rates as may be selected by the Administrative Agent, or, in the event no such service is selected,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the relevant currency for delivery two (2) Business Days later; </w:t>
      </w:r>
      <w:r>
        <w:rPr>
          <w:rFonts w:ascii="Times New Roman" w:hAnsi="Times New Roman"/>
          <w:i/>
          <w:sz w:val="20"/>
        </w:rPr>
        <w:t xml:space="preserve">provided </w:t>
      </w:r>
      <w:r>
        <w:rPr>
          <w:rFonts w:ascii="Times New Roman" w:hAnsi="Times New Roman"/>
          <w:sz w:val="20"/>
        </w:rPr>
        <w:t xml:space="preserve">that, if at the time of any such determination, for any reason no such spot rate is being quoted, the Administrative Agent, after consultation with the Borrower, may use any reasonable method that it deems appropriate to determine such rate, and such determination shall be presumed correct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Excluded Account</w:t>
      </w:r>
      <w:r>
        <w:rPr>
          <w:rFonts w:ascii="Times New Roman" w:hAnsi="Times New Roman"/>
          <w:sz w:val="20"/>
        </w:rPr>
        <w:t xml:space="preserve">” means each of the following Deposit Accounts and Securities Accounts of the Borrower or a Guarantor (and all cash, Cash Equivalents and other securities or investments credited thereto or deposited therein): (a) Deposit Accounts and Securities Accounts exclusively used for withholding, payroll, payroll Taxes, workers compensation and employee benefits, or withholding, sales, use, value added or similar taxes, (b) Deposit Accounts and Securities Accounts held in trust for a third party; </w:t>
      </w:r>
      <w:r>
        <w:rPr>
          <w:rFonts w:ascii="Times New Roman" w:hAnsi="Times New Roman"/>
          <w:i/>
          <w:sz w:val="20"/>
        </w:rPr>
        <w:t>provided</w:t>
      </w:r>
      <w:r>
        <w:rPr>
          <w:rFonts w:ascii="Times New Roman" w:hAnsi="Times New Roman"/>
          <w:sz w:val="20"/>
        </w:rPr>
        <w:t xml:space="preserve">, that such accounts consist solely of funds set aside for such purpose, (c) escrow accounts that have an overnight balance of which in the aggregate, together with the overnight balance of all such other escrow accounts excluded pursuant to this </w:t>
      </w:r>
      <w:r>
        <w:rPr>
          <w:rFonts w:ascii="Times New Roman" w:hAnsi="Times New Roman"/>
          <w:sz w:val="20"/>
          <w:u w:val="single"/>
        </w:rPr>
        <w:t>clause (c)</w:t>
      </w:r>
      <w:r>
        <w:rPr>
          <w:rFonts w:ascii="Times New Roman" w:hAnsi="Times New Roman"/>
          <w:sz w:val="20"/>
        </w:rPr>
        <w:t xml:space="preserve">, do not exceed $5,000,000, (d) each Deposit Account holding the cash constituting cash collateral in respect of letters of credit permitted to be issued pursuant to this Agreement or </w:t>
      </w:r>
      <w:r>
        <w:rPr>
          <w:rFonts w:ascii="Times New Roman" w:hAnsi="Times New Roman"/>
          <w:sz w:val="20"/>
          <w:u w:val="single"/>
        </w:rPr>
        <w:t>Section 7.03</w:t>
      </w:r>
      <w:r>
        <w:rPr>
          <w:rFonts w:ascii="Times New Roman" w:hAnsi="Times New Roman"/>
          <w:sz w:val="20"/>
        </w:rPr>
        <w:t xml:space="preserve"> and other cash collateral permitted under </w:t>
      </w:r>
      <w:r>
        <w:rPr>
          <w:rFonts w:ascii="Times New Roman" w:hAnsi="Times New Roman"/>
          <w:sz w:val="20"/>
          <w:u w:val="single"/>
        </w:rPr>
        <w:t>Section 7.01(k)(i)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xml:space="preserve">, </w:t>
      </w:r>
      <w:r>
        <w:rPr>
          <w:rFonts w:ascii="Times New Roman" w:hAnsi="Times New Roman"/>
          <w:sz w:val="20"/>
          <w:u w:val="single"/>
        </w:rPr>
        <w:t>Section 7.01(ii)</w:t>
      </w:r>
      <w:r>
        <w:rPr>
          <w:rFonts w:ascii="Times New Roman" w:hAnsi="Times New Roman"/>
          <w:sz w:val="20"/>
        </w:rPr>
        <w:t xml:space="preserve"> or </w:t>
      </w:r>
      <w:r>
        <w:rPr>
          <w:rFonts w:ascii="Times New Roman" w:hAnsi="Times New Roman"/>
          <w:sz w:val="20"/>
          <w:u w:val="single"/>
        </w:rPr>
        <w:t>Section 7.01(mm)</w:t>
      </w:r>
      <w:r>
        <w:rPr>
          <w:rFonts w:ascii="Times New Roman" w:hAnsi="Times New Roman"/>
          <w:sz w:val="20"/>
        </w:rPr>
        <w:t xml:space="preserve">, (e) any zero balance accounts so long as the relevant Borrower or Guarantor shall ACH or wire transfer no less frequently than daily to a Blocked Account all amounts on deposit in each such zero balance account, (f) any bank account opened in, or under the laws of, a jurisdiction outside of the United States, (g) those Deposit Accounts and Securities Accounts that have an overnight balance of which in the aggregate, together with the overnight balance of all such other Deposit Accounts, Securities Accounts and Commodity Accounts excluded pursuant to this </w:t>
      </w:r>
      <w:r>
        <w:rPr>
          <w:rFonts w:ascii="Times New Roman" w:hAnsi="Times New Roman"/>
          <w:sz w:val="20"/>
          <w:u w:val="single"/>
        </w:rPr>
        <w:t>clause (g)</w:t>
      </w:r>
      <w:r>
        <w:rPr>
          <w:rFonts w:ascii="Times New Roman" w:hAnsi="Times New Roman"/>
          <w:sz w:val="20"/>
        </w:rPr>
        <w:t xml:space="preserve"> and </w:t>
      </w:r>
      <w:r>
        <w:rPr>
          <w:rFonts w:ascii="Times New Roman" w:hAnsi="Times New Roman"/>
          <w:sz w:val="20"/>
          <w:u w:val="single"/>
        </w:rPr>
        <w:t>clause (i)</w:t>
      </w:r>
      <w:r>
        <w:rPr>
          <w:rFonts w:ascii="Times New Roman" w:hAnsi="Times New Roman"/>
          <w:sz w:val="20"/>
        </w:rPr>
        <w:t xml:space="preserve"> that do not exceed $5,000,000, (h) any Deposit Accounts and Securities Accounts holding exclusively Subsidized Indebtedness Specified Cash and (i) other Deposit Accounts and Securities Accounts, provided that the aggregate balance in such accounts excluded pursuant to this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clause (g)</w:t>
      </w:r>
      <w:r>
        <w:rPr>
          <w:rFonts w:ascii="Times New Roman" w:hAnsi="Times New Roman"/>
          <w:sz w:val="20"/>
        </w:rPr>
        <w:t xml:space="preserve"> at the end of any Business Day shall not exceed $5.0 million in the aggregate. </w:t>
      </w:r>
    </w:p>
    <w:p>
      <w:pPr>
        <w:pStyle w:val="TextBody"/>
        <w:bidi w:val="0"/>
        <w:spacing w:before="240" w:after="0"/>
        <w:jc w:val="left"/>
        <w:rPr/>
      </w:pPr>
      <w:r>
        <w:rPr/>
        <w:t>“</w:t>
      </w:r>
      <w:r>
        <w:rPr>
          <w:rFonts w:ascii="Times New Roman" w:hAnsi="Times New Roman"/>
          <w:b/>
          <w:sz w:val="20"/>
        </w:rPr>
        <w:t>Excluded Asset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asset (including, to the extent applicable, any equipment or inventory owned by the Borrower or a Guarantor that is subject to a Permitted Lien pursuant to </w:t>
      </w:r>
      <w:r>
        <w:rPr>
          <w:rFonts w:ascii="Times New Roman" w:hAnsi="Times New Roman"/>
          <w:sz w:val="20"/>
          <w:u w:val="single"/>
        </w:rPr>
        <w:t>Section 7.01(n)</w:t>
      </w:r>
      <w:r>
        <w:rPr>
          <w:rFonts w:ascii="Times New Roman" w:hAnsi="Times New Roman"/>
          <w:sz w:val="20"/>
        </w:rPr>
        <w:t xml:space="preserve">), lease, license, franchise, charter, authorization, contract or agreement to which the Borrower or a Guarantor is a party, together with any rights or interest thereunder, in each case, if and to the extent security interests therein (A) are prohibited by or in violation of any applicable law, (B) require any governmental consent that has not been obtained or consent of a third party (that is not the Borrower or a Restricted Subsidiary) that has not been obtained pursuant to any contract or agreement binding on such asset at the time of its acquisition and not entered into in contemplation of such acquisition, (C) in the case of any lease, license, franchise, charter, authorization, contract or agreement, are prohibited by or in violation of a term, provision or condition of any such lease, license, franchise, charter, authorization, contract or agreement to which the Borrower or a Guarantor is a party or create a right of termination in favor of any other party thereto (other than the Borrower or a Restricted Subsidiary), except, in the case of each of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to the extent that such prohibition or restriction would be rendered ineffective under the Uniform Commercial Code or other applicable law or principle of equity or (D) in the case of any property subject to a lien securing permitted purchase money indebtedness, capitalized lease obligation indebtedness, government or quasi-government provided, supported, guaranteed or subsidized Indebtedness or similar arrangement, but only to the extent that a grant of a security interest therein to secure the Loans would violate or invalidate such purchase money, capital lease, government or quasi-government provided, supported, guaranteed or subsidized Indebtedness or similar arrangement (including as a result of any requirement to obtain the consent, approval, license or authorization of any third party unless such consent has been obtained (and it being understood and agreed that neither the Borrower nor any Guarantor shall have any obligation to procure any such consent, approval,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authorization)) or create a right of termination in favor of any other party thereto (other than the Borrower, a Guarantor or a Restricted Subsidiary) after giving effect to the applicable anti-assignment provisions of the Uniform Commercial Code;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the foregoing, the Collateral includes, at such time as the contractual or legal prohibition shall no longer be applicable, and, to the extent severable, any portion of such asset, lease, license, franchise, charter, authorization, contract or agreement not subject to the prohibitions specified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above (in each case, after giving effect to the applicable anti-assignment provisions of the Uniform Commercial Code or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the Excluded Equity Interests and any assets of any Subsidiary that is not a Guarantor;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any “intent-to-use” trademark applications prior to the filing and acceptance of a “Statement of Use” pursuant to Section 1(d) of the Lanham Act or an “Amendment to Allege Use” pursuant to Section 1(c) of the Lanham Act with respect thereto, to the extent that, and solely during the period, if any, in which, the grant of a security interest therein would impair the validity or enforceability of any registration that issues from such intent-to-use application under applicable federal law (it being understood that, after such period, such intent-to-use application will automatically be included in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(e) (A) any leasehold interest (including any ground lease interest) in real property, including leasehold improvements, (B) any fee interest in owned real property, and (C) any fixtures affixed to any real property to the extent a security interest in such fixtures may not be perfected by the filing of a Uniform Commercial Code financing statement in the jurisdiction of organization of the applicable Borrower or Guarantor; </w:t>
      </w:r>
    </w:p>
    <w:p>
      <w:pPr>
        <w:pStyle w:val="TextBody"/>
        <w:bidi w:val="0"/>
        <w:spacing w:before="120" w:after="0"/>
        <w:jc w:val="left"/>
        <w:rPr>
          <w:rFonts w:ascii="Times New Roman" w:hAnsi="Times New Roman"/>
          <w:sz w:val="20"/>
        </w:rPr>
      </w:pPr>
      <w:r>
        <w:rPr>
          <w:rFonts w:ascii="Times New Roman" w:hAnsi="Times New Roman"/>
          <w:sz w:val="20"/>
        </w:rPr>
        <w:t xml:space="preserve">(f) any asset (other than Vessel Collateral) subject to any notice or consent of governmental authorities under the Federal Assignment of Claims Act or any similar or commensurate legislation under the Laws of the United States or a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(g) (A) as-extracted collateral, (B) timber to be cut, (C) farm products, (D) manufactured homes and (E) healthcare insurance receivables; </w:t>
      </w:r>
    </w:p>
    <w:p>
      <w:pPr>
        <w:pStyle w:val="TextBody"/>
        <w:bidi w:val="0"/>
        <w:spacing w:before="120" w:after="0"/>
        <w:jc w:val="left"/>
        <w:rPr>
          <w:rFonts w:ascii="Times New Roman" w:hAnsi="Times New Roman"/>
          <w:sz w:val="20"/>
        </w:rPr>
      </w:pPr>
      <w:r>
        <w:rPr>
          <w:rFonts w:ascii="Times New Roman" w:hAnsi="Times New Roman"/>
          <w:sz w:val="20"/>
        </w:rPr>
        <w:t xml:space="preserve">(h) any particular asset, if the pledge thereof or the security interest therein would result in material adverse Tax consequences to any Parent Entity, the Borrower or any Guarantor as reasonably determined by the Borrower in good faith in consultation with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(j) any specifically identified asset with respect to which the Administrative Agent has determined in its reasonable judgement (in consultation with the Borrower) that the costs of obtaining, perfecting or maintaining a security interest or pledge in such asset outweighs the benefit to be obtained on account thereof (including if such actions exceed the fair market value thereof, as determined by the Borrower in its reasonable judgement) or the practical benefit to the Lenders afforded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letter-of-credit rights, except to the extent constituting a supporting obligation for other Collateral as to which perfection of the security interest in such other Collateral is accomplished by the filing of UCC-1 financing statements; </w:t>
      </w:r>
    </w:p>
    <w:p>
      <w:pPr>
        <w:pStyle w:val="TextBody"/>
        <w:bidi w:val="0"/>
        <w:spacing w:before="120" w:after="0"/>
        <w:jc w:val="left"/>
        <w:rPr>
          <w:rFonts w:ascii="Times New Roman" w:hAnsi="Times New Roman"/>
          <w:sz w:val="20"/>
        </w:rPr>
      </w:pPr>
      <w:r>
        <w:rPr>
          <w:rFonts w:ascii="Times New Roman" w:hAnsi="Times New Roman"/>
          <w:sz w:val="20"/>
        </w:rPr>
        <w:t xml:space="preserve">(l) commercial tort claims (i) existing as of the date hereof and (ii) arising after the Closing Date where, in the case of this clause (ii), the amount of the damages reasonably expected to be realized by the applicable Borrower or Guarantor (as determined by the Borrower in good faith) is not in excess of an amount equal to the greater of (a) $40.0 million and (b) an amount equal to 5.0% of the Borrower’s Consolidated Net Tangible Assets determined as of the end of the Borrower’s most recently completed fiscal quarter for which internal financial statements are available; </w:t>
      </w:r>
    </w:p>
    <w:p>
      <w:pPr>
        <w:pStyle w:val="TextBody"/>
        <w:bidi w:val="0"/>
        <w:spacing w:before="120" w:after="0"/>
        <w:jc w:val="left"/>
        <w:rPr>
          <w:rFonts w:ascii="Times New Roman" w:hAnsi="Times New Roman"/>
          <w:sz w:val="20"/>
        </w:rPr>
      </w:pPr>
      <w:r>
        <w:rPr>
          <w:rFonts w:ascii="Times New Roman" w:hAnsi="Times New Roman"/>
          <w:sz w:val="20"/>
        </w:rPr>
        <w:t xml:space="preserve">(m) motor vehicles, aircraft, recreational vessels and other assets (other than Vessels (other than recreational vessels)) subject to certificates of title or ownership (including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the Borrower or Guarantor under Section 9-307 of the Uniform Commercial Code) of the applicable Borrower or Guarantor; </w:t>
      </w:r>
    </w:p>
    <w:p>
      <w:pPr>
        <w:pStyle w:val="TextBody"/>
        <w:bidi w:val="0"/>
        <w:spacing w:before="120" w:after="0"/>
        <w:jc w:val="left"/>
        <w:rPr>
          <w:rFonts w:ascii="Times New Roman" w:hAnsi="Times New Roman"/>
          <w:sz w:val="20"/>
        </w:rPr>
      </w:pPr>
      <w:r>
        <w:rPr>
          <w:rFonts w:ascii="Times New Roman" w:hAnsi="Times New Roman"/>
          <w:sz w:val="20"/>
        </w:rPr>
        <w:t xml:space="preserve">(n) any Excluded Accounts; </w:t>
      </w:r>
    </w:p>
    <w:p>
      <w:pPr>
        <w:pStyle w:val="TextBody"/>
        <w:bidi w:val="0"/>
        <w:spacing w:before="120" w:after="0"/>
        <w:jc w:val="left"/>
        <w:rPr>
          <w:rFonts w:ascii="Times New Roman" w:hAnsi="Times New Roman"/>
          <w:sz w:val="20"/>
        </w:rPr>
      </w:pPr>
      <w:r>
        <w:rPr>
          <w:rFonts w:ascii="Times New Roman" w:hAnsi="Times New Roman"/>
          <w:sz w:val="20"/>
        </w:rPr>
        <w:t xml:space="preserve">(o) any Excluded Vessels; </w:t>
      </w:r>
    </w:p>
    <w:p>
      <w:pPr>
        <w:pStyle w:val="TextBody"/>
        <w:bidi w:val="0"/>
        <w:spacing w:before="120" w:after="0"/>
        <w:jc w:val="left"/>
        <w:rPr>
          <w:rFonts w:ascii="Times New Roman" w:hAnsi="Times New Roman"/>
          <w:sz w:val="20"/>
        </w:rPr>
      </w:pPr>
      <w:r>
        <w:rPr>
          <w:rFonts w:ascii="Times New Roman" w:hAnsi="Times New Roman"/>
          <w:sz w:val="20"/>
        </w:rPr>
        <w:t xml:space="preserve">(p) any foreign assets and assets located in or governed by any non-U.S. jurisdiction or agreement (other than stock certificates otherwise required to be pledged and other than Vessels flagged under an Approved Flag Jurisdiction if the Borrower has expressly elected to include such Vessel as Vessel Collateral) or credit support with respect to such foreign assets or any property or assets owned by a FSHCO, Foreign Subsidiary, Subsidiary of a FSHCO or Foreign Subsidiary, or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(q) any asset (other than any Vessel Collateral) subject to any notice, consent or other action of or in respect of governmental authorities under the Federal Assignment of Claims Act or any similar or commensurate legislation under the Laws of the United States or a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(r) any assets acquired pursuant to an acquisition, merger, consolidation or other Investments after the Closing Date permitted hereunder that are financed by or constitute collateral in respect of Acquired Indebtedness permitted hereunder or that are prohibited from having a Lien granted thereon by any enforceable contract or other agreement (in each case, binding on the assets at the time of such consummation and not created or entered into in contemplation thereof), solely to the extent and for so long as such contract or other agreement (or a permitted refinancing or replacement thereof) finances, is secured by or prohibits such security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Borrower, in its sole discretion may (upon written notice to the Collateral Trustee) cause any assets (including Vessels) that otherwise qualify as Excluded Assets under any of the clauses above to become Collateral and thereafter such assets shall not constitute “Excluded Assets” (or, if applicable, Excluded Vessels) until such time as the Lien in such assets is released in accordance with the terms of this Agreement, the applicable Collateral Document or the applicable Intercreditor Agreement,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Excluded Assets referred to above shall not include any proceeds or receivables of any such Excluded Asset (except to the extent such proceeds or receivables constitute Excluded Assets). For the avoidance of doubt, the foregoing is subject to the Permitted Reflagging Transactions. </w:t>
      </w:r>
    </w:p>
    <w:p>
      <w:pPr>
        <w:pStyle w:val="TextBody"/>
        <w:bidi w:val="0"/>
        <w:spacing w:before="240" w:after="0"/>
        <w:jc w:val="left"/>
        <w:rPr/>
      </w:pPr>
      <w:r>
        <w:rPr/>
        <w:t>“</w:t>
      </w:r>
      <w:r>
        <w:rPr>
          <w:rFonts w:ascii="Times New Roman" w:hAnsi="Times New Roman"/>
          <w:b/>
          <w:sz w:val="20"/>
        </w:rPr>
        <w:t>Excluded Equity Interests</w:t>
      </w:r>
      <w:r>
        <w:rPr>
          <w:rFonts w:ascii="Times New Roman" w:hAnsi="Times New Roman"/>
          <w:sz w:val="20"/>
        </w:rPr>
        <w:t xml:space="preserve">” has the meaning specified in the Collateral Agreement. </w:t>
      </w:r>
    </w:p>
    <w:p>
      <w:pPr>
        <w:pStyle w:val="TextBody"/>
        <w:bidi w:val="0"/>
        <w:spacing w:before="240" w:after="0"/>
        <w:jc w:val="left"/>
        <w:rPr/>
      </w:pPr>
      <w:r>
        <w:rPr/>
        <w:t>“</w:t>
      </w:r>
      <w:r>
        <w:rPr>
          <w:rFonts w:ascii="Times New Roman" w:hAnsi="Times New Roman"/>
          <w:b/>
          <w:sz w:val="20"/>
        </w:rPr>
        <w:t>Excluded Foreign Flag Vessel</w:t>
      </w:r>
      <w:r>
        <w:rPr>
          <w:rFonts w:ascii="Times New Roman" w:hAnsi="Times New Roman"/>
          <w:sz w:val="20"/>
        </w:rPr>
        <w:t xml:space="preserve">” means any Vessel that is registered under the laws and flag of an Approved Flag Jurisdiction other than the United States of America or is a U.S. Non-Jones Act Vessel (a) as of the Closing Date, (b) if acquired by the Borrower or a Restricted Subsidiary after the Closing Date from a Person other than the Borrower or a Restricted Subsidiary, as of the date of such acquisition or (c) as of any date after the Closing Date if (i) (w) on a pro forma basis, following the reflagging of such Vessel, the Term Loan Collateral Release Ratio is less than 30% (or if the Term Loan Collateral Release Ratio is greater than 30%, the Administrative Agent (or, if required by </w:t>
      </w:r>
      <w:r>
        <w:rPr>
          <w:rFonts w:ascii="Times New Roman" w:hAnsi="Times New Roman"/>
          <w:sz w:val="20"/>
          <w:u w:val="single"/>
        </w:rPr>
        <w:t>Section 11.01(b)(v)</w:t>
      </w:r>
      <w:r>
        <w:rPr>
          <w:rFonts w:ascii="Times New Roman" w:hAnsi="Times New Roman"/>
          <w:sz w:val="20"/>
        </w:rPr>
        <w:t xml:space="preserve">, all Lenders) shall have consented to such reflagging), (x) the Borrower or a Guarantor shall designate a Substitute Vessel (or Substitute Vessels) with a Vessel Collateral Value Amount that is equal or greater than the Vessel Collateral Value Amount for such Vessel so reflagged pursuant to the terms of </w:t>
      </w:r>
      <w:r>
        <w:rPr>
          <w:rFonts w:ascii="Times New Roman" w:hAnsi="Times New Roman"/>
          <w:sz w:val="20"/>
          <w:u w:val="single"/>
        </w:rPr>
        <w:t>Section 2.03(f)</w:t>
      </w:r>
      <w:r>
        <w:rPr>
          <w:rFonts w:ascii="Times New Roman" w:hAnsi="Times New Roman"/>
          <w:sz w:val="20"/>
        </w:rPr>
        <w:t xml:space="preserve"> hereof, (y) the Borrower or a Guarantor shall pay to the Administrative Agent (for the benefit of the Lenders) an amount equal to the Release Value of such Vessel so reflagged, plus the applicable Prepayment Fee on the amount paid to the Administrative Agent or (z) the Borrower shall do a combination of clauses (y) and (x) such that the Payment Percentage and Substitution Percentage equal at least 100% (plus the applicable Prepayment Fee on the amount so paid to the Administrative Agent) and (ii) a reflagging of Vessel Collateral is, in the good faith judgment of the Borrower, necessary or desirable in order to pursue customer opportunities in non-U.S. jurisdictions. </w:t>
      </w:r>
    </w:p>
    <w:p>
      <w:pPr>
        <w:pStyle w:val="TextBody"/>
        <w:bidi w:val="0"/>
        <w:spacing w:before="240" w:after="0"/>
        <w:jc w:val="left"/>
        <w:rPr/>
      </w:pPr>
      <w:r>
        <w:rPr/>
        <w:t>“</w:t>
      </w:r>
      <w:r>
        <w:rPr>
          <w:rFonts w:ascii="Times New Roman" w:hAnsi="Times New Roman"/>
          <w:b/>
          <w:sz w:val="20"/>
        </w:rPr>
        <w:t>Excluded Subsidiary</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Restricted Subsidiary that is not a wholly-owned Restricted Subsidiary of the Borrower or a Guarantor, </w:t>
      </w:r>
    </w:p>
    <w:p>
      <w:pPr>
        <w:pStyle w:val="TextBody"/>
        <w:bidi w:val="0"/>
        <w:spacing w:before="120" w:after="0"/>
        <w:jc w:val="left"/>
        <w:rPr>
          <w:rFonts w:ascii="Times New Roman" w:hAnsi="Times New Roman"/>
          <w:sz w:val="20"/>
        </w:rPr>
      </w:pPr>
      <w:r>
        <w:rPr>
          <w:rFonts w:ascii="Times New Roman" w:hAnsi="Times New Roman"/>
          <w:sz w:val="20"/>
        </w:rPr>
        <w:t xml:space="preserve">(b) any (i) FSHCO, (ii) Foreign Subsidiary or (iii) any Restricted Subsidiary of any FSHCO or Foreign Subsidiary, </w:t>
      </w:r>
    </w:p>
    <w:p>
      <w:pPr>
        <w:pStyle w:val="TextBody"/>
        <w:bidi w:val="0"/>
        <w:spacing w:before="120" w:after="0"/>
        <w:jc w:val="left"/>
        <w:rPr>
          <w:rFonts w:ascii="Times New Roman" w:hAnsi="Times New Roman"/>
          <w:sz w:val="20"/>
        </w:rPr>
      </w:pPr>
      <w:r>
        <w:rPr>
          <w:rFonts w:ascii="Times New Roman" w:hAnsi="Times New Roman"/>
          <w:sz w:val="20"/>
        </w:rPr>
        <w:t>(c) any Restricted Subsidiary that is prohibited or restricted by applicable Law from providing a Guaranty or by a binding contractual obligation existing on the Closing Date or at the time of the acquisition of such Restricted Subsidiary (and not incurred in contemplation of the Closing Date or such acquisition) from providing a Guaranty (</w:t>
      </w:r>
      <w:r>
        <w:rPr>
          <w:rFonts w:ascii="Times New Roman" w:hAnsi="Times New Roman"/>
          <w:i/>
          <w:sz w:val="20"/>
        </w:rPr>
        <w:t xml:space="preserve">provided </w:t>
      </w:r>
      <w:r>
        <w:rPr>
          <w:rFonts w:ascii="Times New Roman" w:hAnsi="Times New Roman"/>
          <w:sz w:val="20"/>
        </w:rPr>
        <w:t xml:space="preserve">that such contractual obligation is not entered into by the Borrower or its Restricted Subsidiaries principally for the purpose of qualifying as an “Excluded Subsidiary” under this definition) or if such Guaranty would require governmental (including regulatory) or third party (other than the Borrower or a Restricted Subsidiary) consent, approval, license or authorization, unless such consent, approval, license or authorization has been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 xml:space="preserve">(e) any Restricted Subsidiary that is a not-for-profit organization, </w:t>
      </w:r>
    </w:p>
    <w:p>
      <w:pPr>
        <w:pStyle w:val="TextBody"/>
        <w:bidi w:val="0"/>
        <w:spacing w:before="120" w:after="0"/>
        <w:jc w:val="left"/>
        <w:rPr>
          <w:rFonts w:ascii="Times New Roman" w:hAnsi="Times New Roman"/>
          <w:sz w:val="20"/>
        </w:rPr>
      </w:pPr>
      <w:r>
        <w:rPr>
          <w:rFonts w:ascii="Times New Roman" w:hAnsi="Times New Roman"/>
          <w:sz w:val="20"/>
        </w:rPr>
        <w:t xml:space="preserve">(f) any Captive Insurance Subsidiary, </w:t>
      </w:r>
    </w:p>
    <w:p>
      <w:pPr>
        <w:pStyle w:val="TextBody"/>
        <w:bidi w:val="0"/>
        <w:spacing w:before="120" w:after="0"/>
        <w:jc w:val="left"/>
        <w:rPr>
          <w:rFonts w:ascii="Times New Roman" w:hAnsi="Times New Roman"/>
          <w:sz w:val="20"/>
        </w:rPr>
      </w:pPr>
      <w:r>
        <w:rPr>
          <w:rFonts w:ascii="Times New Roman" w:hAnsi="Times New Roman"/>
          <w:sz w:val="20"/>
        </w:rPr>
        <w:t xml:space="preserve">(g) any other Restricted Subsidiary with respect to which, as reasonably determined by the Borrower in good faith and in consultation with the Administrative Agent, the cost or other consequences (including any material adverse tax consequences) of providing the Guaranty shall be excessive in view of the benefits to be obtained by the Lenders therefrom, </w:t>
      </w:r>
    </w:p>
    <w:p>
      <w:pPr>
        <w:pStyle w:val="TextBody"/>
        <w:bidi w:val="0"/>
        <w:spacing w:before="120" w:after="0"/>
        <w:jc w:val="left"/>
        <w:rPr>
          <w:rFonts w:ascii="Times New Roman" w:hAnsi="Times New Roman"/>
          <w:sz w:val="20"/>
        </w:rPr>
      </w:pPr>
      <w:r>
        <w:rPr>
          <w:rFonts w:ascii="Times New Roman" w:hAnsi="Times New Roman"/>
          <w:sz w:val="20"/>
        </w:rPr>
        <w:t xml:space="preserve">(h) any other Restricted Subsidiary to the extent the provision of a guarantee by such Restricted Subsidiary would result in material adverse Tax consequences to any Parent Entity (to the extent such material adverse Tax consequences are related to its ownership of the Equity Interests in the Borrower and its subsidiaries), the Borrower or any of their subsidiaries as reasonably determined by the Borrower in good faith and in consultation with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any Unrestricted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(j) any Immaterial Subsidiary; </w:t>
      </w:r>
    </w:p>
    <w:p>
      <w:pPr>
        <w:pStyle w:val="TextBody"/>
        <w:bidi w:val="0"/>
        <w:spacing w:before="12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the Borrower, in its sole discretion (or in the case of any Foreign Subsidiary, in consultation with the Administrative Agent), may cause any Restricted Subsidiary that qualifies as an Excluded Subsidiary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(j)</w:t>
      </w:r>
      <w:r>
        <w:rPr>
          <w:rFonts w:ascii="Times New Roman" w:hAnsi="Times New Roman"/>
          <w:sz w:val="20"/>
        </w:rPr>
        <w:t xml:space="preserve"> above to become a Guarantor in accordance with the definition thereof (subject to completion of any requested “know your customer” and similar requirements of the Administrative Agent and the Lenders) and thereafter such Restricted Subsidiary shall not constitute an “Excluded Subsidiary” (unless and until the Borrower elects, in its sole discretion, to designate such Persons as an Excluded Subsidiary). </w:t>
      </w:r>
    </w:p>
    <w:p>
      <w:pPr>
        <w:pStyle w:val="TextBody"/>
        <w:bidi w:val="0"/>
        <w:spacing w:before="240" w:after="0"/>
        <w:jc w:val="left"/>
        <w:rPr/>
      </w:pPr>
      <w:r>
        <w:rPr/>
        <w:t>“</w:t>
      </w:r>
      <w:r>
        <w:rPr>
          <w:rFonts w:ascii="Times New Roman" w:hAnsi="Times New Roman"/>
          <w:b/>
          <w:sz w:val="20"/>
        </w:rPr>
        <w:t>Excluded Taxes</w:t>
      </w:r>
      <w:r>
        <w:rPr>
          <w:rFonts w:ascii="Times New Roman" w:hAnsi="Times New Roman"/>
          <w:sz w:val="20"/>
        </w:rPr>
        <w:t xml:space="preserve">” means any of the following Taxes imposed on or with respect to a Recipient or required to be withheld or deducted from a payment to a Recipient, (i) Taxes imposed on or measured by income (however denominated), branch profits, franchise or similar Taxes, in each case, that are (A) imposed by the jurisdiction (or political subdivision thereof) under the laws of which it is organized or in which its principal office is located or, in the case of any Lender, in which its applicable Lending Office is located, or (B) Other Connection Taxes, (ii) any Tax that is (or would be) required to be withheld with respect to amounts payable hereunder in respect of an Eligible Assignee (pursuant to an assignment under </w:t>
      </w:r>
      <w:r>
        <w:rPr>
          <w:rFonts w:ascii="Times New Roman" w:hAnsi="Times New Roman"/>
          <w:sz w:val="20"/>
          <w:u w:val="single"/>
        </w:rPr>
        <w:t>Section 11.07</w:t>
      </w:r>
      <w:r>
        <w:rPr>
          <w:rFonts w:ascii="Times New Roman" w:hAnsi="Times New Roman"/>
          <w:sz w:val="20"/>
        </w:rPr>
        <w:t xml:space="preserve">) on the date it becomes an assignee to the extent such Tax is in excess of the Tax that would have been applicable had such assigning Lender not assigned its interest arising under any Loan Document (unless such assignment is at the express written request of the Borrower), (iii) withholding Taxes imposed on amounts payable to or for the account of a Recipient with respect to an applicable interest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or Commitment pursuant to a Law in effect on the date on which (A) such Lender or Agent acquires such interest in the Loan or Commitment (other than pursuant to an assignment request by the Borrower under </w:t>
      </w:r>
      <w:r>
        <w:rPr>
          <w:rFonts w:ascii="Times New Roman" w:hAnsi="Times New Roman"/>
          <w:sz w:val="20"/>
          <w:u w:val="single"/>
        </w:rPr>
        <w:t>Section 3.07</w:t>
      </w:r>
      <w:r>
        <w:rPr>
          <w:rFonts w:ascii="Times New Roman" w:hAnsi="Times New Roman"/>
          <w:sz w:val="20"/>
        </w:rPr>
        <w:t xml:space="preserve">) or (B) such Lender changes its Lending Office (other than at the written request of the Borrower to change such Lending Office), except in each case to the extent that pursuant to this </w:t>
      </w:r>
      <w:r>
        <w:rPr>
          <w:rFonts w:ascii="Times New Roman" w:hAnsi="Times New Roman"/>
          <w:sz w:val="20"/>
          <w:u w:val="single"/>
        </w:rPr>
        <w:t>Section 3.01</w:t>
      </w:r>
      <w:r>
        <w:rPr>
          <w:rFonts w:ascii="Times New Roman" w:hAnsi="Times New Roman"/>
          <w:sz w:val="20"/>
        </w:rPr>
        <w:t xml:space="preserve">, amounts with respect to such Taxes were payable to such Recipient’s assignor immediately before such Recipient became a party hereto, or to such Lender immediately before it changed its Lending Office, (iv) any Taxes imposed as a result of the failure of any Recipient to comply with the provisions of </w:t>
      </w:r>
      <w:r>
        <w:rPr>
          <w:rFonts w:ascii="Times New Roman" w:hAnsi="Times New Roman"/>
          <w:sz w:val="20"/>
          <w:u w:val="single"/>
        </w:rPr>
        <w:t>Sections 3.01(b)</w:t>
      </w:r>
      <w:r>
        <w:rPr>
          <w:rFonts w:ascii="Times New Roman" w:hAnsi="Times New Roman"/>
          <w:sz w:val="20"/>
        </w:rPr>
        <w:t xml:space="preserve">, </w:t>
      </w:r>
      <w:r>
        <w:rPr>
          <w:rFonts w:ascii="Times New Roman" w:hAnsi="Times New Roman"/>
          <w:sz w:val="20"/>
          <w:u w:val="single"/>
        </w:rPr>
        <w:t>3.01(c)</w:t>
      </w:r>
      <w:r>
        <w:rPr>
          <w:rFonts w:ascii="Times New Roman" w:hAnsi="Times New Roman"/>
          <w:sz w:val="20"/>
        </w:rPr>
        <w:t xml:space="preserve">, </w:t>
      </w:r>
      <w:r>
        <w:rPr>
          <w:rFonts w:ascii="Times New Roman" w:hAnsi="Times New Roman"/>
          <w:sz w:val="20"/>
          <w:u w:val="single"/>
        </w:rPr>
        <w:t>3.01(d)</w:t>
      </w:r>
      <w:r>
        <w:rPr>
          <w:rFonts w:ascii="Times New Roman" w:hAnsi="Times New Roman"/>
          <w:sz w:val="20"/>
        </w:rPr>
        <w:t xml:space="preserve"> or</w:t>
      </w:r>
      <w:r>
        <w:rPr>
          <w:rFonts w:ascii="Times New Roman" w:hAnsi="Times New Roman"/>
          <w:sz w:val="20"/>
          <w:u w:val="single"/>
        </w:rPr>
        <w:t xml:space="preserve"> 3.01(e)</w:t>
      </w:r>
      <w:r>
        <w:rPr>
          <w:rFonts w:ascii="Times New Roman" w:hAnsi="Times New Roman"/>
          <w:sz w:val="20"/>
        </w:rPr>
        <w:t xml:space="preserve"> (in the case of any U.S. Lender, as defined below), and (v) any Taxes imposed under FATCA. </w:t>
      </w:r>
    </w:p>
    <w:p>
      <w:pPr>
        <w:pStyle w:val="TextBody"/>
        <w:bidi w:val="0"/>
        <w:spacing w:before="240" w:after="0"/>
        <w:jc w:val="left"/>
        <w:rPr/>
      </w:pPr>
      <w:r>
        <w:rPr/>
        <w:t>“</w:t>
      </w:r>
      <w:r>
        <w:rPr>
          <w:rFonts w:ascii="Times New Roman" w:hAnsi="Times New Roman"/>
          <w:b/>
          <w:sz w:val="20"/>
        </w:rPr>
        <w:t>Excluded Vessel</w:t>
      </w:r>
      <w:r>
        <w:rPr>
          <w:rFonts w:ascii="Times New Roman" w:hAnsi="Times New Roman"/>
          <w:sz w:val="20"/>
        </w:rPr>
        <w:t>” means any Vessel owned from time to time by the Borrower or any Guarantor (i) that is an Excluded Foreign Flag Vessel, (ii) that is under construction and has not been delivered to the Borrower or a Guarantor, (iii) [reserved] or (iv) that is an Excluded Asset, other than any such Vessel that the Borrower has elected to cause to become Collateral. Notwithstanding the foregoing, it is agreed that upon completion of construction and delivery to the Borrower or a Guarantor, HOS Warhorse and HOS Wild Horse (the “</w:t>
      </w:r>
      <w:r>
        <w:rPr>
          <w:rFonts w:ascii="Times New Roman" w:hAnsi="Times New Roman"/>
          <w:b/>
          <w:sz w:val="20"/>
        </w:rPr>
        <w:t>2024 Newbuild Vessels</w:t>
      </w:r>
      <w:r>
        <w:rPr>
          <w:rFonts w:ascii="Times New Roman" w:hAnsi="Times New Roman"/>
          <w:sz w:val="20"/>
        </w:rPr>
        <w:t xml:space="preserve">”) shall not be deemed Excluded Vessels and shall become subject to a Vessel Mortgage in accordance with the time periods provided for in </w:t>
      </w:r>
      <w:r>
        <w:rPr>
          <w:rFonts w:ascii="Times New Roman" w:hAnsi="Times New Roman"/>
          <w:sz w:val="20"/>
          <w:u w:val="single"/>
        </w:rPr>
        <w:t>Section 6.11(d)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Existing Second Lien Term Loan Agreement</w:t>
      </w:r>
      <w:r>
        <w:rPr>
          <w:rFonts w:ascii="Times New Roman" w:hAnsi="Times New Roman"/>
          <w:sz w:val="20"/>
        </w:rPr>
        <w:t xml:space="preserve">” has the meaning set forth in the Preliminary Statements hereto. </w:t>
      </w:r>
    </w:p>
    <w:p>
      <w:pPr>
        <w:pStyle w:val="TextBody"/>
        <w:bidi w:val="0"/>
        <w:spacing w:before="240" w:after="0"/>
        <w:jc w:val="left"/>
        <w:rPr/>
      </w:pPr>
      <w:r>
        <w:rPr/>
        <w:t>“</w:t>
      </w:r>
      <w:r>
        <w:rPr>
          <w:rFonts w:ascii="Times New Roman" w:hAnsi="Times New Roman"/>
          <w:b/>
          <w:sz w:val="20"/>
        </w:rPr>
        <w:t>Fair Market Value</w:t>
      </w:r>
      <w:r>
        <w:rPr>
          <w:rFonts w:ascii="Times New Roman" w:hAnsi="Times New Roman"/>
          <w:sz w:val="20"/>
        </w:rPr>
        <w:t xml:space="preserve">” may be conclusively established by means of a certificate from a Responsible Officer or resolutions of the Board of Directors setting out such fair market value as determined by such Responsible Officer or such Board of Directors in good faith.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means Sections 1471 through 1474 of the Code, as of the date of this Agreement (or any amended or successor version to the extent such version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implementing the foregoing. </w:t>
      </w:r>
    </w:p>
    <w:p>
      <w:pPr>
        <w:pStyle w:val="TextBody"/>
        <w:bidi w:val="0"/>
        <w:spacing w:before="240" w:after="0"/>
        <w:jc w:val="left"/>
        <w:rPr/>
      </w:pPr>
      <w:r>
        <w:rPr/>
        <w:t>“</w:t>
      </w:r>
      <w:r>
        <w:rPr>
          <w:rFonts w:ascii="Times New Roman" w:hAnsi="Times New Roman"/>
          <w:b/>
          <w:sz w:val="20"/>
        </w:rPr>
        <w:t>Federal Funds Rate</w:t>
      </w:r>
      <w:r>
        <w:rPr>
          <w:rFonts w:ascii="Times New Roman" w:hAnsi="Times New Roman"/>
          <w:sz w:val="20"/>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sz w:val="20"/>
          <w:u w:val="single"/>
        </w:rPr>
        <w:t>provided</w:t>
      </w:r>
      <w:r>
        <w:rPr>
          <w:rFonts w:ascii="Times New Roman" w:hAnsi="Times New Roman"/>
          <w:sz w:val="20"/>
        </w:rPr>
        <w:t xml:space="preserve">, that if the Federal Funds Rate for any day is less than 0.00%, the Federal Funds Rate for such day will be deemed to be 0.00%. </w:t>
      </w:r>
    </w:p>
    <w:p>
      <w:pPr>
        <w:pStyle w:val="TextBody"/>
        <w:bidi w:val="0"/>
        <w:spacing w:before="240" w:after="0"/>
        <w:jc w:val="left"/>
        <w:rPr/>
      </w:pPr>
      <w:r>
        <w:rPr/>
        <w:t>“</w:t>
      </w:r>
      <w:r>
        <w:rPr>
          <w:rFonts w:ascii="Times New Roman" w:hAnsi="Times New Roman"/>
          <w:b/>
          <w:sz w:val="20"/>
        </w:rPr>
        <w:t>Fee Letter</w:t>
      </w:r>
      <w:r>
        <w:rPr>
          <w:rFonts w:ascii="Times New Roman" w:hAnsi="Times New Roman"/>
          <w:sz w:val="20"/>
        </w:rPr>
        <w:t xml:space="preserve">” means the Fee Letter, dated as of December 27, 2024, by and among the Borrower, the Administrative Agent and the Lenders, as amended, restated, amended and restated, supplemented or otherwise modified from time to time in accordance with the terms thereof. </w:t>
      </w:r>
    </w:p>
    <w:p>
      <w:pPr>
        <w:pStyle w:val="TextBody"/>
        <w:bidi w:val="0"/>
        <w:spacing w:before="240" w:after="0"/>
        <w:jc w:val="left"/>
        <w:rPr/>
      </w:pPr>
      <w:r>
        <w:rPr/>
        <w:t>“</w:t>
      </w:r>
      <w:r>
        <w:rPr>
          <w:rFonts w:ascii="Times New Roman" w:hAnsi="Times New Roman"/>
          <w:b/>
          <w:sz w:val="20"/>
        </w:rPr>
        <w:t>Financial Covenant</w:t>
      </w:r>
      <w:r>
        <w:rPr>
          <w:rFonts w:ascii="Times New Roman" w:hAnsi="Times New Roman"/>
          <w:sz w:val="20"/>
        </w:rPr>
        <w:t xml:space="preserve">” means the covenants set forth in </w:t>
      </w:r>
      <w:r>
        <w:rPr>
          <w:rFonts w:ascii="Times New Roman" w:hAnsi="Times New Roman"/>
          <w:sz w:val="20"/>
          <w:u w:val="single"/>
        </w:rPr>
        <w:t>Article VIII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Financial Statements</w:t>
      </w:r>
      <w:r>
        <w:rPr>
          <w:rFonts w:ascii="Times New Roman" w:hAnsi="Times New Roman"/>
          <w:sz w:val="20"/>
        </w:rPr>
        <w:t xml:space="preserve">” means the audited consolidated balance sheets of the Borrower as of December 31, 2023, the related consolidated statements of operations, changes in stockholders’ equity and cash flows for the Borrower for the fiscal year then ended. </w:t>
      </w:r>
    </w:p>
    <w:p>
      <w:pPr>
        <w:pStyle w:val="TextBody"/>
        <w:bidi w:val="0"/>
        <w:spacing w:before="240" w:after="0"/>
        <w:jc w:val="left"/>
        <w:rPr/>
      </w:pPr>
      <w:r>
        <w:rPr/>
        <w:t>“</w:t>
      </w:r>
      <w:r>
        <w:rPr>
          <w:rFonts w:ascii="Times New Roman" w:hAnsi="Times New Roman"/>
          <w:b/>
          <w:sz w:val="20"/>
        </w:rPr>
        <w:t>First Lien Agent</w:t>
      </w:r>
      <w:r>
        <w:rPr>
          <w:rFonts w:ascii="Times New Roman" w:hAnsi="Times New Roman"/>
          <w:sz w:val="20"/>
        </w:rPr>
        <w:t xml:space="preserve">” means the administrative agent under the First Lien RCF Credit Agreement. </w:t>
      </w:r>
    </w:p>
    <w:p>
      <w:pPr>
        <w:pStyle w:val="TextBody"/>
        <w:bidi w:val="0"/>
        <w:spacing w:before="240" w:after="0"/>
        <w:jc w:val="left"/>
        <w:rPr/>
      </w:pPr>
      <w:r>
        <w:rPr/>
        <w:t>“</w:t>
      </w:r>
      <w:r>
        <w:rPr>
          <w:rFonts w:ascii="Times New Roman" w:hAnsi="Times New Roman"/>
          <w:b/>
          <w:sz w:val="20"/>
        </w:rPr>
        <w:t>First Lien Debt</w:t>
      </w:r>
      <w:r>
        <w:rPr>
          <w:rFonts w:ascii="Times New Roman" w:hAnsi="Times New Roman"/>
          <w:sz w:val="20"/>
        </w:rPr>
        <w:t xml:space="preserve">” means Indebtedness under the First Lien RCF Credit Agreement and any First Lien RCF Credit Agreement Refinancing Indebtedness provided that the aggregate principal amount of any such Indebtedness does not exceed $125,000,000 at any time. </w:t>
      </w:r>
    </w:p>
    <w:p>
      <w:pPr>
        <w:pStyle w:val="TextBody"/>
        <w:bidi w:val="0"/>
        <w:spacing w:before="240" w:after="0"/>
        <w:jc w:val="left"/>
        <w:rPr/>
      </w:pPr>
      <w:r>
        <w:rPr/>
        <w:t>“</w:t>
      </w:r>
      <w:r>
        <w:rPr>
          <w:rFonts w:ascii="Times New Roman" w:hAnsi="Times New Roman"/>
          <w:b/>
          <w:sz w:val="20"/>
        </w:rPr>
        <w:t>First Lien RCF Credit Agreement</w:t>
      </w:r>
      <w:r>
        <w:rPr>
          <w:rFonts w:ascii="Times New Roman" w:hAnsi="Times New Roman"/>
          <w:sz w:val="20"/>
        </w:rPr>
        <w:t xml:space="preserve">” means that certain Credit Agreement, dated as of August 13, 2024, among the Borrower, as borrower, DNB Bank ASA, New York Branch, as administrative agent, Wilmington Trust, National Association, as collateral trustee, and the lenders party thereto from time to time as amended, restated, amended and restated, supplemented or modified from time to time. </w:t>
      </w:r>
    </w:p>
    <w:p>
      <w:pPr>
        <w:pStyle w:val="TextBody"/>
        <w:bidi w:val="0"/>
        <w:spacing w:before="240" w:after="0"/>
        <w:jc w:val="left"/>
        <w:rPr/>
      </w:pPr>
      <w:r>
        <w:rPr/>
        <w:t>“</w:t>
      </w:r>
      <w:r>
        <w:rPr>
          <w:rFonts w:ascii="Times New Roman" w:hAnsi="Times New Roman"/>
          <w:b/>
          <w:sz w:val="20"/>
        </w:rPr>
        <w:t>First Lien RCF Credit Agreement Refinancing Indebtedness</w:t>
      </w:r>
      <w:r>
        <w:rPr>
          <w:rFonts w:ascii="Times New Roman" w:hAnsi="Times New Roman"/>
          <w:sz w:val="20"/>
        </w:rPr>
        <w:t xml:space="preserve">” means Indebtedness of the Borrower or any Restricted Subsidiary in the form of term loans, notes or revolving commitments;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(a) such Indebtedness is incurred or otherwise obtained (including by means of the extension or renewal of existing Indebtedness) in exchange for, or to extend, renew, upsize, replace, or refinance, in whole or part, Indebtedness under the First Lien RCF Credit Agreement or constituting First Lien RCF Credit Agreement Refinancing Indebtedness (“</w:t>
      </w:r>
      <w:r>
        <w:rPr>
          <w:rFonts w:ascii="Times New Roman" w:hAnsi="Times New Roman"/>
          <w:b/>
          <w:sz w:val="20"/>
        </w:rPr>
        <w:t>Refinanced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principal amount of such Indebtedness (together with any other Indebtedness under the First Lien RCF Credit Agreement) does not exceed $125,000,000 at any time; </w:t>
      </w:r>
    </w:p>
    <w:p>
      <w:pPr>
        <w:pStyle w:val="TextBody"/>
        <w:bidi w:val="0"/>
        <w:spacing w:before="120" w:after="0"/>
        <w:jc w:val="left"/>
        <w:rPr>
          <w:rFonts w:ascii="Times New Roman" w:hAnsi="Times New Roman"/>
          <w:sz w:val="20"/>
        </w:rPr>
      </w:pPr>
      <w:r>
        <w:rPr>
          <w:rFonts w:ascii="Times New Roman" w:hAnsi="Times New Roman"/>
          <w:sz w:val="20"/>
        </w:rPr>
        <w:t xml:space="preserve">(c) the Weighted Average Life to Maturity of such Indebtedness is equal to or longer than the remaining Weighted Average Life to Maturity of the Refinanced Debt; and </w:t>
      </w:r>
    </w:p>
    <w:p>
      <w:pPr>
        <w:pStyle w:val="TextBody"/>
        <w:bidi w:val="0"/>
        <w:spacing w:before="120" w:after="0"/>
        <w:jc w:val="left"/>
        <w:rPr>
          <w:rFonts w:ascii="Times New Roman" w:hAnsi="Times New Roman"/>
          <w:sz w:val="20"/>
        </w:rPr>
      </w:pPr>
      <w:r>
        <w:rPr>
          <w:rFonts w:ascii="Times New Roman" w:hAnsi="Times New Roman"/>
          <w:sz w:val="20"/>
        </w:rPr>
        <w:t xml:space="preserve">(d) the First Lien RCF Credit Agreement Refinancing Indebtedness may be secured by the Collateral on a first lien basis with the Obligations and subject to a Senior Lien Intercreditor Agreement; </w:t>
      </w:r>
      <w:r>
        <w:rPr>
          <w:rFonts w:ascii="Times New Roman" w:hAnsi="Times New Roman"/>
          <w:i/>
          <w:sz w:val="20"/>
        </w:rPr>
        <w:t>provided, however,</w:t>
      </w:r>
      <w:r>
        <w:rPr>
          <w:rFonts w:ascii="Times New Roman" w:hAnsi="Times New Roman"/>
          <w:sz w:val="20"/>
        </w:rPr>
        <w:t xml:space="preserve"> in the event any assets securing such First Lien RCF Credit Agreement Refinancing Indebtedness do not constitute Collateral, the Borrower shall be required to offer the Collateral Trustee such additional assets as Collateral and notify the Administrative Agent of such offer, and if the Administrative Agent so requests, take all such actions required to so provide such Collateral to the Collateral Trustee for the benefit of the Secured Parties or (ii) unsecured. </w:t>
      </w:r>
    </w:p>
    <w:p>
      <w:pPr>
        <w:pStyle w:val="TextBody"/>
        <w:bidi w:val="0"/>
        <w:spacing w:before="240" w:after="0"/>
        <w:jc w:val="left"/>
        <w:rPr/>
      </w:pPr>
      <w:r>
        <w:rPr/>
        <w:t>“</w:t>
      </w:r>
      <w:r>
        <w:rPr>
          <w:rFonts w:ascii="Times New Roman" w:hAnsi="Times New Roman"/>
          <w:b/>
          <w:sz w:val="20"/>
        </w:rPr>
        <w:t>Fitch</w:t>
      </w:r>
      <w:r>
        <w:rPr>
          <w:rFonts w:ascii="Times New Roman" w:hAnsi="Times New Roman"/>
          <w:sz w:val="20"/>
        </w:rPr>
        <w:t xml:space="preserve">” means Fitch Ratings Ltd. and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Fixed Charge Coverage Ratio</w:t>
      </w:r>
      <w:r>
        <w:rPr>
          <w:rFonts w:ascii="Times New Roman" w:hAnsi="Times New Roman"/>
          <w:sz w:val="20"/>
        </w:rPr>
        <w:t>” means, with respect to any Person on any determination date, the ratio of Consolidated Adjusted EBITDA of such Person for the most recent four consecutive fiscal quarters ending immediately prior to such determination date (the “</w:t>
      </w:r>
      <w:r>
        <w:rPr>
          <w:rFonts w:ascii="Times New Roman" w:hAnsi="Times New Roman"/>
          <w:b/>
          <w:sz w:val="20"/>
        </w:rPr>
        <w:t>reference period</w:t>
      </w:r>
      <w:r>
        <w:rPr>
          <w:rFonts w:ascii="Times New Roman" w:hAnsi="Times New Roman"/>
          <w:sz w:val="20"/>
        </w:rPr>
        <w:t>”) for which consolidated financial statements are available (which may, at the Borrower’s election, be internal consolidated financial statements) to the Fixed Charges of such Person for the reference period. In the event that the Borrower or any Restricted Subsidiary incurs, assumes, guarantees, redeems, defeases, retires or extinguishes any Indebtedness (other than Indebtedness incurred under any revolving credit facility unless such Indebtedness has been permanently repaid and has not been replaced), has caused any Reserved Indebtedness Amount to be deemed to be incurred during such period or issues or redeems Disqualified Equity Interests or Preferred Stock subsequent to the commencement of the reference period but prior to or simultaneously with the event for which the calculation of the Fixed Charge Coverage Ratio is made (the “</w:t>
      </w:r>
      <w:r>
        <w:rPr>
          <w:rFonts w:ascii="Times New Roman" w:hAnsi="Times New Roman"/>
          <w:b/>
          <w:sz w:val="20"/>
        </w:rPr>
        <w:t>Fixed Charge Coverage Ratio Calculation Date</w:t>
      </w:r>
      <w:r>
        <w:rPr>
          <w:rFonts w:ascii="Times New Roman" w:hAnsi="Times New Roman"/>
          <w:sz w:val="20"/>
        </w:rPr>
        <w:t xml:space="preserve">”), then the Fixed Charge Coverage Ratio shall be calculated giving pro forma effect to such incurrence, deemed incurrence, assumption, guarantee, redemption, defeasance, retirement or extinguishment of Indebtedness, or such issuance or redemption of Disqualified Equity Interests or Preferred Stock, as if the same had occurred at the beginning of the applicable four-quarter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ratio-based test.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whenever pro forma effect is to be given to a transaction, the pro forma calculations shall be made in good faith by a responsible financial or chief accounting officer of the Borrower (and may include, for the avoidance of doubt, cost savings, operating expenses reductions and synergies resulting from such transactions which is being given pro forma effect) and will include any QSC and Stacking Adjustment. If any Indebtedness bears a floating rate of interest and is being given pro forma effect, the interest on such Indebtedness shall be calculated as if the rate in effect on the Fixed Charge Coverage Ratio Calculation Date had been the applicable rate for the entire reference period (taking into account any Swap Obligations applicable to such Indebtedness).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reference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may designate. </w:t>
      </w:r>
    </w:p>
    <w:p>
      <w:pPr>
        <w:pStyle w:val="TextBody"/>
        <w:bidi w:val="0"/>
        <w:spacing w:before="240" w:after="0"/>
        <w:jc w:val="left"/>
        <w:rPr/>
      </w:pPr>
      <w:r>
        <w:rPr/>
        <w:t>“</w:t>
      </w:r>
      <w:r>
        <w:rPr>
          <w:rFonts w:ascii="Times New Roman" w:hAnsi="Times New Roman"/>
          <w:b/>
          <w:sz w:val="20"/>
        </w:rPr>
        <w:t>Fixed Charges</w:t>
      </w:r>
      <w:r>
        <w:rPr>
          <w:rFonts w:ascii="Times New Roman" w:hAnsi="Times New Roman"/>
          <w:sz w:val="20"/>
        </w:rPr>
        <w:t xml:space="preserve">” means, with respect to any Person for any period, the sum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all cash dividends or other distributions paid (excluding items eliminated in consolidation) on any series of Preferred Stock of any Restricted Subsidiary of such Person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(3) all cash dividends or other distributions paid (excluding items eliminated in consolidation) on any series of Disqualified Equity Interests of such Person during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(4) all scheduled amortization payments in respect of Indebtedness for borrowed money during such period. </w:t>
      </w:r>
    </w:p>
    <w:p>
      <w:pPr>
        <w:pStyle w:val="TextBody"/>
        <w:bidi w:val="0"/>
        <w:spacing w:before="240" w:after="0"/>
        <w:jc w:val="left"/>
        <w:rPr/>
      </w:pPr>
      <w:r>
        <w:rPr/>
        <w:t>“</w:t>
      </w:r>
      <w:r>
        <w:rPr>
          <w:rFonts w:ascii="Times New Roman" w:hAnsi="Times New Roman"/>
          <w:b/>
          <w:sz w:val="20"/>
        </w:rPr>
        <w:t>FMV</w:t>
      </w:r>
      <w:r>
        <w:rPr>
          <w:rFonts w:ascii="Times New Roman" w:hAnsi="Times New Roman"/>
          <w:sz w:val="20"/>
        </w:rPr>
        <w:t xml:space="preserve">” has the meaning in the definition of OLV. </w:t>
      </w:r>
    </w:p>
    <w:p>
      <w:pPr>
        <w:pStyle w:val="TextBody"/>
        <w:bidi w:val="0"/>
        <w:spacing w:before="240" w:after="0"/>
        <w:jc w:val="left"/>
        <w:rPr/>
      </w:pPr>
      <w:r>
        <w:rPr/>
        <w:t>“</w:t>
      </w:r>
      <w:r>
        <w:rPr>
          <w:rFonts w:ascii="Times New Roman" w:hAnsi="Times New Roman"/>
          <w:b/>
          <w:sz w:val="20"/>
        </w:rPr>
        <w:t>Foreign Corporate Subsidiary</w:t>
      </w:r>
      <w:r>
        <w:rPr>
          <w:rFonts w:ascii="Times New Roman" w:hAnsi="Times New Roman"/>
          <w:sz w:val="20"/>
        </w:rPr>
        <w:t xml:space="preserve">” means a Foreign Subsidiary that is treated as a corporation for U.S. federal income tax purposes. </w:t>
      </w:r>
    </w:p>
    <w:p>
      <w:pPr>
        <w:pStyle w:val="TextBody"/>
        <w:bidi w:val="0"/>
        <w:spacing w:before="240" w:after="0"/>
        <w:jc w:val="left"/>
        <w:rPr/>
      </w:pPr>
      <w:r>
        <w:rPr/>
        <w:t>“</w:t>
      </w:r>
      <w:r>
        <w:rPr>
          <w:rFonts w:ascii="Times New Roman" w:hAnsi="Times New Roman"/>
          <w:b/>
          <w:sz w:val="20"/>
        </w:rPr>
        <w:t>Foreign Lender</w:t>
      </w:r>
      <w:r>
        <w:rPr>
          <w:rFonts w:ascii="Times New Roman" w:hAnsi="Times New Roman"/>
          <w:sz w:val="20"/>
        </w:rPr>
        <w:t xml:space="preserve">” has the meaning specified in </w:t>
      </w:r>
      <w:r>
        <w:rPr>
          <w:rFonts w:ascii="Times New Roman" w:hAnsi="Times New Roman"/>
          <w:sz w:val="20"/>
          <w:u w:val="single"/>
        </w:rPr>
        <w:t>Section 3.01(b)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Foreign Pension Plan</w:t>
      </w:r>
      <w:r>
        <w:rPr>
          <w:rFonts w:ascii="Times New Roman" w:hAnsi="Times New Roman"/>
          <w:sz w:val="20"/>
        </w:rPr>
        <w:t xml:space="preserve">” means any plan, fund (including any superannuation fund) or other similar program established or maintained outside the United States by any Loan Party or any one or more of its Subsidiaries primarily for the benefit of its or their employees residing outside the United States, which plan, fund or other similar program provides, or results in, defined benefit retirement income, other than any such plan that is sponsored, maintained or administered by a Governmental Authority, and which plan is not subject to United States Law. </w:t>
      </w:r>
    </w:p>
    <w:p>
      <w:pPr>
        <w:pStyle w:val="TextBody"/>
        <w:bidi w:val="0"/>
        <w:spacing w:before="240" w:after="0"/>
        <w:jc w:val="left"/>
        <w:rPr/>
      </w:pPr>
      <w:r>
        <w:rPr/>
        <w:t>“</w:t>
      </w:r>
      <w:r>
        <w:rPr>
          <w:rFonts w:ascii="Times New Roman" w:hAnsi="Times New Roman"/>
          <w:b/>
          <w:sz w:val="20"/>
        </w:rPr>
        <w:t>Foreign Plan Event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the accrued benefit obligations of a Foreign Pension Plan (based on those assumptions used to fund that Foreign Pension Plan or, if that Foreign Pension Plan is unfunded, based on those assumptions used for financial accounting statement purposes or, if accrued benefit obligations are not calculated for financial accounting purposes, based on such reasonable assumptions as may be approved by the relevant entity’s independent auditors for these purposes) materially exceeding the assets of such Foreign Pension Plan and such event would reasonably be expected to result in a Material Adverse Effect; or </w:t>
      </w:r>
    </w:p>
    <w:p>
      <w:pPr>
        <w:pStyle w:val="TextBody"/>
        <w:bidi w:val="0"/>
        <w:spacing w:before="120" w:after="0"/>
        <w:jc w:val="left"/>
        <w:rPr>
          <w:rFonts w:ascii="Times New Roman" w:hAnsi="Times New Roman"/>
          <w:sz w:val="20"/>
        </w:rPr>
      </w:pPr>
      <w:r>
        <w:rPr>
          <w:rFonts w:ascii="Times New Roman" w:hAnsi="Times New Roman"/>
          <w:sz w:val="20"/>
        </w:rPr>
        <w:t xml:space="preserve">(2) the occurrence of an event with respect to the funding or maintenance of a Foreign Pension Plan that could reasonably be expected to result in a Material Adverse Effect. </w:t>
      </w:r>
    </w:p>
    <w:p>
      <w:pPr>
        <w:pStyle w:val="TextBody"/>
        <w:bidi w:val="0"/>
        <w:spacing w:before="240" w:after="0"/>
        <w:jc w:val="left"/>
        <w:rPr/>
      </w:pPr>
      <w:r>
        <w:rPr/>
        <w:t>“</w:t>
      </w:r>
      <w:r>
        <w:rPr>
          <w:rFonts w:ascii="Times New Roman" w:hAnsi="Times New Roman"/>
          <w:b/>
          <w:sz w:val="20"/>
        </w:rPr>
        <w:t>Foreign Subsidiary</w:t>
      </w:r>
      <w:r>
        <w:rPr>
          <w:rFonts w:ascii="Times New Roman" w:hAnsi="Times New Roman"/>
          <w:sz w:val="20"/>
        </w:rPr>
        <w:t xml:space="preserve">” means any direct or indirect Subsidiary of the Borrower that is not a Domestic Subsidiary. </w:t>
      </w:r>
    </w:p>
    <w:p>
      <w:pPr>
        <w:pStyle w:val="TextBody"/>
        <w:bidi w:val="0"/>
        <w:spacing w:before="240" w:after="0"/>
        <w:jc w:val="left"/>
        <w:rPr/>
      </w:pPr>
      <w:r>
        <w:rPr/>
        <w:t>“</w:t>
      </w:r>
      <w:r>
        <w:rPr>
          <w:rFonts w:ascii="Times New Roman" w:hAnsi="Times New Roman"/>
          <w:b/>
          <w:sz w:val="20"/>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b/>
          <w:sz w:val="20"/>
        </w:rPr>
        <w:t>FSHCO</w:t>
      </w:r>
      <w:r>
        <w:rPr>
          <w:rFonts w:ascii="Times New Roman" w:hAnsi="Times New Roman"/>
          <w:sz w:val="20"/>
        </w:rPr>
        <w:t xml:space="preserve">” means any direct or indirect Subsidiary that substantially all of the assets of which consist of Equity Interests and/or Indebtedness of one or more direct or indirect Foreign Corporate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Fund</w:t>
      </w:r>
      <w:r>
        <w:rPr>
          <w:rFonts w:ascii="Times New Roman" w:hAnsi="Times New Roman"/>
          <w:sz w:val="20"/>
        </w:rPr>
        <w:t xml:space="preserve">” means any Person (other than a natural person) that is engaged in making, purchasing, holding or otherwise investing in commercial loans and similar extensions of credit in the ordinary course.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as in effect from time to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the Borrower notifies the Administrative Agent that the Borrower requests an amendment to any provision of a Loan Document to eliminate the effect of any change occurring after the Closing Date in GAAP or in the application thereof (including through the adoption of IFRS) (any such change, an “</w:t>
      </w:r>
      <w:r>
        <w:rPr>
          <w:rFonts w:ascii="Times New Roman" w:hAnsi="Times New Roman"/>
          <w:b/>
          <w:sz w:val="20"/>
        </w:rPr>
        <w:t>Accounting Change</w:t>
      </w:r>
      <w:r>
        <w:rPr>
          <w:rFonts w:ascii="Times New Roman" w:hAnsi="Times New Roman"/>
          <w:sz w:val="20"/>
        </w:rPr>
        <w:t xml:space="preserve">”)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the adoption of IFRS), then such provision shall be interpreted on the basis of GAAP as in effect and applied immediately before such change shall have become effective until such notice shall have been withdrawn or such provision amended in accordance herewith.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the government of the United States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left"/>
        <w:rPr/>
      </w:pPr>
      <w:r>
        <w:rPr/>
        <w:t>“</w:t>
      </w:r>
      <w:r>
        <w:rPr>
          <w:rFonts w:ascii="Times New Roman" w:hAnsi="Times New Roman"/>
          <w:b/>
          <w:sz w:val="20"/>
        </w:rPr>
        <w:t>Grant Event</w:t>
      </w:r>
      <w:r>
        <w:rPr>
          <w:rFonts w:ascii="Times New Roman" w:hAnsi="Times New Roman"/>
          <w:sz w:val="20"/>
        </w:rPr>
        <w:t xml:space="preserve">”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formation or acquisition by a Loan Party of a new wholly-owned Subsidiary (other than an Excluded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in accordance with </w:t>
            </w:r>
            <w:r>
              <w:rPr>
                <w:rFonts w:ascii="Times New Roman" w:hAnsi="Times New Roman"/>
                <w:sz w:val="20"/>
                <w:u w:val="single"/>
              </w:rPr>
              <w:t>Section 6.13</w:t>
            </w:r>
            <w:r>
              <w:rPr>
                <w:rFonts w:ascii="Times New Roman" w:hAnsi="Times New Roman"/>
                <w:sz w:val="20"/>
              </w:rPr>
              <w:t xml:space="preserve"> of a wholly-owned Subsidiary (other than an Excluded Subsidiary) of any Loan Party as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becoming a wholly-owned Subsidiary (other than an Excluded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wholly-owned Restricted Subsidiary of a Loan Party ceasing to be an Excluded Subsidiary. </w:t>
            </w:r>
          </w:p>
        </w:tc>
      </w:tr>
    </w:tbl>
    <w:p>
      <w:pPr>
        <w:pStyle w:val="TextBody"/>
        <w:bidi w:val="0"/>
        <w:spacing w:before="240" w:after="0"/>
        <w:jc w:val="left"/>
        <w:rPr/>
      </w:pPr>
      <w:r>
        <w:rPr/>
        <w:t>“</w:t>
      </w:r>
      <w:r>
        <w:rPr>
          <w:rFonts w:ascii="Times New Roman" w:hAnsi="Times New Roman"/>
          <w:b/>
          <w:sz w:val="20"/>
        </w:rPr>
        <w:t>Granting Lender</w:t>
      </w:r>
      <w:r>
        <w:rPr>
          <w:rFonts w:ascii="Times New Roman" w:hAnsi="Times New Roman"/>
          <w:sz w:val="20"/>
        </w:rPr>
        <w:t xml:space="preserve">” has the meaning specified in </w:t>
      </w:r>
      <w:r>
        <w:rPr>
          <w:rFonts w:ascii="Times New Roman" w:hAnsi="Times New Roman"/>
          <w:sz w:val="20"/>
          <w:u w:val="single"/>
        </w:rPr>
        <w:t>Section 11.07(g)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xml:space="preserve">” means, any obligation, contingent or otherwise, of any Person directly or indirectly guaranteeing any Indebtedness of any other Person, including any such obligation, direct or indirect, contingent or otherwise,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(a) 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entered into primarily for purposes of assuring in any other manner the obligee of such Indebtedness of the payment thereof or to protect such obligee against loss in respect thereof (in whole or in part); </w:t>
      </w:r>
      <w:r>
        <w:rPr>
          <w:rFonts w:ascii="Times New Roman" w:hAnsi="Times New Roman"/>
          <w:i/>
          <w:sz w:val="20"/>
        </w:rPr>
        <w:t>provided, however</w:t>
      </w:r>
      <w:r>
        <w:rPr>
          <w:rFonts w:ascii="Times New Roman" w:hAnsi="Times New Roman"/>
          <w:sz w:val="20"/>
        </w:rPr>
        <w:t xml:space="preserve">, that the term “Guarantee” will not include (x) endorsements for collection or deposit in the ordinary course of business or consistent with past practice and, (y) standard contractual indemnities or product warranties provided in the ordinary course of business, or (z) pledges or grants of liens in any assets of a Person as long as the obligations benefiting from such pledge or lien are otherwise non-recourse (or foreign law equivalent) to such Person and </w:t>
      </w:r>
      <w:r>
        <w:rPr>
          <w:rFonts w:ascii="Times New Roman" w:hAnsi="Times New Roman"/>
          <w:i/>
          <w:sz w:val="20"/>
        </w:rPr>
        <w:t>provided, further,</w:t>
      </w:r>
      <w:r>
        <w:rPr>
          <w:rFonts w:ascii="Times New Roman" w:hAnsi="Times New Roman"/>
          <w:sz w:val="20"/>
        </w:rPr>
        <w:t xml:space="preserve">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 </w:t>
      </w:r>
    </w:p>
    <w:p>
      <w:pPr>
        <w:pStyle w:val="TextBody"/>
        <w:bidi w:val="0"/>
        <w:spacing w:before="240" w:after="0"/>
        <w:jc w:val="left"/>
        <w:rPr/>
      </w:pPr>
      <w:r>
        <w:rPr/>
        <w:t>“</w:t>
      </w:r>
      <w:r>
        <w:rPr>
          <w:rFonts w:ascii="Times New Roman" w:hAnsi="Times New Roman"/>
          <w:b/>
          <w:sz w:val="20"/>
        </w:rPr>
        <w:t>Guarantors</w:t>
      </w:r>
      <w:r>
        <w:rPr>
          <w:rFonts w:ascii="Times New Roman" w:hAnsi="Times New Roman"/>
          <w:sz w:val="20"/>
        </w:rPr>
        <w:t xml:space="preserve">” means each Restricted Subsidiary that executed a counterpart to the Guaranty (or a joinder thereto) on the Closing Date or thereafter pursuant to </w:t>
      </w:r>
      <w:r>
        <w:rPr>
          <w:rFonts w:ascii="Times New Roman" w:hAnsi="Times New Roman"/>
          <w:sz w:val="20"/>
          <w:u w:val="single"/>
        </w:rPr>
        <w:t>Section 6.11</w:t>
      </w:r>
      <w:r>
        <w:rPr>
          <w:rFonts w:ascii="Times New Roman" w:hAnsi="Times New Roman"/>
          <w:sz w:val="20"/>
        </w:rPr>
        <w:t xml:space="preserve">, in each case, other than any Excluded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Guarantor shall not be released from its Guaranty by virtue of becoming an Excluded Subsidiary under </w:t>
      </w:r>
      <w:r>
        <w:rPr>
          <w:rFonts w:ascii="Times New Roman" w:hAnsi="Times New Roman"/>
          <w:sz w:val="20"/>
          <w:u w:val="single"/>
        </w:rPr>
        <w:t>clause (i)</w:t>
      </w:r>
      <w:r>
        <w:rPr>
          <w:rFonts w:ascii="Times New Roman" w:hAnsi="Times New Roman"/>
          <w:sz w:val="20"/>
        </w:rPr>
        <w:t xml:space="preserve"> of the definition of Excluded Subsidiary if (x) the transaction which caused the Restricted Subsidiary to cease to be a wholly-owned Subsidiary of the Borrower or a Guarantor was done in contemplation of the release and (y) the Equity Interests in such Restricted Subsidiary that are not held by a Borrower or Guarantor are owned by an Affiliate thereof. </w:t>
      </w:r>
    </w:p>
    <w:p>
      <w:pPr>
        <w:pStyle w:val="TextBody"/>
        <w:bidi w:val="0"/>
        <w:spacing w:before="240" w:after="0"/>
        <w:jc w:val="left"/>
        <w:rPr/>
      </w:pPr>
      <w:r>
        <w:rPr/>
        <w:t>“</w:t>
      </w:r>
      <w:r>
        <w:rPr>
          <w:rFonts w:ascii="Times New Roman" w:hAnsi="Times New Roman"/>
          <w:b/>
          <w:sz w:val="20"/>
        </w:rPr>
        <w:t>Guaranty</w:t>
      </w:r>
      <w:r>
        <w:rPr>
          <w:rFonts w:ascii="Times New Roman" w:hAnsi="Times New Roman"/>
          <w:sz w:val="20"/>
        </w:rPr>
        <w:t xml:space="preserve">” means (a) the guaranty made by the Guarantors from time to time party thereto in favor of the Administrative Agent on behalf of the Secured Parties pursuant to the Collateral Agreement and (b) each other guaranty and guaranty supplement delivered pursuant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Guaranty Release Event</w:t>
      </w:r>
      <w:r>
        <w:rPr>
          <w:rFonts w:ascii="Times New Roman" w:hAnsi="Times New Roman"/>
          <w:sz w:val="20"/>
        </w:rPr>
        <w:t xml:space="preserve">” has the meaning specified in </w:t>
      </w:r>
      <w:r>
        <w:rPr>
          <w:rFonts w:ascii="Times New Roman" w:hAnsi="Times New Roman"/>
          <w:sz w:val="20"/>
          <w:u w:val="single"/>
        </w:rPr>
        <w:t>Section 10.11(a)(iv)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due to their deleterious or dangerous properties or characteristics, including petroleum or petroleum products (including gasoline, crude oil or any fraction thereof), asbestos or asbestos-containing materials, polychlorinated biphenyls, radon gas and urea formaldehyde. </w:t>
      </w:r>
    </w:p>
    <w:p>
      <w:pPr>
        <w:pStyle w:val="TextBody"/>
        <w:bidi w:val="0"/>
        <w:spacing w:before="240" w:after="0"/>
        <w:jc w:val="left"/>
        <w:rPr/>
      </w:pPr>
      <w:r>
        <w:rPr/>
        <w:t>“</w:t>
      </w:r>
      <w:r>
        <w:rPr>
          <w:rFonts w:ascii="Times New Roman" w:hAnsi="Times New Roman"/>
          <w:b/>
          <w:sz w:val="20"/>
        </w:rPr>
        <w:t>Hedge Agreement</w:t>
      </w:r>
      <w:r>
        <w:rPr>
          <w:rFonts w:ascii="Times New Roman" w:hAnsi="Times New Roman"/>
          <w:sz w:val="20"/>
        </w:rPr>
        <w:t xml:space="preserve">” means any agreement with respect to (a) any and all rate swap transactions, basis swaps, credit derivative transactions, forward rate transactions, commodity swaps, commodity options, forward commodity contracts, equity or equity index swaps or options, any call or capped call option warrant or substantively equivalent derivative transactions, bond or bond price or bond index swaps or options or forward bond or forward bond price or forward bond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 </w:t>
      </w:r>
    </w:p>
    <w:p>
      <w:pPr>
        <w:pStyle w:val="TextBody"/>
        <w:bidi w:val="0"/>
        <w:spacing w:before="240" w:after="0"/>
        <w:jc w:val="left"/>
        <w:rPr/>
      </w:pPr>
      <w:r>
        <w:rPr/>
        <w:t>“</w:t>
      </w:r>
      <w:r>
        <w:rPr>
          <w:rFonts w:ascii="Times New Roman" w:hAnsi="Times New Roman"/>
          <w:b/>
          <w:sz w:val="20"/>
        </w:rPr>
        <w:t>Holding Company</w:t>
      </w:r>
      <w:r>
        <w:rPr>
          <w:rFonts w:ascii="Times New Roman" w:hAnsi="Times New Roman"/>
          <w:sz w:val="20"/>
        </w:rPr>
        <w:t xml:space="preserve">” means any Person so long as such Person directly or indirectly holds 100% of the total voting power of the Voting Stock of the Borrower,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 </w:t>
      </w:r>
    </w:p>
    <w:p>
      <w:pPr>
        <w:pStyle w:val="TextBody"/>
        <w:bidi w:val="0"/>
        <w:spacing w:before="240" w:after="0"/>
        <w:jc w:val="left"/>
        <w:rPr/>
      </w:pPr>
      <w:r>
        <w:rPr/>
        <w:t>“</w:t>
      </w:r>
      <w:r>
        <w:rPr>
          <w:rFonts w:ascii="Times New Roman" w:hAnsi="Times New Roman"/>
          <w:b/>
          <w:sz w:val="20"/>
        </w:rPr>
        <w:t>HOS LLC</w:t>
      </w:r>
      <w:r>
        <w:rPr>
          <w:rFonts w:ascii="Times New Roman" w:hAnsi="Times New Roman"/>
          <w:sz w:val="20"/>
        </w:rPr>
        <w:t xml:space="preserve">” has the meaning set forth in the Preliminary Statements hereto. </w:t>
      </w:r>
    </w:p>
    <w:p>
      <w:pPr>
        <w:pStyle w:val="TextBody"/>
        <w:bidi w:val="0"/>
        <w:spacing w:before="240" w:after="0"/>
        <w:jc w:val="left"/>
        <w:rPr/>
      </w:pPr>
      <w:r>
        <w:rPr/>
        <w:t>“</w:t>
      </w:r>
      <w:r>
        <w:rPr>
          <w:rFonts w:ascii="Times New Roman" w:hAnsi="Times New Roman"/>
          <w:b/>
          <w:sz w:val="20"/>
        </w:rPr>
        <w:t>Identified Transaction</w:t>
      </w:r>
      <w:r>
        <w:rPr>
          <w:rFonts w:ascii="Times New Roman" w:hAnsi="Times New Roman"/>
          <w:sz w:val="20"/>
        </w:rPr>
        <w:t xml:space="preserve">” has the meaning specified in </w:t>
      </w:r>
      <w:r>
        <w:rPr>
          <w:rFonts w:ascii="Times New Roman" w:hAnsi="Times New Roman"/>
          <w:sz w:val="20"/>
          <w:u w:val="single"/>
        </w:rPr>
        <w:t>Section 10.11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IFRS</w:t>
      </w:r>
      <w:r>
        <w:rPr>
          <w:rFonts w:ascii="Times New Roman" w:hAnsi="Times New Roman"/>
          <w:sz w:val="20"/>
        </w:rPr>
        <w:t xml:space="preserve">”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 </w:t>
      </w:r>
    </w:p>
    <w:p>
      <w:pPr>
        <w:pStyle w:val="TextBody"/>
        <w:bidi w:val="0"/>
        <w:spacing w:before="240" w:after="0"/>
        <w:jc w:val="left"/>
        <w:rPr/>
      </w:pPr>
      <w:r>
        <w:rPr/>
        <w:t>“</w:t>
      </w:r>
      <w:r>
        <w:rPr>
          <w:rFonts w:ascii="Times New Roman" w:hAnsi="Times New Roman"/>
          <w:b/>
          <w:sz w:val="20"/>
        </w:rPr>
        <w:t>Immaterial Subsidiary</w:t>
      </w:r>
      <w:r>
        <w:rPr>
          <w:rFonts w:ascii="Times New Roman" w:hAnsi="Times New Roman"/>
          <w:sz w:val="20"/>
        </w:rPr>
        <w:t xml:space="preserve">” means, at any date of determination, each Restricted Subsidiary of the Borrower that (i) has not guaranteed any other Indebtedness of the Borrower and (ii) has Total Assets and revenues, in each case, of less than 3.5% of Total Assets and revenues and, together with all other Immaterial Subsidiaries, has Total Assets and revenues of less than 3.5% of Total Assets and revenues, in each case, measured (1) at the end of the most recent fiscal period for which consolidated financial statements are available (which may, at the Borrower’s election, be internal consolidated financial statements) on a pro forma basis giving effect to any acquisitions or dispositions of assets, Vessels, companies, division or lines of business since such balance sheet date or the start of such four quarter period, as applicable, and (2) as of the date of acquisition of any such Restricted Subsidiary. </w:t>
      </w:r>
    </w:p>
    <w:p>
      <w:pPr>
        <w:pStyle w:val="TextBody"/>
        <w:bidi w:val="0"/>
        <w:spacing w:before="240" w:after="0"/>
        <w:jc w:val="left"/>
        <w:rPr/>
      </w:pPr>
      <w:r>
        <w:rPr/>
        <w:t>“</w:t>
      </w:r>
      <w:r>
        <w:rPr>
          <w:rFonts w:ascii="Times New Roman" w:hAnsi="Times New Roman"/>
          <w:b/>
          <w:sz w:val="20"/>
        </w:rPr>
        <w:t>Immediate Family Members</w:t>
      </w:r>
      <w:r>
        <w:rPr>
          <w:rFonts w:ascii="Times New Roman" w:hAnsi="Times New Roman"/>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Indebtedness</w:t>
      </w:r>
      <w:r>
        <w:rPr>
          <w:rFonts w:ascii="Times New Roman" w:hAnsi="Times New Roman"/>
          <w:sz w:val="20"/>
        </w:rPr>
        <w:t xml:space="preserve">” means, with respect to any Person, on any date of determination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the principal of indebtedness of such Person for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of obligations of such Person evidenced by bonds, debentures, notes or other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(3) 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thirty (30) days of incurrence); </w:t>
      </w:r>
    </w:p>
    <w:p>
      <w:pPr>
        <w:pStyle w:val="TextBody"/>
        <w:bidi w:val="0"/>
        <w:spacing w:before="120" w:after="0"/>
        <w:jc w:val="left"/>
        <w:rPr>
          <w:rFonts w:ascii="Times New Roman" w:hAnsi="Times New Roman"/>
          <w:sz w:val="20"/>
        </w:rPr>
      </w:pPr>
      <w:r>
        <w:rPr>
          <w:rFonts w:ascii="Times New Roman" w:hAnsi="Times New Roman"/>
          <w:sz w:val="20"/>
        </w:rPr>
        <w:t xml:space="preserve">(4) 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 </w:t>
      </w:r>
    </w:p>
    <w:p>
      <w:pPr>
        <w:pStyle w:val="TextBody"/>
        <w:bidi w:val="0"/>
        <w:spacing w:before="120" w:after="0"/>
        <w:jc w:val="left"/>
        <w:rPr>
          <w:rFonts w:ascii="Times New Roman" w:hAnsi="Times New Roman"/>
          <w:sz w:val="20"/>
        </w:rPr>
      </w:pPr>
      <w:r>
        <w:rPr>
          <w:rFonts w:ascii="Times New Roman" w:hAnsi="Times New Roman"/>
          <w:sz w:val="20"/>
        </w:rPr>
        <w:t xml:space="preserve">(5) Capitalized Lease Obligations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(6) the principal component of all obligations, or liquidation preference, of such Person with respect to any Disqualified Equity Interests or, with respect to any Restricted Subsidiary, any preferred stock (but excluding, in each case, any accrued dividends); </w:t>
      </w:r>
    </w:p>
    <w:p>
      <w:pPr>
        <w:pStyle w:val="TextBody"/>
        <w:bidi w:val="0"/>
        <w:spacing w:before="120" w:after="0"/>
        <w:jc w:val="left"/>
        <w:rPr>
          <w:rFonts w:ascii="Times New Roman" w:hAnsi="Times New Roman"/>
          <w:sz w:val="20"/>
        </w:rPr>
      </w:pPr>
      <w:r>
        <w:rPr>
          <w:rFonts w:ascii="Times New Roman" w:hAnsi="Times New Roman"/>
          <w:sz w:val="20"/>
        </w:rPr>
        <w:t xml:space="preserve">(7) the principal component of all Indebtedness of other Persons secured by a Lien on any asset of such Person, whether or not such Indebtedness is assumed by such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of such Indebtedness will be the lesser of (a) the Fair Market Value of such asset at such date of determination (as determined in good faith by the Borrower) and (b) the amount of such Indebtedness of such other Persons;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this clause (7) shall not apply in respect of any Restricted Subsidiary that provides Collateral for the First Lien Debt and Senior Indebtedness (if any) that is not a guarantor of any First Lien Debt or Senior Indebtedness as long as such Collateral is also provided to secure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(8) Guarantees by such Person of the principal component of Indebtedness of the type referred to in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(9)</w:t>
      </w:r>
      <w:r>
        <w:rPr>
          <w:rFonts w:ascii="Times New Roman" w:hAnsi="Times New Roman"/>
          <w:sz w:val="20"/>
        </w:rPr>
        <w:t xml:space="preserve"> of other Persons to the extent Guaranteed by such Person; and </w:t>
      </w:r>
    </w:p>
    <w:p>
      <w:pPr>
        <w:pStyle w:val="TextBody"/>
        <w:bidi w:val="0"/>
        <w:spacing w:before="120" w:after="0"/>
        <w:jc w:val="left"/>
        <w:rPr>
          <w:rFonts w:ascii="Times New Roman" w:hAnsi="Times New Roman"/>
          <w:sz w:val="20"/>
        </w:rPr>
      </w:pPr>
      <w:r>
        <w:rPr>
          <w:rFonts w:ascii="Times New Roman" w:hAnsi="Times New Roman"/>
          <w:sz w:val="20"/>
        </w:rPr>
        <w:t xml:space="preserve">(9) to the extent not otherwise included in this definition, net obligations of such Person under Hedge Agreements (the amount of any such obligations to be equal at any time to the net payments under such agreement or arrangement giving rise to such obligation that would be payable by such Person at the termination of such agreement or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(9)</w:t>
      </w:r>
      <w:r>
        <w:rPr>
          <w:rFonts w:ascii="Times New Roman" w:hAnsi="Times New Roman"/>
          <w:sz w:val="20"/>
        </w:rPr>
        <w:t xml:space="preserve">, above, if and to the extent that any of the foregoing Indebtedness (other than letters of credit and obligations in respect of Hedge Agreements) would appear as a liability upon a balance sheet (excluding the footnotes thereto) of such Person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815—Derivatives and Hedging and related pronouncements to the extent such effects would otherwise increase or decrease an amount of Indebtedness for any purpose under this Agreement as a result of accounting for any embedded derivatives created by the terms of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provisions, in no event shall the following constitute Indebtedness: </w:t>
      </w:r>
    </w:p>
    <w:p>
      <w:pPr>
        <w:pStyle w:val="TextBody"/>
        <w:bidi w:val="0"/>
        <w:spacing w:before="120" w:after="0"/>
        <w:jc w:val="left"/>
        <w:rPr>
          <w:rFonts w:ascii="Times New Roman" w:hAnsi="Times New Roman"/>
          <w:sz w:val="20"/>
        </w:rPr>
      </w:pPr>
      <w:r>
        <w:rPr>
          <w:rFonts w:ascii="Times New Roman" w:hAnsi="Times New Roman"/>
          <w:sz w:val="20"/>
        </w:rPr>
        <w:t xml:space="preserve">(a) Contingent Obligations incurred in the ordinary course of business or consistent with past practice, other than guarantees or other assumptions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(b) Cash Management Obligations (as such term is defined in the First Lien RCF Credit Agreement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any lease, concession or license of property (or Guarantee thereof) which would be considered an operating lease under GAAP as in effect on the Closing Date, Non-Financing Lease Obligations, Sale Leaseback Transactions or any prepayments of deposits received from clients or customers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(d) obligations under any license, permit or other approval (or guarantees given in respect of such obligations) incurred prior to the Closing Date or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the purchase by the Borrower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time of closing, the amount of any such payment is not determinable and, to the extent such payment thereafter becomes fixed and determined, the amount is paid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(f) for the avoidance of doubt, any obligations in respect of workers’ compensation claims, early retirement or termination obligations, pension fund obligations or contributions or similar claims, obligations or contributions or social security or wage Taxes;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Indebtedness of any Parent Entity appearing on the balance sheet of the Borrower solely by reason of push down accounting under GAAP; </w:t>
      </w:r>
    </w:p>
    <w:p>
      <w:pPr>
        <w:pStyle w:val="TextBody"/>
        <w:bidi w:val="0"/>
        <w:spacing w:before="120" w:after="0"/>
        <w:jc w:val="left"/>
        <w:rPr>
          <w:rFonts w:ascii="Times New Roman" w:hAnsi="Times New Roman"/>
          <w:sz w:val="20"/>
        </w:rPr>
      </w:pPr>
      <w:r>
        <w:rPr>
          <w:rFonts w:ascii="Times New Roman" w:hAnsi="Times New Roman"/>
          <w:sz w:val="20"/>
        </w:rPr>
        <w:t xml:space="preserve">(i) Equity Interests (other than in the case of </w:t>
      </w:r>
      <w:r>
        <w:rPr>
          <w:rFonts w:ascii="Times New Roman" w:hAnsi="Times New Roman"/>
          <w:sz w:val="20"/>
          <w:u w:val="single"/>
        </w:rPr>
        <w:t>clause (6)</w:t>
      </w:r>
      <w:r>
        <w:rPr>
          <w:rFonts w:ascii="Times New Roman" w:hAnsi="Times New Roman"/>
          <w:sz w:val="20"/>
        </w:rPr>
        <w:t xml:space="preserve"> above, Disqualified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(j) lease obligations other than obligations in respect of Capitalized Leases; and </w:t>
      </w:r>
    </w:p>
    <w:p>
      <w:pPr>
        <w:pStyle w:val="TextBody"/>
        <w:bidi w:val="0"/>
        <w:spacing w:before="120" w:after="0"/>
        <w:jc w:val="left"/>
        <w:rPr>
          <w:rFonts w:ascii="Times New Roman" w:hAnsi="Times New Roman"/>
          <w:sz w:val="20"/>
        </w:rPr>
      </w:pPr>
      <w:r>
        <w:rPr>
          <w:rFonts w:ascii="Times New Roman" w:hAnsi="Times New Roman"/>
          <w:sz w:val="20"/>
        </w:rPr>
        <w:t xml:space="preserve">(k) 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w:t>
      </w:r>
      <w:r>
        <w:rPr>
          <w:rFonts w:ascii="Times New Roman" w:hAnsi="Times New Roman"/>
          <w:sz w:val="20"/>
          <w:u w:val="single"/>
        </w:rPr>
        <w:t>Section 7.04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Indebtedness for Borrowed Money</w:t>
      </w:r>
      <w:r>
        <w:rPr>
          <w:rFonts w:ascii="Times New Roman" w:hAnsi="Times New Roman"/>
          <w:sz w:val="20"/>
        </w:rPr>
        <w:t xml:space="preserve">” means, with respect to a Person, Indebtedness of such Person under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 xml:space="preserve"> and </w:t>
      </w:r>
      <w:r>
        <w:rPr>
          <w:rFonts w:ascii="Times New Roman" w:hAnsi="Times New Roman"/>
          <w:sz w:val="20"/>
          <w:u w:val="single"/>
        </w:rPr>
        <w:t>(9)</w:t>
      </w:r>
      <w:r>
        <w:rPr>
          <w:rFonts w:ascii="Times New Roman" w:hAnsi="Times New Roman"/>
          <w:sz w:val="20"/>
        </w:rPr>
        <w:t xml:space="preserve"> (to the extent relating to the foregoing clauses) of the definition of “Indebtedness”, and shall include any exchange of existing Indebtedness that results in another class of Indebtedness for borrowed money. </w:t>
      </w:r>
    </w:p>
    <w:p>
      <w:pPr>
        <w:pStyle w:val="TextBody"/>
        <w:bidi w:val="0"/>
        <w:spacing w:before="240" w:after="0"/>
        <w:jc w:val="left"/>
        <w:rPr/>
      </w:pPr>
      <w:r>
        <w:rPr/>
        <w:t>“</w:t>
      </w:r>
      <w:r>
        <w:rPr>
          <w:rFonts w:ascii="Times New Roman" w:hAnsi="Times New Roman"/>
          <w:b/>
          <w:sz w:val="20"/>
        </w:rPr>
        <w:t>Indemnified Liabilities</w:t>
      </w:r>
      <w:r>
        <w:rPr>
          <w:rFonts w:ascii="Times New Roman" w:hAnsi="Times New Roman"/>
          <w:sz w:val="20"/>
        </w:rPr>
        <w:t xml:space="preserve">” has the meaning specified in </w:t>
      </w:r>
      <w:r>
        <w:rPr>
          <w:rFonts w:ascii="Times New Roman" w:hAnsi="Times New Roman"/>
          <w:sz w:val="20"/>
          <w:u w:val="single"/>
        </w:rPr>
        <w:t>Section 11.05(e)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(a), Other Taxes. </w:t>
      </w:r>
    </w:p>
    <w:p>
      <w:pPr>
        <w:pStyle w:val="TextBody"/>
        <w:bidi w:val="0"/>
        <w:spacing w:before="240" w:after="0"/>
        <w:jc w:val="left"/>
        <w:rPr/>
      </w:pPr>
      <w:r>
        <w:rPr/>
        <w:t>“</w:t>
      </w:r>
      <w:r>
        <w:rPr>
          <w:rFonts w:ascii="Times New Roman" w:hAnsi="Times New Roman"/>
          <w:b/>
          <w:sz w:val="20"/>
        </w:rPr>
        <w:t>Indemnitees</w:t>
      </w:r>
      <w:r>
        <w:rPr>
          <w:rFonts w:ascii="Times New Roman" w:hAnsi="Times New Roman"/>
          <w:sz w:val="20"/>
        </w:rPr>
        <w:t xml:space="preserve">” has the meaning specified in </w:t>
      </w:r>
      <w:r>
        <w:rPr>
          <w:rFonts w:ascii="Times New Roman" w:hAnsi="Times New Roman"/>
          <w:sz w:val="20"/>
          <w:u w:val="single"/>
        </w:rPr>
        <w:t>Section 11.05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Independent Financial Advisor</w:t>
      </w:r>
      <w:r>
        <w:rPr>
          <w:rFonts w:ascii="Times New Roman" w:hAnsi="Times New Roman"/>
          <w:sz w:val="20"/>
        </w:rPr>
        <w:t xml:space="preserve">” means an accounting, appraisal, investment banking firm or consultant of nationally recognized standing that is, in the good faith judgment of the Borrower, qualified to perform the task for which it has been engaged and that is independent of the Borrower and their Affiliates. </w:t>
      </w:r>
    </w:p>
    <w:p>
      <w:pPr>
        <w:pStyle w:val="TextBody"/>
        <w:bidi w:val="0"/>
        <w:spacing w:before="240" w:after="0"/>
        <w:jc w:val="left"/>
        <w:rPr/>
      </w:pPr>
      <w:r>
        <w:rPr/>
        <w:t>“</w:t>
      </w:r>
      <w:r>
        <w:rPr>
          <w:rFonts w:ascii="Times New Roman" w:hAnsi="Times New Roman"/>
          <w:b/>
          <w:sz w:val="20"/>
        </w:rPr>
        <w:t>Information</w:t>
      </w:r>
      <w:r>
        <w:rPr>
          <w:rFonts w:ascii="Times New Roman" w:hAnsi="Times New Roman"/>
          <w:sz w:val="20"/>
        </w:rPr>
        <w:t xml:space="preserve">” has the meaning specified in </w:t>
      </w:r>
      <w:r>
        <w:rPr>
          <w:rFonts w:ascii="Times New Roman" w:hAnsi="Times New Roman"/>
          <w:sz w:val="20"/>
          <w:u w:val="single"/>
        </w:rPr>
        <w:t>Section 11.08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Initial Agreement</w:t>
      </w:r>
      <w:r>
        <w:rPr>
          <w:rFonts w:ascii="Times New Roman" w:hAnsi="Times New Roman"/>
          <w:sz w:val="20"/>
        </w:rPr>
        <w:t xml:space="preserve">” has the meaning specified in </w:t>
      </w:r>
      <w:r>
        <w:rPr>
          <w:rFonts w:ascii="Times New Roman" w:hAnsi="Times New Roman"/>
          <w:sz w:val="20"/>
          <w:u w:val="single"/>
        </w:rPr>
        <w:t>Section 7.08(c)(xvi)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Intercompany Indebtedness</w:t>
      </w:r>
      <w:r>
        <w:rPr>
          <w:rFonts w:ascii="Times New Roman" w:hAnsi="Times New Roman"/>
          <w:sz w:val="20"/>
        </w:rPr>
        <w:t xml:space="preserve">” means Indebtedness by and among the Borrower or any Restricted Subsidiary, on the one hand, and the Borrower or any Restricted Subsidiary, on the other hand. </w:t>
      </w:r>
    </w:p>
    <w:p>
      <w:pPr>
        <w:pStyle w:val="TextBody"/>
        <w:bidi w:val="0"/>
        <w:spacing w:before="240" w:after="0"/>
        <w:jc w:val="left"/>
        <w:rPr/>
      </w:pPr>
      <w:r>
        <w:rPr/>
        <w:t>“</w:t>
      </w:r>
      <w:r>
        <w:rPr>
          <w:rFonts w:ascii="Times New Roman" w:hAnsi="Times New Roman"/>
          <w:b/>
          <w:sz w:val="20"/>
        </w:rPr>
        <w:t>Intercompany License Agreement</w:t>
      </w:r>
      <w:r>
        <w:rPr>
          <w:rFonts w:ascii="Times New Roman" w:hAnsi="Times New Roman"/>
          <w:sz w:val="20"/>
        </w:rPr>
        <w:t xml:space="preserve">”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Borrower or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Intercreditor Agreements</w:t>
      </w:r>
      <w:r>
        <w:rPr>
          <w:rFonts w:ascii="Times New Roman" w:hAnsi="Times New Roman"/>
          <w:sz w:val="20"/>
        </w:rPr>
        <w:t xml:space="preserve">” means any Senior Lien Intercreditor Agreement, any Collateral Trust Agreement and any other intercreditor agreement governing lien priority with the approval of the Required Lenders, in each case that may be executed by the Administrative Agent and Collateral Trustee from time to time.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means, with respect to any Person, all investments by such Person in other Persons (including Affiliates) in the form of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 (iv) intercompany loans, advances or Indebtedness having a term not exceeding 364 days (inclusive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Equity Interests, Indebtedness or other similar instruments issued by, such other Persons and all other items that are or would be classified as investments on a balance sheet prepared in accordance with GAAP;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endorsements of negotiable instruments and documents in the ordinary course of business or consistent with past practice will not be deemed to be an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w:t>
      </w:r>
      <w:r>
        <w:rPr>
          <w:rFonts w:ascii="Times New Roman" w:hAnsi="Times New Roman"/>
          <w:sz w:val="20"/>
          <w:u w:val="single"/>
        </w:rPr>
        <w:t>Section 6.13</w:t>
      </w:r>
      <w:r>
        <w:rPr>
          <w:rFonts w:ascii="Times New Roman" w:hAnsi="Times New Roman"/>
          <w:sz w:val="20"/>
        </w:rPr>
        <w:t xml:space="preserve"> and </w:t>
      </w:r>
      <w:r>
        <w:rPr>
          <w:rFonts w:ascii="Times New Roman" w:hAnsi="Times New Roman"/>
          <w:sz w:val="20"/>
          <w:u w:val="single"/>
        </w:rPr>
        <w:t>Section 7.06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“Investment” will include the portion (proportionate to the Borrower’s equity interest in a Restricted Subsidiary to be designated as an Unrestricted Subsidiary) of the Fair Market Value of the net assets of such Restricted Subsidiary at the time that such Restricted Subsidiary is designated an Unrestricted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a redesignation of such Subsidiary as a Restricted Subsidiary, the Borrower will be deemed to continue to have a permanent “Investment” in an Unrestricted Subsidiary in an amount (if positive) equal to (a) the Borrower’s “Investment” in such Subsidiary at the time of such redesignation less (b) the portion (proportionate to the Borrower’s equity interest in such Subsidiary) of the Fair Market Value of the net assets (as determined by the Borrower) of such Subsidiary at the time that such Subsidiary is so re-designated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 any property transferred to or from an Unrestricted Subsidiary will be valued at its Fair Market Value at the time of such transfer, in each case as determined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(3) if the Borrower or any Restricted Subsidiary issues, sells or otherwise disposes of Equity Interests in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 </w:t>
      </w:r>
    </w:p>
    <w:p>
      <w:pPr>
        <w:pStyle w:val="TextBody"/>
        <w:bidi w:val="0"/>
        <w:spacing w:before="120" w:after="0"/>
        <w:jc w:val="left"/>
        <w:rPr>
          <w:rFonts w:ascii="Times New Roman" w:hAnsi="Times New Roman"/>
          <w:sz w:val="20"/>
        </w:rPr>
      </w:pPr>
      <w:r>
        <w:rPr>
          <w:rFonts w:ascii="Times New Roman" w:hAnsi="Times New Roman"/>
          <w:sz w:val="20"/>
        </w:rPr>
        <w:t xml:space="preserve">(4) The amount of any Investment outstanding at any time shall be the original cost of such Investment, reduced by any dividend, distribution, interest payment, return of capital, repayment or other amount received in cash and Cash Equivalents by the Borrower or a Restricted Subsidiary in respect of such Investment to the extent such amounts do not increase any other baskets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Investment Grade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securities issued or directly and fully Guaranteed or insured by the United States government or any agency or instrumentality thereof (other than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(2) securities issued or directly and fully guaranteed or insured by the Canadian, United Kingdom, Australian or Japanese governments, a member state of the European Union, or any agency or instrumentality thereof (other than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(3) 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(4) investments in any fund that invests exclusively in investments of the type described in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and </w:t>
      </w:r>
      <w:r>
        <w:rPr>
          <w:rFonts w:ascii="Times New Roman" w:hAnsi="Times New Roman"/>
          <w:sz w:val="20"/>
          <w:u w:val="single"/>
        </w:rPr>
        <w:t>(3)</w:t>
      </w:r>
      <w:r>
        <w:rPr>
          <w:rFonts w:ascii="Times New Roman" w:hAnsi="Times New Roman"/>
          <w:sz w:val="20"/>
        </w:rPr>
        <w:t xml:space="preserve"> above which fund may also hold cash and Cash Equivalents pending investment 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(5) corresponding instruments in countries other than the United States customarily utilized for high quality investments.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Internal Revenue Service of the United States. </w:t>
      </w:r>
    </w:p>
    <w:p>
      <w:pPr>
        <w:pStyle w:val="TextBody"/>
        <w:bidi w:val="0"/>
        <w:spacing w:before="240" w:after="0"/>
        <w:jc w:val="left"/>
        <w:rPr/>
      </w:pPr>
      <w:r>
        <w:rPr/>
        <w:t>“</w:t>
      </w:r>
      <w:r>
        <w:rPr>
          <w:rFonts w:ascii="Times New Roman" w:hAnsi="Times New Roman"/>
          <w:b/>
          <w:sz w:val="20"/>
        </w:rPr>
        <w:t>ISDA CDS Definitions</w:t>
      </w:r>
      <w:r>
        <w:rPr>
          <w:rFonts w:ascii="Times New Roman" w:hAnsi="Times New Roman"/>
          <w:sz w:val="20"/>
        </w:rPr>
        <w:t xml:space="preserve">” has the meaning specified in the definition of “Net Short Position.” </w:t>
      </w:r>
    </w:p>
    <w:p>
      <w:pPr>
        <w:pStyle w:val="TextBody"/>
        <w:bidi w:val="0"/>
        <w:spacing w:before="240" w:after="0"/>
        <w:jc w:val="left"/>
        <w:rPr/>
      </w:pPr>
      <w:r>
        <w:rPr/>
        <w:t>“</w:t>
      </w:r>
      <w:r>
        <w:rPr>
          <w:rFonts w:ascii="Times New Roman" w:hAnsi="Times New Roman"/>
          <w:b/>
          <w:sz w:val="20"/>
        </w:rPr>
        <w:t>ISM Code</w:t>
      </w:r>
      <w:r>
        <w:rPr>
          <w:rFonts w:ascii="Times New Roman" w:hAnsi="Times New Roman"/>
          <w:sz w:val="20"/>
        </w:rPr>
        <w:t xml:space="preserve">” means the International Safety Management Code (including the guidelines on its implementation), adopted by the International Maritime Organization, as the same may be amended or supplemented from time to time (and the terms “safety management system”, “Safety Management Certificate” and “Document of Compliance” have the same meanings as are given to them in the ISM Code). </w:t>
      </w:r>
    </w:p>
    <w:p>
      <w:pPr>
        <w:pStyle w:val="TextBody"/>
        <w:bidi w:val="0"/>
        <w:spacing w:before="240" w:after="0"/>
        <w:jc w:val="left"/>
        <w:rPr/>
      </w:pPr>
      <w:r>
        <w:rPr/>
        <w:t>“</w:t>
      </w:r>
      <w:r>
        <w:rPr>
          <w:rFonts w:ascii="Times New Roman" w:hAnsi="Times New Roman"/>
          <w:b/>
          <w:sz w:val="20"/>
        </w:rPr>
        <w:t>ISM Code Documentation</w:t>
      </w:r>
      <w:r>
        <w:rPr>
          <w:rFonts w:ascii="Times New Roman" w:hAnsi="Times New Roman"/>
          <w:sz w:val="20"/>
        </w:rPr>
        <w:t xml:space="preserve">” includes, in respect of a Vessel constituting Vessel Collateral, the Document of Compliance and Safety Management Certificate issued pursuant to the ISM Code in relation to such Vessel within the periods specified by the ISM Code. </w:t>
      </w:r>
    </w:p>
    <w:p>
      <w:pPr>
        <w:pStyle w:val="TextBody"/>
        <w:bidi w:val="0"/>
        <w:spacing w:before="240" w:after="0"/>
        <w:jc w:val="left"/>
        <w:rPr/>
      </w:pPr>
      <w:r>
        <w:rPr/>
        <w:t>“</w:t>
      </w:r>
      <w:r>
        <w:rPr>
          <w:rFonts w:ascii="Times New Roman" w:hAnsi="Times New Roman"/>
          <w:b/>
          <w:sz w:val="20"/>
        </w:rPr>
        <w:t>ISPS Code</w:t>
      </w:r>
      <w:r>
        <w:rPr>
          <w:rFonts w:ascii="Times New Roman" w:hAnsi="Times New Roman"/>
          <w:sz w:val="20"/>
        </w:rPr>
        <w:t xml:space="preserve">” means, in relation to its application to the Shipowners, any Vessel and its operation, the International Ship and Port Facility Security Code consisting of part A (the provisions which shall be treated as mandatory) and part B (the provisions which shall be treated as recommendatory), as adopted, on December 12, 2002, by Resolution 2 of the Conference of Contracting Governments to the International Convention for the Safety of Life at Sea, 1974, as may be amended by IMO. </w:t>
      </w:r>
    </w:p>
    <w:p>
      <w:pPr>
        <w:pStyle w:val="TextBody"/>
        <w:bidi w:val="0"/>
        <w:spacing w:before="240" w:after="0"/>
        <w:jc w:val="left"/>
        <w:rPr/>
      </w:pPr>
      <w:r>
        <w:rPr/>
        <w:t>“</w:t>
      </w:r>
      <w:r>
        <w:rPr>
          <w:rFonts w:ascii="Times New Roman" w:hAnsi="Times New Roman"/>
          <w:b/>
          <w:sz w:val="20"/>
        </w:rPr>
        <w:t>ISPS Code Documentation</w:t>
      </w:r>
      <w:r>
        <w:rPr>
          <w:rFonts w:ascii="Times New Roman" w:hAnsi="Times New Roman"/>
          <w:sz w:val="20"/>
        </w:rPr>
        <w:t xml:space="preserve">” includes the International Ship Security Certificate issued under the ISPS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Jones Act Notes</w:t>
      </w:r>
      <w:r>
        <w:rPr>
          <w:rFonts w:ascii="Times New Roman" w:hAnsi="Times New Roman"/>
          <w:sz w:val="20"/>
        </w:rPr>
        <w:t xml:space="preserve">” means certain demand notes incurred in connection with Restricted Payments pursuant to the Jones Act Warrants (or other warrants issued pursuant thereto); </w:t>
      </w:r>
      <w:r>
        <w:rPr>
          <w:rFonts w:ascii="Times New Roman" w:hAnsi="Times New Roman"/>
          <w:i/>
          <w:sz w:val="20"/>
        </w:rPr>
        <w:t>provided</w:t>
      </w:r>
      <w:r>
        <w:rPr>
          <w:rFonts w:ascii="Times New Roman" w:hAnsi="Times New Roman"/>
          <w:sz w:val="20"/>
        </w:rPr>
        <w:t xml:space="preserve"> that, to the extent that such Restricted Payments were made in compliance with </w:t>
      </w:r>
      <w:r>
        <w:rPr>
          <w:rFonts w:ascii="Times New Roman" w:hAnsi="Times New Roman"/>
          <w:sz w:val="20"/>
          <w:u w:val="single"/>
        </w:rPr>
        <w:t>Section 7.06</w:t>
      </w:r>
      <w:r>
        <w:rPr>
          <w:rFonts w:ascii="Times New Roman" w:hAnsi="Times New Roman"/>
          <w:sz w:val="20"/>
        </w:rPr>
        <w:t xml:space="preserve"> (assuming for such purpose that payment by the Borrower of such Jones Act Notes as of such date (even if the actual payment of the Jones Act Notes occurs as of a later date)) constitute a Restricted Payment for purposes of </w:t>
      </w:r>
      <w:r>
        <w:rPr>
          <w:rFonts w:ascii="Times New Roman" w:hAnsi="Times New Roman"/>
          <w:sz w:val="20"/>
          <w:u w:val="single"/>
        </w:rPr>
        <w:t>Section 7.06</w:t>
      </w:r>
      <w:r>
        <w:rPr>
          <w:rFonts w:ascii="Times New Roman" w:hAnsi="Times New Roman"/>
          <w:sz w:val="20"/>
        </w:rPr>
        <w:t xml:space="preserve"> herein (and, for the avoidance of doubt, such payment in respect of the Jones Act Notes shall only be permitted if, at the time such Restricted Payment pursuant to the Jones Act Warrants (or other warrants issued pursuant thereto) is made (even if the actual payment of the Jones Act Notes occurs as of a later date), such payment under the Jones Act Notes would have been permitted under </w:t>
      </w:r>
      <w:r>
        <w:rPr>
          <w:rFonts w:ascii="Times New Roman" w:hAnsi="Times New Roman"/>
          <w:sz w:val="20"/>
          <w:u w:val="single"/>
        </w:rPr>
        <w:t>Section 7.06</w:t>
      </w:r>
      <w:r>
        <w:rPr>
          <w:rFonts w:ascii="Times New Roman" w:hAnsi="Times New Roman"/>
          <w:sz w:val="20"/>
        </w:rPr>
        <w:t xml:space="preserve"> as of such date). </w:t>
      </w:r>
    </w:p>
    <w:p>
      <w:pPr>
        <w:pStyle w:val="TextBody"/>
        <w:bidi w:val="0"/>
        <w:spacing w:before="240" w:after="0"/>
        <w:jc w:val="left"/>
        <w:rPr/>
      </w:pPr>
      <w:r>
        <w:rPr/>
        <w:t>“</w:t>
      </w:r>
      <w:r>
        <w:rPr>
          <w:rFonts w:ascii="Times New Roman" w:hAnsi="Times New Roman"/>
          <w:b/>
          <w:sz w:val="20"/>
        </w:rPr>
        <w:t>Jones Act Vessel</w:t>
      </w:r>
      <w:r>
        <w:rPr>
          <w:rFonts w:ascii="Times New Roman" w:hAnsi="Times New Roman"/>
          <w:sz w:val="20"/>
        </w:rPr>
        <w:t xml:space="preserve">” means, when referring to a vessel, a United States-flagged vessel documented with the United States Coast Guard with a coastwise endorsement and qualified to engage in domestic coastwise trade under the U.S. citizenship and cabotage laws principally contained in 46 U.S.C. § 50501(a), (b) and (d) and 46 U.S.C. Chapters 121 and 551, as amended or modified from time to time, and any successor statutes thereto. </w:t>
      </w:r>
    </w:p>
    <w:p>
      <w:pPr>
        <w:pStyle w:val="TextBody"/>
        <w:bidi w:val="0"/>
        <w:spacing w:before="240" w:after="0"/>
        <w:jc w:val="left"/>
        <w:rPr/>
      </w:pPr>
      <w:r>
        <w:rPr/>
        <w:t>“</w:t>
      </w:r>
      <w:r>
        <w:rPr>
          <w:rFonts w:ascii="Times New Roman" w:hAnsi="Times New Roman"/>
          <w:b/>
          <w:sz w:val="20"/>
        </w:rPr>
        <w:t>Jones Act Warrants</w:t>
      </w:r>
      <w:r>
        <w:rPr>
          <w:rFonts w:ascii="Times New Roman" w:hAnsi="Times New Roman"/>
          <w:sz w:val="20"/>
        </w:rPr>
        <w:t xml:space="preserve">” means those certain warrants issued to certain non-U.S. citizens in settlement of certain liabilities in respect of the Chapter 11 cases in the United States Bankruptcy Court for the Southern District of Texas, Houston Division, consummated September 4, 2020 and in connection with subsequent private offerings of the Borrower’s Equity Interests. </w:t>
      </w:r>
    </w:p>
    <w:p>
      <w:pPr>
        <w:pStyle w:val="TextBody"/>
        <w:bidi w:val="0"/>
        <w:spacing w:before="240" w:after="0"/>
        <w:jc w:val="left"/>
        <w:rPr/>
      </w:pPr>
      <w:r>
        <w:rPr/>
        <w:t>“</w:t>
      </w:r>
      <w:r>
        <w:rPr>
          <w:rFonts w:ascii="Times New Roman" w:hAnsi="Times New Roman"/>
          <w:b/>
          <w:sz w:val="20"/>
        </w:rPr>
        <w:t>Judgment Currency</w:t>
      </w:r>
      <w:r>
        <w:rPr>
          <w:rFonts w:ascii="Times New Roman" w:hAnsi="Times New Roman"/>
          <w:sz w:val="20"/>
        </w:rPr>
        <w:t xml:space="preserve">” has the meaning specified in </w:t>
      </w:r>
      <w:r>
        <w:rPr>
          <w:rFonts w:ascii="Times New Roman" w:hAnsi="Times New Roman"/>
          <w:sz w:val="20"/>
          <w:u w:val="single"/>
        </w:rPr>
        <w:t>Section 2.12(b)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Junior</w:t>
      </w:r>
      <w:r>
        <w:rPr>
          <w:rFonts w:ascii="Times New Roman" w:hAnsi="Times New Roman"/>
          <w:sz w:val="20"/>
        </w:rPr>
        <w:t xml:space="preserve"> </w:t>
      </w:r>
      <w:r>
        <w:rPr>
          <w:rFonts w:ascii="Times New Roman" w:hAnsi="Times New Roman"/>
          <w:b/>
          <w:sz w:val="20"/>
        </w:rPr>
        <w:t>Debt Repayment</w:t>
      </w:r>
      <w:r>
        <w:rPr>
          <w:rFonts w:ascii="Times New Roman" w:hAnsi="Times New Roman"/>
          <w:sz w:val="20"/>
        </w:rPr>
        <w:t xml:space="preserve">” has the meaning specified in </w:t>
      </w:r>
      <w:r>
        <w:rPr>
          <w:rFonts w:ascii="Times New Roman" w:hAnsi="Times New Roman"/>
          <w:sz w:val="20"/>
          <w:u w:val="single"/>
        </w:rPr>
        <w:t>Section 7.09(a)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Junior Financing</w:t>
      </w:r>
      <w:r>
        <w:rPr>
          <w:rFonts w:ascii="Times New Roman" w:hAnsi="Times New Roman"/>
          <w:sz w:val="20"/>
        </w:rPr>
        <w:t xml:space="preserve">” means any Material Indebtedness (with </w:t>
      </w:r>
      <w:r>
        <w:rPr>
          <w:rFonts w:ascii="Times New Roman" w:hAnsi="Times New Roman"/>
          <w:sz w:val="20"/>
          <w:u w:val="single"/>
        </w:rPr>
        <w:t>clause (d)</w:t>
      </w:r>
      <w:r>
        <w:rPr>
          <w:rFonts w:ascii="Times New Roman" w:hAnsi="Times New Roman"/>
          <w:sz w:val="20"/>
        </w:rPr>
        <w:t> of the proviso in the definition thereof being deemed to be limited to Intercompany Indebtedness) that is contractually subordinated in right of payment to the Obligations expressly by its terms.</w:t>
      </w:r>
      <w:r>
        <w:rPr>
          <w:rFonts w:ascii="Times New Roman" w:hAnsi="Times New Roman"/>
          <w:sz w:val="20"/>
          <w:u w:val="single"/>
        </w:rPr>
        <w:t xml:space="preserve"> </w:t>
      </w:r>
    </w:p>
    <w:p>
      <w:pPr>
        <w:pStyle w:val="TextBody"/>
        <w:bidi w:val="0"/>
        <w:spacing w:before="240" w:after="0"/>
        <w:jc w:val="left"/>
        <w:rPr/>
      </w:pPr>
      <w:r>
        <w:rPr/>
        <w:t>“</w:t>
      </w:r>
      <w:r>
        <w:rPr>
          <w:rFonts w:ascii="Times New Roman" w:hAnsi="Times New Roman"/>
          <w:b/>
          <w:sz w:val="20"/>
        </w:rPr>
        <w:t>Junior Financing Documentation</w:t>
      </w:r>
      <w:r>
        <w:rPr>
          <w:rFonts w:ascii="Times New Roman" w:hAnsi="Times New Roman"/>
          <w:sz w:val="20"/>
        </w:rPr>
        <w:t xml:space="preserve">” means any documentation governing any Junior Financing. </w:t>
      </w:r>
    </w:p>
    <w:p>
      <w:pPr>
        <w:pStyle w:val="TextBody"/>
        <w:bidi w:val="0"/>
        <w:spacing w:before="240" w:after="0"/>
        <w:jc w:val="left"/>
        <w:rPr/>
      </w:pPr>
      <w:r>
        <w:rPr/>
        <w:t>“</w:t>
      </w:r>
      <w:r>
        <w:rPr>
          <w:rFonts w:ascii="Times New Roman" w:hAnsi="Times New Roman"/>
          <w:b/>
          <w:sz w:val="20"/>
        </w:rPr>
        <w:t>Laws</w:t>
      </w:r>
      <w:r>
        <w:rPr>
          <w:rFonts w:ascii="Times New Roman" w:hAnsi="Times New Roman"/>
          <w:sz w:val="20"/>
        </w:rPr>
        <w:t xml:space="preserve">” means, collectively, all international, foreign, federal, state, provincial, territorial and local statutes, treaties, rules, legally binding guidelines, regulations, ordinances, codes and administrative or judicial precedents or authorities and executive orders, including the legally binding interpretation or administration thereof by any Governmental Authority charged with the enforcement, interpretation or administration thereof. </w:t>
      </w:r>
    </w:p>
    <w:p>
      <w:pPr>
        <w:pStyle w:val="TextBody"/>
        <w:bidi w:val="0"/>
        <w:spacing w:before="240" w:after="0"/>
        <w:jc w:val="left"/>
        <w:rPr/>
      </w:pPr>
      <w:r>
        <w:rPr/>
        <w:t>“</w:t>
      </w:r>
      <w:r>
        <w:rPr>
          <w:rFonts w:ascii="Times New Roman" w:hAnsi="Times New Roman"/>
          <w:b/>
          <w:sz w:val="20"/>
        </w:rPr>
        <w:t>LCT Election</w:t>
      </w:r>
      <w:r>
        <w:rPr>
          <w:rFonts w:ascii="Times New Roman" w:hAnsi="Times New Roman"/>
          <w:sz w:val="20"/>
        </w:rPr>
        <w:t xml:space="preserve">” has the meaning specified in </w:t>
      </w:r>
      <w:r>
        <w:rPr>
          <w:rFonts w:ascii="Times New Roman" w:hAnsi="Times New Roman"/>
          <w:sz w:val="20"/>
          <w:u w:val="single"/>
        </w:rPr>
        <w:t>Section 1.08(f)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LCT Test Date</w:t>
      </w:r>
      <w:r>
        <w:rPr>
          <w:rFonts w:ascii="Times New Roman" w:hAnsi="Times New Roman"/>
          <w:sz w:val="20"/>
        </w:rPr>
        <w:t xml:space="preserve">” has the meaning specified in </w:t>
      </w:r>
      <w:r>
        <w:rPr>
          <w:rFonts w:ascii="Times New Roman" w:hAnsi="Times New Roman"/>
          <w:sz w:val="20"/>
          <w:u w:val="single"/>
        </w:rPr>
        <w:t>Section 1.08(f)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Lender</w:t>
      </w:r>
      <w:r>
        <w:rPr>
          <w:rFonts w:ascii="Times New Roman" w:hAnsi="Times New Roman"/>
          <w:sz w:val="20"/>
        </w:rPr>
        <w:t xml:space="preserve">” has the meaning specified in the introductory paragraph to this Agreement and their respective successors and assigns as permitted hereunder, each of which is referred to herein as a “Lender.” As of the Closing Date, </w:t>
      </w:r>
      <w:r>
        <w:rPr>
          <w:rFonts w:ascii="Times New Roman" w:hAnsi="Times New Roman"/>
          <w:sz w:val="20"/>
          <w:u w:val="single"/>
        </w:rPr>
        <w:t>Schedule 2.01</w:t>
      </w:r>
      <w:r>
        <w:rPr>
          <w:rFonts w:ascii="Times New Roman" w:hAnsi="Times New Roman"/>
          <w:sz w:val="20"/>
        </w:rPr>
        <w:t xml:space="preserve"> sets forth the name of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Lending Office</w:t>
      </w:r>
      <w:r>
        <w:rPr>
          <w:rFonts w:ascii="Times New Roman" w:hAnsi="Times New Roman"/>
          <w:sz w:val="20"/>
        </w:rPr>
        <w:t xml:space="preserve">” means, as to any Lender, the office or offices of such Lender described as such in such Lender’s Administrative Questionnaire, or such other office or offices as a Lender may from time to time notify the Borrower and the Administrative Agent.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any mortgage, pledge, security interest, encumbrance, lien, hypothecation or charge of any kind (including any conditional sale or other title retention agreement or lease in the nature thereof); </w:t>
      </w:r>
      <w:r>
        <w:rPr>
          <w:rFonts w:ascii="Times New Roman" w:hAnsi="Times New Roman"/>
          <w:i/>
          <w:sz w:val="20"/>
        </w:rPr>
        <w:t>provided</w:t>
      </w:r>
      <w:r>
        <w:rPr>
          <w:rFonts w:ascii="Times New Roman" w:hAnsi="Times New Roman"/>
          <w:sz w:val="20"/>
        </w:rPr>
        <w:t xml:space="preserve"> that in no event shall Non-Financing Lease Obligations be deemed to constitute a Lien. </w:t>
      </w:r>
    </w:p>
    <w:p>
      <w:pPr>
        <w:pStyle w:val="TextBody"/>
        <w:bidi w:val="0"/>
        <w:spacing w:before="240" w:after="0"/>
        <w:jc w:val="left"/>
        <w:rPr/>
      </w:pPr>
      <w:r>
        <w:rPr/>
        <w:t>“</w:t>
      </w:r>
      <w:r>
        <w:rPr>
          <w:rFonts w:ascii="Times New Roman" w:hAnsi="Times New Roman"/>
          <w:b/>
          <w:sz w:val="20"/>
        </w:rPr>
        <w:t>Lien Release Event</w:t>
      </w:r>
      <w:r>
        <w:rPr>
          <w:rFonts w:ascii="Times New Roman" w:hAnsi="Times New Roman"/>
          <w:sz w:val="20"/>
        </w:rPr>
        <w:t xml:space="preserve">” has the meaning specified in </w:t>
      </w:r>
      <w:r>
        <w:rPr>
          <w:rFonts w:ascii="Times New Roman" w:hAnsi="Times New Roman"/>
          <w:sz w:val="20"/>
          <w:u w:val="single"/>
        </w:rPr>
        <w:t>Section 10.11(a)(i)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Limited Condition Transaction</w:t>
      </w:r>
      <w:r>
        <w:rPr>
          <w:rFonts w:ascii="Times New Roman" w:hAnsi="Times New Roman"/>
          <w:sz w:val="20"/>
        </w:rPr>
        <w:t xml:space="preserve">” means (1) any Investment or acquisition (whether by merger, amalgamation, consolidation or other business combination or the acquisition of Equity Interests or otherwise and which may include, for the avoidance of doubt, a transaction that may constitute a Change of Control), (2) any redemption, repurchase, defeasance, satisfaction and discharge or repayment of Indebtedness, Disqualified Equity Interests or Preferred Stock requiring irrevocable notice in advance of such redemption, repurchase, defeasance, satisfaction and discharge or repayment, (3) any Restricted Payment requiring irrevocable notice in advance thereof, (4) any asset sale or a disposition excluded from the definition of “Disposition,” and (5) any combination of any of the foregoing. </w:t>
      </w:r>
    </w:p>
    <w:p>
      <w:pPr>
        <w:pStyle w:val="TextBody"/>
        <w:bidi w:val="0"/>
        <w:spacing w:before="240" w:after="0"/>
        <w:jc w:val="left"/>
        <w:rPr/>
      </w:pPr>
      <w:r>
        <w:rPr/>
        <w:t>“</w:t>
      </w:r>
      <w:r>
        <w:rPr>
          <w:rFonts w:ascii="Times New Roman" w:hAnsi="Times New Roman"/>
          <w:b/>
          <w:sz w:val="20"/>
        </w:rPr>
        <w:t>Liquidity</w:t>
      </w:r>
      <w:r>
        <w:rPr>
          <w:rFonts w:ascii="Times New Roman" w:hAnsi="Times New Roman"/>
          <w:sz w:val="20"/>
        </w:rPr>
        <w:t xml:space="preserve">” means, as of any date of determination, the aggregate amount of cash and Cash Equivalents that is not Restricted, in each case, of the Loan Parties and their Restricted Subsidiaries. </w:t>
      </w:r>
    </w:p>
    <w:p>
      <w:pPr>
        <w:pStyle w:val="TextBody"/>
        <w:bidi w:val="0"/>
        <w:spacing w:before="240" w:after="0"/>
        <w:jc w:val="left"/>
        <w:rPr/>
      </w:pPr>
      <w:r>
        <w:rPr/>
        <w:t>“</w:t>
      </w:r>
      <w:r>
        <w:rPr>
          <w:rFonts w:ascii="Times New Roman" w:hAnsi="Times New Roman"/>
          <w:b/>
          <w:sz w:val="20"/>
        </w:rPr>
        <w:t>Loan Documents</w:t>
      </w:r>
      <w:r>
        <w:rPr>
          <w:rFonts w:ascii="Times New Roman" w:hAnsi="Times New Roman"/>
          <w:sz w:val="20"/>
        </w:rPr>
        <w:t xml:space="preserve">” means, collectively, (a) this Agreement, (b) the Term Loan Notes, if any, (c) the Guaranty, (d) the Collateral Documents, (e) any Intercreditor Agreements required to be entered into pursuant to the terms of this Agreement, (f) the Collateral Trustee Fee Letter, (g) [reserved] and (h) any other document or agreement designated as such by the Borrower and the Administrative Agent. </w:t>
      </w:r>
    </w:p>
    <w:p>
      <w:pPr>
        <w:pStyle w:val="TextBody"/>
        <w:bidi w:val="0"/>
        <w:spacing w:before="240" w:after="0"/>
        <w:jc w:val="left"/>
        <w:rPr/>
      </w:pPr>
      <w:r>
        <w:rPr/>
        <w:t>“</w:t>
      </w:r>
      <w:r>
        <w:rPr>
          <w:rFonts w:ascii="Times New Roman" w:hAnsi="Times New Roman"/>
          <w:b/>
          <w:sz w:val="20"/>
        </w:rPr>
        <w:t>Loan Parties</w:t>
      </w:r>
      <w:r>
        <w:rPr>
          <w:rFonts w:ascii="Times New Roman" w:hAnsi="Times New Roman"/>
          <w:sz w:val="20"/>
        </w:rPr>
        <w:t xml:space="preserve">” means, collectively, the Borrower and the Guarantors. </w:t>
      </w:r>
    </w:p>
    <w:p>
      <w:pPr>
        <w:pStyle w:val="TextBody"/>
        <w:bidi w:val="0"/>
        <w:spacing w:before="240" w:after="0"/>
        <w:jc w:val="left"/>
        <w:rPr/>
      </w:pPr>
      <w:r>
        <w:rPr/>
        <w:t>“</w:t>
      </w:r>
      <w:r>
        <w:rPr>
          <w:rFonts w:ascii="Times New Roman" w:hAnsi="Times New Roman"/>
          <w:b/>
          <w:sz w:val="20"/>
        </w:rPr>
        <w:t>Loans</w:t>
      </w:r>
      <w:r>
        <w:rPr>
          <w:rFonts w:ascii="Times New Roman" w:hAnsi="Times New Roman"/>
          <w:sz w:val="20"/>
        </w:rPr>
        <w:t xml:space="preserve">” has the meaning specified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Low-Spec Vessels</w:t>
      </w:r>
      <w:r>
        <w:rPr>
          <w:rFonts w:ascii="Times New Roman" w:hAnsi="Times New Roman"/>
          <w:sz w:val="20"/>
        </w:rPr>
        <w:t xml:space="preserve">” means, when referring to a Vessel, a Vessel with cargo-carrying capacity of less than 2,500 DWT (i.e., primarily 200 class OSV notations), and/or dynamic-positioning systems with a DP-1 classification or lower. </w:t>
      </w:r>
    </w:p>
    <w:p>
      <w:pPr>
        <w:pStyle w:val="TextBody"/>
        <w:bidi w:val="0"/>
        <w:spacing w:before="240" w:after="0"/>
        <w:jc w:val="left"/>
        <w:rPr/>
      </w:pPr>
      <w:r>
        <w:rPr/>
        <w:t>“</w:t>
      </w:r>
      <w:r>
        <w:rPr>
          <w:rFonts w:ascii="Times New Roman" w:hAnsi="Times New Roman"/>
          <w:b/>
          <w:sz w:val="20"/>
        </w:rPr>
        <w:t>LTV</w:t>
      </w:r>
      <w:r>
        <w:rPr>
          <w:rFonts w:ascii="Times New Roman" w:hAnsi="Times New Roman"/>
          <w:sz w:val="20"/>
        </w:rPr>
        <w:t xml:space="preserve">” has the meaning specified in </w:t>
      </w:r>
      <w:r>
        <w:rPr>
          <w:rFonts w:ascii="Times New Roman" w:hAnsi="Times New Roman"/>
          <w:sz w:val="20"/>
          <w:u w:val="single"/>
        </w:rPr>
        <w:t>Section 2.03(b)(iii)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Management Advances</w:t>
      </w:r>
      <w:r>
        <w:rPr>
          <w:rFonts w:ascii="Times New Roman" w:hAnsi="Times New Roman"/>
          <w:sz w:val="20"/>
        </w:rPr>
        <w:t xml:space="preserve">”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 (a)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Equity Interests (or similar obligations) of the Borrower, its Subsidiaries or any Parent Entity with (in the case of this </w:t>
      </w:r>
      <w:r>
        <w:rPr>
          <w:rFonts w:ascii="Times New Roman" w:hAnsi="Times New Roman"/>
          <w:sz w:val="20"/>
          <w:u w:val="single"/>
        </w:rPr>
        <w:t>clause (1)(b)</w:t>
      </w:r>
      <w:r>
        <w:rPr>
          <w:rFonts w:ascii="Times New Roman" w:hAnsi="Times New Roman"/>
          <w:sz w:val="20"/>
        </w:rPr>
        <w:t xml:space="preserve">) the approval of the Board of Directors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respect of relocation or moving related expenses, payroll advances and other analogous or similar expenses or payroll expenses, in each case incurred in connection with any closing or consolidation of any facility or office; or </w:t>
      </w:r>
    </w:p>
    <w:p>
      <w:pPr>
        <w:pStyle w:val="TextBody"/>
        <w:bidi w:val="0"/>
        <w:spacing w:before="120" w:after="0"/>
        <w:jc w:val="left"/>
        <w:rPr>
          <w:rFonts w:ascii="Times New Roman" w:hAnsi="Times New Roman"/>
          <w:sz w:val="20"/>
        </w:rPr>
      </w:pPr>
      <w:r>
        <w:rPr>
          <w:rFonts w:ascii="Times New Roman" w:hAnsi="Times New Roman"/>
          <w:sz w:val="20"/>
        </w:rPr>
        <w:t xml:space="preserve">(3) not exceeding $2.0 million . </w:t>
      </w:r>
    </w:p>
    <w:p>
      <w:pPr>
        <w:pStyle w:val="TextBody"/>
        <w:bidi w:val="0"/>
        <w:spacing w:before="240" w:after="0"/>
        <w:jc w:val="left"/>
        <w:rPr/>
      </w:pPr>
      <w:r>
        <w:rPr/>
        <w:t>“</w:t>
      </w:r>
      <w:r>
        <w:rPr>
          <w:rFonts w:ascii="Times New Roman" w:hAnsi="Times New Roman"/>
          <w:b/>
          <w:sz w:val="20"/>
        </w:rPr>
        <w:t>Management Stockholders</w:t>
      </w:r>
      <w:r>
        <w:rPr>
          <w:rFonts w:ascii="Times New Roman" w:hAnsi="Times New Roman"/>
          <w:sz w:val="20"/>
        </w:rPr>
        <w:t xml:space="preserve">” means the members of management of the Borrower (or any Parent Entity) or its Subsidiaries who are holders of Equity Interests of the Borrower or of any Parent Entity. </w:t>
      </w:r>
    </w:p>
    <w:p>
      <w:pPr>
        <w:pStyle w:val="TextBody"/>
        <w:bidi w:val="0"/>
        <w:spacing w:before="240" w:after="0"/>
        <w:jc w:val="left"/>
        <w:rPr/>
      </w:pPr>
      <w:r>
        <w:rPr/>
        <w:t>“</w:t>
      </w:r>
      <w:r>
        <w:rPr>
          <w:rFonts w:ascii="Times New Roman" w:hAnsi="Times New Roman"/>
          <w:b/>
          <w:sz w:val="20"/>
        </w:rPr>
        <w:t>Margin Stock</w:t>
      </w:r>
      <w:r>
        <w:rPr>
          <w:rFonts w:ascii="Times New Roman" w:hAnsi="Times New Roman"/>
          <w:sz w:val="20"/>
        </w:rPr>
        <w:t xml:space="preserve">” has the meaning set forth in Regulation U.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event, circumstance or condition that has had a materially adverse effect on (a) the business, operations, assets, liabilities (actual or contingent) or financial condition of the Borrower and the Restricted Subsidiaries, taken as a whole, (b) the ability of the Loan Parties (taken as a whole) to perform their respective payment obligations under any Loan Document to which any of the Loan Parties is a party or (c) the rights and remedies of the Collateral Trustee or the Administrative Agent under any Loan Document. </w:t>
      </w:r>
    </w:p>
    <w:p>
      <w:pPr>
        <w:pStyle w:val="TextBody"/>
        <w:bidi w:val="0"/>
        <w:spacing w:before="240" w:after="0"/>
        <w:jc w:val="left"/>
        <w:rPr/>
      </w:pPr>
      <w:r>
        <w:rPr/>
        <w:t>“</w:t>
      </w:r>
      <w:r>
        <w:rPr>
          <w:rFonts w:ascii="Times New Roman" w:hAnsi="Times New Roman"/>
          <w:b/>
          <w:sz w:val="20"/>
        </w:rPr>
        <w:t>Material Indebtedness</w:t>
      </w:r>
      <w:r>
        <w:rPr>
          <w:rFonts w:ascii="Times New Roman" w:hAnsi="Times New Roman"/>
          <w:sz w:val="20"/>
        </w:rPr>
        <w:t xml:space="preserve">” means, as of any date, Indebtedness for Borrowed Money on such date of any Loan Party in an aggregate principal amount exceeding the Threshold Amount; </w:t>
      </w:r>
      <w:r>
        <w:rPr>
          <w:rFonts w:ascii="Times New Roman" w:hAnsi="Times New Roman"/>
          <w:i/>
          <w:sz w:val="20"/>
        </w:rPr>
        <w:t xml:space="preserve">provided </w:t>
      </w:r>
      <w:r>
        <w:rPr>
          <w:rFonts w:ascii="Times New Roman" w:hAnsi="Times New Roman"/>
          <w:sz w:val="20"/>
        </w:rPr>
        <w:t xml:space="preserve">that in no event shall any of the following be Material Indebtedness (a) Indebtedness under a Loan Document, (b) [reserved], (c) Capitalized Lease Obligations, (d) Indebtedness held by a Loan Party or any Indebtedness held by an Affiliate of a Loan Party and (e) Indebtedness under Hedge Agreements.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January 1, 2033; </w:t>
      </w:r>
      <w:r>
        <w:rPr>
          <w:rFonts w:ascii="Times New Roman" w:hAnsi="Times New Roman"/>
          <w:i/>
          <w:sz w:val="20"/>
        </w:rPr>
        <w:t>provided</w:t>
      </w:r>
      <w:r>
        <w:rPr>
          <w:rFonts w:ascii="Times New Roman" w:hAnsi="Times New Roman"/>
          <w:sz w:val="20"/>
        </w:rPr>
        <w:t xml:space="preserve"> that if such day is not a Business Day, the Maturity Date shall be the Business Day immediately preceding such day. </w:t>
      </w:r>
    </w:p>
    <w:p>
      <w:pPr>
        <w:pStyle w:val="TextBody"/>
        <w:bidi w:val="0"/>
        <w:spacing w:before="240" w:after="0"/>
        <w:jc w:val="left"/>
        <w:rPr/>
      </w:pPr>
      <w:r>
        <w:rPr/>
        <w:t>“</w:t>
      </w:r>
      <w:r>
        <w:rPr>
          <w:rFonts w:ascii="Times New Roman" w:hAnsi="Times New Roman"/>
          <w:b/>
          <w:sz w:val="20"/>
        </w:rPr>
        <w:t>Maximum Rate</w:t>
      </w:r>
      <w:r>
        <w:rPr>
          <w:rFonts w:ascii="Times New Roman" w:hAnsi="Times New Roman"/>
          <w:sz w:val="20"/>
        </w:rPr>
        <w:t xml:space="preserve">” has the meaning specified in </w:t>
      </w:r>
      <w:r>
        <w:rPr>
          <w:rFonts w:ascii="Times New Roman" w:hAnsi="Times New Roman"/>
          <w:sz w:val="20"/>
          <w:u w:val="single"/>
        </w:rPr>
        <w:t>Section 11.10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Measurement Date</w:t>
      </w:r>
      <w:r>
        <w:rPr>
          <w:rFonts w:ascii="Times New Roman" w:hAnsi="Times New Roman"/>
          <w:sz w:val="20"/>
        </w:rPr>
        <w:t xml:space="preserve">” has the meaning assigned to such term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and any successor thereto.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 if liability to a Loan Party remains. </w:t>
      </w:r>
    </w:p>
    <w:p>
      <w:pPr>
        <w:pStyle w:val="TextBody"/>
        <w:bidi w:val="0"/>
        <w:spacing w:before="240" w:after="0"/>
        <w:jc w:val="left"/>
        <w:rPr/>
      </w:pPr>
      <w:r>
        <w:rPr/>
        <w:t>“</w:t>
      </w:r>
      <w:r>
        <w:rPr>
          <w:rFonts w:ascii="Times New Roman" w:hAnsi="Times New Roman"/>
          <w:b/>
          <w:sz w:val="20"/>
        </w:rPr>
        <w:t>Net Income</w:t>
      </w:r>
      <w:r>
        <w:rPr>
          <w:rFonts w:ascii="Times New Roman" w:hAnsi="Times New Roman"/>
          <w:sz w:val="20"/>
        </w:rPr>
        <w:t xml:space="preserve">” means, with respect to any Person, the net income (loss) of such Person, determined in accordance with GAAP (determined, for the avoidance of doubt, on a consolidated basis) and before any reduction in respect of preferred stock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Net Short Lender</w:t>
      </w:r>
      <w:r>
        <w:rPr>
          <w:rFonts w:ascii="Times New Roman" w:hAnsi="Times New Roman"/>
          <w:sz w:val="20"/>
        </w:rPr>
        <w:t xml:space="preserve">” means, at any date of determination, each Lender (other than any Unrestricted Lender) that has a Net Short Position as of such date. </w:t>
      </w:r>
    </w:p>
    <w:p>
      <w:pPr>
        <w:pStyle w:val="TextBody"/>
        <w:bidi w:val="0"/>
        <w:spacing w:before="240" w:after="0"/>
        <w:jc w:val="left"/>
        <w:rPr/>
      </w:pPr>
      <w:r>
        <w:rPr/>
        <w:t>“</w:t>
      </w:r>
      <w:r>
        <w:rPr>
          <w:rFonts w:ascii="Times New Roman" w:hAnsi="Times New Roman"/>
          <w:b/>
          <w:sz w:val="20"/>
        </w:rPr>
        <w:t>Net Short Position</w:t>
      </w:r>
      <w:r>
        <w:rPr>
          <w:rFonts w:ascii="Times New Roman" w:hAnsi="Times New Roman"/>
          <w:sz w:val="20"/>
        </w:rPr>
        <w:t xml:space="preserve">” means, with respect to a Lender (other than an Unrestricted Lender), as of a date of determination, the net positive position, if any, held by such Lender that is remaining after deducting any long position that the Lender holds (i.e., a position (whether as an investor, lender or holder of Loans, debt obligations and/or Derivative Instruments) where the Lender is exposed to the credit risk of Deliverable Obligations of the Loan Parties) from any short positions (i.e., a position as described above, but where the Lender is instead protected from the credit risk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a Lender (other than an Unrestricted Lender) has a Net Short Position on any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(i) Derivative Instruments shall be counted at the notional amount (in Dollars) of such Derivative Instrument; </w:t>
      </w:r>
      <w:r>
        <w:rPr>
          <w:rFonts w:ascii="Times New Roman" w:hAnsi="Times New Roman"/>
          <w:i/>
          <w:sz w:val="20"/>
        </w:rPr>
        <w:t xml:space="preserve">provided </w:t>
      </w:r>
      <w:r>
        <w:rPr>
          <w:rFonts w:ascii="Times New Roman" w:hAnsi="Times New Roman"/>
          <w:sz w:val="20"/>
        </w:rPr>
        <w:t xml:space="preserve">that, subject to </w:t>
      </w:r>
      <w:r>
        <w:rPr>
          <w:rFonts w:ascii="Times New Roman" w:hAnsi="Times New Roman"/>
          <w:sz w:val="20"/>
          <w:u w:val="single"/>
        </w:rPr>
        <w:t>clause (v)</w:t>
      </w:r>
      <w:r>
        <w:rPr>
          <w:rFonts w:ascii="Times New Roman" w:hAnsi="Times New Roman"/>
          <w:sz w:val="20"/>
        </w:rPr>
        <w:t xml:space="preserve"> below, the notional amount of Derivative Instruments referencing an index that includes any of the Loan Parties or any bond or loan obligation issued or guaranteed by any Loan Party shall be determined in proportionate amount and by reference to the percentage weighting of the component which references any Loan Party or any bond or loan obligation issued or guaranteed by any Loan Party that would be a “Deliverable Obligation” or an “Obligation” (as defined in the ISDA CDS Definitions) of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(ii) notional amounts of Derivative Instruments in other currencies shall be converted to the Dollar equivalent thereof by such Lender in accordance with the terms of such Derivative Instruments, as applicable; </w:t>
      </w:r>
      <w:r>
        <w:rPr>
          <w:rFonts w:ascii="Times New Roman" w:hAnsi="Times New Roman"/>
          <w:i/>
          <w:sz w:val="20"/>
        </w:rPr>
        <w:t xml:space="preserve">provided </w:t>
      </w:r>
      <w:r>
        <w:rPr>
          <w:rFonts w:ascii="Times New Roman" w:hAnsi="Times New Roman"/>
          <w:sz w:val="20"/>
        </w:rPr>
        <w:t xml:space="preserve">that if not otherwise provided in such Derivative Instrument, such conversion shall be made in a commercially reasonable manner consistent with generally accepted financial practices and based on the prevailing conversion rate determined (on a mid-market basis) by such Lender, acting in a commercially reasonable manner, on the date of determination; </w:t>
      </w:r>
    </w:p>
    <w:p>
      <w:pPr>
        <w:pStyle w:val="TextBody"/>
        <w:bidi w:val="0"/>
        <w:spacing w:before="120" w:after="0"/>
        <w:jc w:val="left"/>
        <w:rPr>
          <w:rFonts w:ascii="Times New Roman" w:hAnsi="Times New Roman"/>
          <w:sz w:val="20"/>
        </w:rPr>
      </w:pPr>
      <w:r>
        <w:rPr>
          <w:rFonts w:ascii="Times New Roman" w:hAnsi="Times New Roman"/>
          <w:sz w:val="20"/>
        </w:rPr>
        <w:t>(iii) Derivative Instruments that are documented using either the 2014 ISDA Credit Derivatives Definitions or the 2003 ISDA Credit Derivatives Definitions (or any successor definitions thereof, collectively, the “</w:t>
      </w:r>
      <w:r>
        <w:rPr>
          <w:rFonts w:ascii="Times New Roman" w:hAnsi="Times New Roman"/>
          <w:b/>
          <w:sz w:val="20"/>
        </w:rPr>
        <w:t>ISDA CDS Definitions</w:t>
      </w:r>
      <w:r>
        <w:rPr>
          <w:rFonts w:ascii="Times New Roman" w:hAnsi="Times New Roman"/>
          <w:sz w:val="20"/>
        </w:rPr>
        <w:t xml:space="preserve">”) shall be deemed to create a short position with respect to the Loans if such Lender is a protection buyer or the equivalent thereof for such Derivative Instrument and (A) the Loans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or (B) the Loans would be a “Deliverable Obligation” or an “Obligation” (as defined in the ISDA CDS Definitions) of the Loan Parties under the terms of such derivative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credit derivative transactions or other Derivative Instruments not documented using the ISDA CDS Definitions shall be counted for purposes of the Net Short Position determination if, with respect to the Loans, such transactions are functionally equivalent to a transaction that offers such Lender protection in respect of the Loans; and </w:t>
      </w:r>
    </w:p>
    <w:p>
      <w:pPr>
        <w:pStyle w:val="TextBody"/>
        <w:bidi w:val="0"/>
        <w:spacing w:before="120" w:after="0"/>
        <w:jc w:val="left"/>
        <w:rPr>
          <w:rFonts w:ascii="Times New Roman" w:hAnsi="Times New Roman"/>
          <w:sz w:val="20"/>
        </w:rPr>
      </w:pPr>
      <w:r>
        <w:rPr>
          <w:rFonts w:ascii="Times New Roman" w:hAnsi="Times New Roman"/>
          <w:sz w:val="20"/>
        </w:rPr>
        <w:t xml:space="preserve">(v) Derivative Instruments in respect of an index that includes any of the Loan Parties or any instrument issued or guaranteed by any of the Loan Parties shall not be deemed to create a short position, so long as (A) such index is not created, designed, administered or requested by such Lender and (B) the Loan Parties, and any Deliverable Obligation of the Loan Parties, collectively, shall represent less than 5.0% of the components of such index. </w:t>
      </w:r>
    </w:p>
    <w:p>
      <w:pPr>
        <w:pStyle w:val="TextBody"/>
        <w:bidi w:val="0"/>
        <w:spacing w:before="240" w:after="0"/>
        <w:jc w:val="left"/>
        <w:rPr/>
      </w:pPr>
      <w:r>
        <w:rPr/>
        <w:t>“</w:t>
      </w:r>
      <w:r>
        <w:rPr>
          <w:rFonts w:ascii="Times New Roman" w:hAnsi="Times New Roman"/>
          <w:b/>
          <w:sz w:val="20"/>
        </w:rPr>
        <w:t>Net Short Representation</w:t>
      </w:r>
      <w:r>
        <w:rPr>
          <w:rFonts w:ascii="Times New Roman" w:hAnsi="Times New Roman"/>
          <w:sz w:val="20"/>
        </w:rPr>
        <w:t xml:space="preserve">” means, with respect to any Lender (other than an Unrestricted Lender) at any time, a representation and warranty (including any deemed representation and warranty, as the case may be) from such Lender to the Borrower that it is not (x) a Net Short Lender at such time or (y) knowingly and intentionally acting in concert with any of its Affiliates for the express purpose of creating (and in fact creating) the same economic effect with respect to the Loan Parties as though such Lender were a Net Short Lender at such time. </w:t>
      </w:r>
    </w:p>
    <w:p>
      <w:pPr>
        <w:pStyle w:val="TextBody"/>
        <w:bidi w:val="0"/>
        <w:spacing w:before="240" w:after="0"/>
        <w:jc w:val="left"/>
        <w:rPr/>
      </w:pPr>
      <w:r>
        <w:rPr/>
        <w:t>“</w:t>
      </w:r>
      <w:r>
        <w:rPr>
          <w:rFonts w:ascii="Times New Roman" w:hAnsi="Times New Roman"/>
          <w:b/>
          <w:sz w:val="20"/>
        </w:rPr>
        <w:t>Non-Consenting Lender</w:t>
      </w:r>
      <w:r>
        <w:rPr>
          <w:rFonts w:ascii="Times New Roman" w:hAnsi="Times New Roman"/>
          <w:sz w:val="20"/>
        </w:rPr>
        <w:t xml:space="preserve">” has the meaning specified in the penultimate paragraph of </w:t>
      </w:r>
      <w:r>
        <w:rPr>
          <w:rFonts w:ascii="Times New Roman" w:hAnsi="Times New Roman"/>
          <w:sz w:val="20"/>
          <w:u w:val="single"/>
        </w:rPr>
        <w:t>Section 3.07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b/>
          <w:sz w:val="20"/>
        </w:rPr>
        <w:t>Non-Financing Lease Obligation</w:t>
      </w:r>
      <w:r>
        <w:rPr>
          <w:rFonts w:ascii="Times New Roman" w:hAnsi="Times New Roman"/>
          <w:sz w:val="20"/>
        </w:rPr>
        <w:t xml:space="preserve">” means a lease obligation that is not required to be accounted for as a financing or capital lease in accordance with GAAP. For the avoidance of doubt, a straight-line or operating lease shall be considered a Non-Financing Lease Obligation.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means all (a)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and (b) Erroneous Payment Subrogation Rights.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(including any Prepayment Fees), Attorney Costs, indemnities and other amounts payable by any Loan Party under any Loan Document. </w:t>
      </w:r>
    </w:p>
    <w:p>
      <w:pPr>
        <w:pStyle w:val="TextBody"/>
        <w:bidi w:val="0"/>
        <w:spacing w:before="240" w:after="0"/>
        <w:jc w:val="left"/>
        <w:rPr/>
      </w:pPr>
      <w:r>
        <w:rPr/>
        <w:t>“</w:t>
      </w:r>
      <w:r>
        <w:rPr>
          <w:rFonts w:ascii="Times New Roman" w:hAnsi="Times New Roman"/>
          <w:b/>
          <w:sz w:val="20"/>
        </w:rPr>
        <w:t>OLV</w:t>
      </w:r>
      <w:r>
        <w:rPr>
          <w:rFonts w:ascii="Times New Roman" w:hAnsi="Times New Roman"/>
          <w:sz w:val="20"/>
        </w:rPr>
        <w:t>” means (y) in the case of a fair market value (“</w:t>
      </w:r>
      <w:r>
        <w:rPr>
          <w:rFonts w:ascii="Times New Roman" w:hAnsi="Times New Roman"/>
          <w:b/>
          <w:sz w:val="20"/>
        </w:rPr>
        <w:t>FMV</w:t>
      </w:r>
      <w:r>
        <w:rPr>
          <w:rFonts w:ascii="Times New Roman" w:hAnsi="Times New Roman"/>
          <w:sz w:val="20"/>
        </w:rPr>
        <w:t xml:space="preserve">”) appraisal of the Vessel Collateral delivered by VesselsValueTM, the amount equal to 80% of such FMV or (z) the appraised orderly liquidated value of the Vessel Collateral delivered by a Specified Qualified Appraiser.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Organization Documents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corporation, the certificate or articles of incorporation and the bylaws (or equivalent or comparable constitutive documents with respect to any non-U.S.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limited liability company, the certificate or articles of formation or organization and operating agreement; and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by any Loan Document).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has the meaning specified in </w:t>
      </w:r>
      <w:r>
        <w:rPr>
          <w:rFonts w:ascii="Times New Roman" w:hAnsi="Times New Roman"/>
          <w:sz w:val="20"/>
          <w:u w:val="single"/>
        </w:rPr>
        <w:t>Section 3.01(f)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Overnight Rate</w:t>
      </w:r>
      <w:r>
        <w:rPr>
          <w:rFonts w:ascii="Times New Roman" w:hAnsi="Times New Roman"/>
          <w:sz w:val="20"/>
        </w:rPr>
        <w:t xml:space="preserve">” means, for any day, the greater of (i) the Federal Funds Rate and (ii) an overnight rate determined by the Administrative Agent in accordance with banking industry rules on interbank compensation. </w:t>
      </w:r>
    </w:p>
    <w:p>
      <w:pPr>
        <w:pStyle w:val="TextBody"/>
        <w:bidi w:val="0"/>
        <w:spacing w:before="240" w:after="0"/>
        <w:jc w:val="left"/>
        <w:rPr/>
      </w:pPr>
      <w:r>
        <w:rPr/>
        <w:t>“</w:t>
      </w:r>
      <w:r>
        <w:rPr>
          <w:rFonts w:ascii="Times New Roman" w:hAnsi="Times New Roman"/>
          <w:b/>
          <w:sz w:val="20"/>
        </w:rPr>
        <w:t>Parent Entity</w:t>
      </w:r>
      <w:r>
        <w:rPr>
          <w:rFonts w:ascii="Times New Roman" w:hAnsi="Times New Roman"/>
          <w:sz w:val="20"/>
        </w:rPr>
        <w:t xml:space="preserve">” has the meaning specified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Participant</w:t>
      </w:r>
      <w:r>
        <w:rPr>
          <w:rFonts w:ascii="Times New Roman" w:hAnsi="Times New Roman"/>
          <w:sz w:val="20"/>
        </w:rPr>
        <w:t xml:space="preserve">” has the meaning specified in </w:t>
      </w:r>
      <w:r>
        <w:rPr>
          <w:rFonts w:ascii="Times New Roman" w:hAnsi="Times New Roman"/>
          <w:sz w:val="20"/>
          <w:u w:val="single"/>
        </w:rPr>
        <w:t>Section 11.07(d)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Participant Register</w:t>
      </w:r>
      <w:r>
        <w:rPr>
          <w:rFonts w:ascii="Times New Roman" w:hAnsi="Times New Roman"/>
          <w:sz w:val="20"/>
        </w:rPr>
        <w:t xml:space="preserve">” has the meaning specified in </w:t>
      </w:r>
      <w:r>
        <w:rPr>
          <w:rFonts w:ascii="Times New Roman" w:hAnsi="Times New Roman"/>
          <w:sz w:val="20"/>
          <w:u w:val="single"/>
        </w:rPr>
        <w:t>Section 11.07(e)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Participating Member State</w:t>
      </w:r>
      <w:r>
        <w:rPr>
          <w:rFonts w:ascii="Times New Roman" w:hAnsi="Times New Roman"/>
          <w:sz w:val="20"/>
        </w:rPr>
        <w:t xml:space="preserve">” means each state as described in any EMU Legislation. </w:t>
      </w:r>
    </w:p>
    <w:p>
      <w:pPr>
        <w:pStyle w:val="TextBody"/>
        <w:bidi w:val="0"/>
        <w:spacing w:before="240" w:after="0"/>
        <w:jc w:val="left"/>
        <w:rPr/>
      </w:pPr>
      <w:r>
        <w:rPr/>
        <w:t>“</w:t>
      </w:r>
      <w:r>
        <w:rPr>
          <w:rFonts w:ascii="Times New Roman" w:hAnsi="Times New Roman"/>
          <w:b/>
          <w:sz w:val="20"/>
        </w:rPr>
        <w:t>Payment Date</w:t>
      </w:r>
      <w:r>
        <w:rPr>
          <w:rFonts w:ascii="Times New Roman" w:hAnsi="Times New Roman"/>
          <w:sz w:val="20"/>
        </w:rPr>
        <w:t xml:space="preserve">” has the meaning specified in </w:t>
      </w:r>
      <w:r>
        <w:rPr>
          <w:rFonts w:ascii="Times New Roman" w:hAnsi="Times New Roman"/>
          <w:sz w:val="20"/>
          <w:u w:val="single"/>
        </w:rPr>
        <w:t>Section 2.04(a)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Payment Percentage</w:t>
      </w:r>
      <w:r>
        <w:rPr>
          <w:rFonts w:ascii="Times New Roman" w:hAnsi="Times New Roman"/>
          <w:sz w:val="20"/>
        </w:rPr>
        <w:t xml:space="preserve">” means an amount equal to a fraction, the numerator of which is the actual amount prepaid to the Administrative Agent (for the benefit of the Lenders) pursuant to </w:t>
      </w:r>
      <w:r>
        <w:rPr>
          <w:rFonts w:ascii="Times New Roman" w:hAnsi="Times New Roman"/>
          <w:sz w:val="20"/>
          <w:u w:val="single"/>
        </w:rPr>
        <w:t>Section 2.03(b)(i)</w:t>
      </w:r>
      <w:r>
        <w:rPr>
          <w:rFonts w:ascii="Times New Roman" w:hAnsi="Times New Roman"/>
          <w:sz w:val="20"/>
        </w:rPr>
        <w:t xml:space="preserve"> and/or </w:t>
      </w:r>
      <w:r>
        <w:rPr>
          <w:rFonts w:ascii="Times New Roman" w:hAnsi="Times New Roman"/>
          <w:sz w:val="20"/>
          <w:u w:val="single"/>
        </w:rPr>
        <w:t>Section 2.03(b)(ii)</w:t>
      </w:r>
      <w:r>
        <w:rPr>
          <w:rFonts w:ascii="Times New Roman" w:hAnsi="Times New Roman"/>
          <w:sz w:val="20"/>
        </w:rPr>
        <w:t xml:space="preserve"> divided by the Release Value of the Vessel so sold, reflagged, transferred, conveyed, designated, lost or similarly disposed. </w:t>
      </w:r>
    </w:p>
    <w:p>
      <w:pPr>
        <w:pStyle w:val="TextBody"/>
        <w:bidi w:val="0"/>
        <w:spacing w:before="240" w:after="0"/>
        <w:jc w:val="left"/>
        <w:rPr/>
      </w:pPr>
      <w:r>
        <w:rPr/>
        <w:t>“</w:t>
      </w:r>
      <w:r>
        <w:rPr>
          <w:rFonts w:ascii="Times New Roman" w:hAnsi="Times New Roman"/>
          <w:b/>
          <w:sz w:val="20"/>
        </w:rPr>
        <w:t>Payment Recipient</w:t>
      </w:r>
      <w:r>
        <w:rPr>
          <w:rFonts w:ascii="Times New Roman" w:hAnsi="Times New Roman"/>
          <w:sz w:val="20"/>
        </w:rPr>
        <w:t xml:space="preserve">” has the meaning specified in </w:t>
      </w:r>
      <w:r>
        <w:rPr>
          <w:rFonts w:ascii="Times New Roman" w:hAnsi="Times New Roman"/>
          <w:sz w:val="20"/>
          <w:u w:val="single"/>
        </w:rPr>
        <w:t>Section 10.17(a)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means the Pension Benefit Guaranty Corporation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Pension Plan</w:t>
      </w:r>
      <w:r>
        <w:rPr>
          <w:rFonts w:ascii="Times New Roman" w:hAnsi="Times New Roman"/>
          <w:sz w:val="20"/>
        </w:rPr>
        <w:t xml:space="preserve">” means any “employee pension benefit plan” (as such term is defined in Section 3(2) of ERISA), other than a Multiemployer Plan, that is subject to Title IV of ERISA or Section 302 of ERISA or Section 412 of the Code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or has had an obligation to make, contributions at any time in the preceding five plan years if liability to a Loan Party remains. </w:t>
      </w:r>
    </w:p>
    <w:p>
      <w:pPr>
        <w:pStyle w:val="TextBody"/>
        <w:bidi w:val="0"/>
        <w:spacing w:before="240" w:after="0"/>
        <w:jc w:val="left"/>
        <w:rPr/>
      </w:pPr>
      <w:r>
        <w:rPr/>
        <w:t>“</w:t>
      </w:r>
      <w:r>
        <w:rPr>
          <w:rFonts w:ascii="Times New Roman" w:hAnsi="Times New Roman"/>
          <w:b/>
          <w:sz w:val="20"/>
        </w:rPr>
        <w:t>Permitted Asset Swap</w:t>
      </w:r>
      <w:r>
        <w:rPr>
          <w:rFonts w:ascii="Times New Roman" w:hAnsi="Times New Roman"/>
          <w:sz w:val="20"/>
        </w:rPr>
        <w:t xml:space="preserve">” means the concurrent purchase and sale or exchange of assets (other than any Vessel Collateral) used or useful in a Similar Business or a combination of such assets and cash, Cash Equivalents between the Borrower or any of the Restricted Subsidiaries and another Person. </w:t>
      </w:r>
    </w:p>
    <w:p>
      <w:pPr>
        <w:pStyle w:val="TextBody"/>
        <w:bidi w:val="0"/>
        <w:spacing w:before="240" w:after="0"/>
        <w:jc w:val="left"/>
        <w:rPr/>
      </w:pPr>
      <w:r>
        <w:rPr/>
        <w:t>“</w:t>
      </w:r>
      <w:r>
        <w:rPr>
          <w:rFonts w:ascii="Times New Roman" w:hAnsi="Times New Roman"/>
          <w:b/>
          <w:sz w:val="20"/>
        </w:rPr>
        <w:t>Permitted Change of Control</w:t>
      </w:r>
      <w:r>
        <w:rPr>
          <w:rFonts w:ascii="Times New Roman" w:hAnsi="Times New Roman"/>
          <w:sz w:val="20"/>
        </w:rPr>
        <w:t xml:space="preserve">” has the meaning specified in the definition of Change of Control. </w:t>
      </w:r>
    </w:p>
    <w:p>
      <w:pPr>
        <w:pStyle w:val="TextBody"/>
        <w:bidi w:val="0"/>
        <w:spacing w:before="240" w:after="0"/>
        <w:jc w:val="left"/>
        <w:rPr/>
      </w:pPr>
      <w:r>
        <w:rPr/>
        <w:t>“</w:t>
      </w:r>
      <w:r>
        <w:rPr>
          <w:rFonts w:ascii="Times New Roman" w:hAnsi="Times New Roman"/>
          <w:b/>
          <w:sz w:val="20"/>
        </w:rPr>
        <w:t>Permitted Consent Event</w:t>
      </w:r>
      <w:r>
        <w:rPr>
          <w:rFonts w:ascii="Times New Roman" w:hAnsi="Times New Roman"/>
          <w:sz w:val="20"/>
        </w:rPr>
        <w:t xml:space="preserve">” has the meaning specified in </w:t>
      </w:r>
      <w:r>
        <w:rPr>
          <w:rFonts w:ascii="Times New Roman" w:hAnsi="Times New Roman"/>
          <w:sz w:val="20"/>
          <w:u w:val="single"/>
        </w:rPr>
        <w:t>Section 10.11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Debt</w:t>
      </w:r>
      <w:r>
        <w:rPr>
          <w:rFonts w:ascii="Times New Roman" w:hAnsi="Times New Roman"/>
          <w:sz w:val="20"/>
        </w:rPr>
        <w:t xml:space="preserve">” has the meaning specified in </w:t>
      </w:r>
      <w:r>
        <w:rPr>
          <w:rFonts w:ascii="Times New Roman" w:hAnsi="Times New Roman"/>
          <w:sz w:val="20"/>
          <w:u w:val="single"/>
        </w:rPr>
        <w:t>Section 7.03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Holders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the Sponsors; </w:t>
      </w:r>
    </w:p>
    <w:p>
      <w:pPr>
        <w:pStyle w:val="TextBody"/>
        <w:bidi w:val="0"/>
        <w:spacing w:before="120" w:after="0"/>
        <w:jc w:val="left"/>
        <w:rPr>
          <w:rFonts w:ascii="Times New Roman" w:hAnsi="Times New Roman"/>
          <w:sz w:val="20"/>
        </w:rPr>
      </w:pPr>
      <w:r>
        <w:rPr>
          <w:rFonts w:ascii="Times New Roman" w:hAnsi="Times New Roman"/>
          <w:sz w:val="20"/>
        </w:rPr>
        <w:t xml:space="preserve">(b) the Management Stockholders (including any Management Stockholders holding Equity Interests through an equityholding vehicle); </w:t>
      </w:r>
    </w:p>
    <w:p>
      <w:pPr>
        <w:pStyle w:val="TextBody"/>
        <w:bidi w:val="0"/>
        <w:spacing w:before="120" w:after="0"/>
        <w:jc w:val="left"/>
        <w:rPr>
          <w:rFonts w:ascii="Times New Roman" w:hAnsi="Times New Roman"/>
          <w:sz w:val="20"/>
        </w:rPr>
      </w:pPr>
      <w:r>
        <w:rPr>
          <w:rFonts w:ascii="Times New Roman" w:hAnsi="Times New Roman"/>
          <w:sz w:val="20"/>
        </w:rPr>
        <w:t xml:space="preserve">(c) any Person who is acting solely as an underwriter in connection with a public or private offering of Equity Interests of any Parent Entity or the Borrower, acting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(d) 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members and any member of such group; </w:t>
      </w:r>
      <w:r>
        <w:rPr>
          <w:rFonts w:ascii="Times New Roman" w:hAnsi="Times New Roman"/>
          <w:i/>
          <w:sz w:val="20"/>
        </w:rPr>
        <w:t>provided</w:t>
      </w:r>
      <w:r>
        <w:rPr>
          <w:rFonts w:ascii="Times New Roman" w:hAnsi="Times New Roman"/>
          <w:sz w:val="20"/>
        </w:rPr>
        <w:t xml:space="preserve"> that, in the case of such group and without giving effect to the existence of such group or any other group, Persons referred to in </w:t>
      </w:r>
      <w:r>
        <w:rPr>
          <w:rFonts w:ascii="Times New Roman" w:hAnsi="Times New Roman"/>
          <w:sz w:val="20"/>
          <w:u w:val="single"/>
        </w:rPr>
        <w:t>subclauses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collectively, have beneficial ownership of more than 50% of the total voting power of the Voting Stock of the Borrower or any Parent Entity held by such group; </w:t>
      </w:r>
    </w:p>
    <w:p>
      <w:pPr>
        <w:pStyle w:val="TextBody"/>
        <w:bidi w:val="0"/>
        <w:spacing w:before="120" w:after="0"/>
        <w:jc w:val="left"/>
        <w:rPr>
          <w:rFonts w:ascii="Times New Roman" w:hAnsi="Times New Roman"/>
          <w:sz w:val="20"/>
        </w:rPr>
      </w:pPr>
      <w:r>
        <w:rPr>
          <w:rFonts w:ascii="Times New Roman" w:hAnsi="Times New Roman"/>
          <w:sz w:val="20"/>
        </w:rPr>
        <w:t xml:space="preserve">(e) any Holding Company in connection with and immediately following a Qualifying IPO or, prior to a Qualifying IPO, to the extent such Holding Company itself (or any of its Parent Entities) is listed on any United States national securities exchange; and </w:t>
      </w:r>
    </w:p>
    <w:p>
      <w:pPr>
        <w:pStyle w:val="TextBody"/>
        <w:bidi w:val="0"/>
        <w:spacing w:before="120" w:after="0"/>
        <w:jc w:val="left"/>
        <w:rPr>
          <w:rFonts w:ascii="Times New Roman" w:hAnsi="Times New Roman"/>
          <w:sz w:val="20"/>
        </w:rPr>
      </w:pPr>
      <w:r>
        <w:rPr>
          <w:rFonts w:ascii="Times New Roman" w:hAnsi="Times New Roman"/>
          <w:sz w:val="20"/>
        </w:rPr>
        <w:t xml:space="preserve">(f) any Permitted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Person or group whose acquisition of beneficial ownership constitutes a Change of Control in respect of which the Required Lenders have provided a consent in accordance with this Agreement will thereafter, together with its Affiliates, constitute an additional Permitted Holder. </w:t>
      </w:r>
    </w:p>
    <w:p>
      <w:pPr>
        <w:pStyle w:val="TextBody"/>
        <w:bidi w:val="0"/>
        <w:spacing w:before="240" w:after="0"/>
        <w:jc w:val="left"/>
        <w:rPr/>
      </w:pPr>
      <w:r>
        <w:rPr/>
        <w:t>“</w:t>
      </w:r>
      <w:r>
        <w:rPr>
          <w:rFonts w:ascii="Times New Roman" w:hAnsi="Times New Roman"/>
          <w:b/>
          <w:sz w:val="20"/>
        </w:rPr>
        <w:t>Permitted Intercompany Activities</w:t>
      </w:r>
      <w:r>
        <w:rPr>
          <w:rFonts w:ascii="Times New Roman" w:hAnsi="Times New Roman"/>
          <w:sz w:val="20"/>
        </w:rPr>
        <w:t xml:space="preserve">” means any transactions (A) between or among the Borrower and its Restricted Subsidiaries that are entered into in the ordinary course of business or consistent with past practice of the Borrower and its Restricted Subsidiaries and, in the reasonable determination of the Borrower are necessary or advisable in connection with the ownership or operation of the business of the Borrower and its Restricted Subsidiaries, including (i) payroll, cash management, purchasing, insurance and hedging arrangements; (ii) management, technology and licensing arrangements; (iii) customary loyalty and rewards programs and (iv) Vessel reflagging arrangements (to the extent the reflagging is otherwise permitted hereunder); and (B) between or among the Borrower, its Restricted Subsidiaries and any Captive Insurance Subsidiary. </w:t>
      </w:r>
    </w:p>
    <w:p>
      <w:pPr>
        <w:pStyle w:val="TextBody"/>
        <w:bidi w:val="0"/>
        <w:spacing w:before="240" w:after="0"/>
        <w:jc w:val="left"/>
        <w:rPr/>
      </w:pPr>
      <w:r>
        <w:rPr/>
        <w:t>“</w:t>
      </w:r>
      <w:r>
        <w:rPr>
          <w:rFonts w:ascii="Times New Roman" w:hAnsi="Times New Roman"/>
          <w:b/>
          <w:sz w:val="20"/>
        </w:rPr>
        <w:t>Permitted Investment</w:t>
      </w:r>
      <w:r>
        <w:rPr>
          <w:rFonts w:ascii="Times New Roman" w:hAnsi="Times New Roman"/>
          <w:sz w:val="20"/>
        </w:rPr>
        <w:t xml:space="preserve">” means (in each case, by the Borrower or any of the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(1) Investments in (a) a Restricted Subsidiary (including the Equity Interests of, or guarantees of obligations of, a Restricted Subsidiary) or the Borrower or (b) a Person (including the Equity Interests of any such Person) that will, upon the making of such Investment, become a Restricted Subsidiary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(2) Investments in another Person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Borrower or a Restricted Subsidiary, and any Investment held by such Person; </w:t>
      </w:r>
      <w:r>
        <w:rPr>
          <w:rFonts w:ascii="Times New Roman" w:hAnsi="Times New Roman"/>
          <w:i/>
          <w:sz w:val="20"/>
        </w:rPr>
        <w:t xml:space="preserve">provided </w:t>
      </w:r>
      <w:r>
        <w:rPr>
          <w:rFonts w:ascii="Times New Roman" w:hAnsi="Times New Roman"/>
          <w:sz w:val="20"/>
        </w:rPr>
        <w:t xml:space="preserve">that such Investment was not acquired by such Person in contemplation of such acquisition, merger, amalgamation, consolidation, combination, transfer or conveyance; </w:t>
      </w:r>
    </w:p>
    <w:p>
      <w:pPr>
        <w:pStyle w:val="TextBody"/>
        <w:bidi w:val="0"/>
        <w:spacing w:before="120" w:after="0"/>
        <w:jc w:val="left"/>
        <w:rPr>
          <w:rFonts w:ascii="Times New Roman" w:hAnsi="Times New Roman"/>
          <w:sz w:val="20"/>
        </w:rPr>
      </w:pPr>
      <w:r>
        <w:rPr>
          <w:rFonts w:ascii="Times New Roman" w:hAnsi="Times New Roman"/>
          <w:sz w:val="20"/>
        </w:rPr>
        <w:t xml:space="preserve">(3) Investments in cash, Cash Equivalents or Investment Grade Securities; </w:t>
      </w:r>
    </w:p>
    <w:p>
      <w:pPr>
        <w:pStyle w:val="TextBody"/>
        <w:bidi w:val="0"/>
        <w:spacing w:before="120" w:after="0"/>
        <w:jc w:val="left"/>
        <w:rPr>
          <w:rFonts w:ascii="Times New Roman" w:hAnsi="Times New Roman"/>
          <w:sz w:val="20"/>
        </w:rPr>
      </w:pPr>
      <w:r>
        <w:rPr>
          <w:rFonts w:ascii="Times New Roman" w:hAnsi="Times New Roman"/>
          <w:sz w:val="20"/>
        </w:rPr>
        <w:t xml:space="preserve">(4) Investments in receivables owing to the Borrower or any Restricted Subsidiary created or acquired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(5) Investments in payroll, travel, entertainment, relocation, moving related and similar advances that are made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(6) Management Advances; </w:t>
      </w:r>
    </w:p>
    <w:p>
      <w:pPr>
        <w:pStyle w:val="TextBody"/>
        <w:bidi w:val="0"/>
        <w:spacing w:before="120" w:after="0"/>
        <w:jc w:val="left"/>
        <w:rPr>
          <w:rFonts w:ascii="Times New Roman" w:hAnsi="Times New Roman"/>
          <w:sz w:val="20"/>
        </w:rPr>
      </w:pPr>
      <w:r>
        <w:rPr>
          <w:rFonts w:ascii="Times New Roman" w:hAnsi="Times New Roman"/>
          <w:sz w:val="20"/>
        </w:rPr>
        <w:t xml:space="preserve">(7) 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held by the Borrower or any such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Investments made as a result of the receipt of promissory notes or other non-cash consideration (including earn-outs) from a sale or other disposition of property or assets that complies with or is permitted by </w:t>
      </w:r>
      <w:r>
        <w:rPr>
          <w:rFonts w:ascii="Times New Roman" w:hAnsi="Times New Roman"/>
          <w:sz w:val="20"/>
          <w:u w:val="single"/>
        </w:rPr>
        <w:t>Section 7.05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 Investments existing or pursuant to binding commitments, agreements or arrangements in effect on the Closing Date and any modification, replacement, renewal, reinvestment or extension thereof; </w:t>
      </w:r>
      <w:r>
        <w:rPr>
          <w:rFonts w:ascii="Times New Roman" w:hAnsi="Times New Roman"/>
          <w:i/>
          <w:sz w:val="20"/>
        </w:rPr>
        <w:t xml:space="preserve">provided </w:t>
      </w:r>
      <w:r>
        <w:rPr>
          <w:rFonts w:ascii="Times New Roman" w:hAnsi="Times New Roman"/>
          <w:sz w:val="20"/>
        </w:rPr>
        <w:t xml:space="preserve">that the amount of any such Investment may not be increased except (i) as required by the terms of such Investment or binding commitment as in existence on the Closing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Closing Date or (ii) as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 Obligations in respect of Hedge Agreements (excluding Hedge Agreements entered into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(11) pledges or deposits with respect to leases or utilities provided to third parties in the ordinary course of business or Liens otherwise made in connection with Liens permitted under </w:t>
      </w:r>
      <w:r>
        <w:rPr>
          <w:rFonts w:ascii="Times New Roman" w:hAnsi="Times New Roman"/>
          <w:sz w:val="20"/>
          <w:u w:val="single"/>
        </w:rPr>
        <w:t>Section 7.01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 any Investment to the extent made using Equity Interests of the Borrower (other than Disqualified Equity Interests) or Equity Interests of any Parent Entity or any Unrestricted Subsidiary as consideration; </w:t>
      </w:r>
    </w:p>
    <w:p>
      <w:pPr>
        <w:pStyle w:val="TextBody"/>
        <w:bidi w:val="0"/>
        <w:spacing w:before="120" w:after="0"/>
        <w:jc w:val="left"/>
        <w:rPr>
          <w:rFonts w:ascii="Times New Roman" w:hAnsi="Times New Roman"/>
          <w:sz w:val="20"/>
        </w:rPr>
      </w:pPr>
      <w:r>
        <w:rPr>
          <w:rFonts w:ascii="Times New Roman" w:hAnsi="Times New Roman"/>
          <w:sz w:val="20"/>
        </w:rPr>
        <w:t xml:space="preserve">(13) Investments consisting of (i) purchases or other acquisitions of inventory, supplies, materials, equipment and similar assets or (ii) licenses, sublicenses, cross-licenses, leases, subleases, assignments, contributions or other Investments of intellectual property or other intangibles or services in the ordinary course of business pursuant to any joint development, joint venture or marketing arrangements with other Persons or any Intercompany License Agreement and any other Investments made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(14) (i) Guarantees of Indebtedness that does not constitute Specified Debt or is otherwise not prohibited by </w:t>
      </w:r>
      <w:r>
        <w:rPr>
          <w:rFonts w:ascii="Times New Roman" w:hAnsi="Times New Roman"/>
          <w:sz w:val="20"/>
          <w:u w:val="single"/>
        </w:rPr>
        <w:t xml:space="preserve">Section 7.03 </w:t>
      </w:r>
      <w:r>
        <w:rPr>
          <w:rFonts w:ascii="Times New Roman" w:hAnsi="Times New Roman"/>
          <w:sz w:val="20"/>
        </w:rPr>
        <w:t xml:space="preserve">and (other than with respect to Indebtedness) guarantees, keepwells and similar arrangements in the ordinary course of business or consistent with past practice, and (ii) performance guarantees and Contingent Obligations with respect to obligations that are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(15) Investments consisting of earnest money deposits required in connection with a purchase agreement, or letter of intent, or other acquisitions to the extent not otherwise prohibited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Investments of a Restricted Subsidiary acquired after the Closing Date or of an entity merged or amalgamated into or consolidated with the Borrower or merged or amalgamated into or consolidated with a Restricted Subsidiary after the Closing Date to the extent that such Investments were not made in contemplation of or in connection with such acquisition, merger, amalgamation or consolidation and were in existence on the date of such acquisition, merger, amalgamation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(17) contributions to a “rabbi” trust for the benefit of any employee, director, officer, manager, contractor, consultant, advisor or other service providers or other grantor trust subject to claims of creditors in the case of a bankruptcy of the Borrower, and Investments relating to non-qualified deferred payment plans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(18) provided no Default or Event of Default has occurred and is continuing, Investments in joint ventures and similar entities and Unrestricted Subsidiaries having an aggregate Fair Market Value, when taken together with all other Investments made pursuant to this clause that are at the time outstanding, not to exceed the greater of (i) $25.0 million and (ii) an amount equal to 3.0% of the Borrower’s Consolidated Net Tangible Assets determined as of the end of the Borrower’s most recently completed fiscal quarter for which internal financial statements are available in the aggregate outstanding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of any amounts applied pursuant to </w:t>
      </w:r>
      <w:r>
        <w:rPr>
          <w:rFonts w:ascii="Times New Roman" w:hAnsi="Times New Roman"/>
          <w:sz w:val="20"/>
          <w:u w:val="single"/>
        </w:rPr>
        <w:t>Section 7.06(d)(iv)</w:t>
      </w:r>
      <w:r>
        <w:rPr>
          <w:rFonts w:ascii="Times New Roman" w:hAnsi="Times New Roman"/>
          <w:sz w:val="20"/>
        </w:rPr>
        <w:t xml:space="preserve">) with the Fair Market Value of each Investment being measured at the time made and without giving effect to subsequent changes in value;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Investment pursuant to this clause is made in any Person that is not the Borrower or a Restricted Subsidiary at the date of the making of such Investment (A) and such person becomes the Borrower or a Restricted Subsidiary after such date, such Investment shall thereafter be deemed to have been made pursuant to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above and shall cease to have been made pursuant to this clause and (B) the Borrower shall be in pro forma compliance with the Financial Covenants upon giving effect to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(19) provided no Default or Event of Default has occurred and is continuing, additional Investments having an aggregate Fair Market Value, taken together with all other Investments made pursuant to this clause that are at that time outstanding, not to exceed the greater of (i) $75.0 million and (ii) an amount equal to 10.0% of the Borrower’s Consolidated Net Tangible Assets determined as of the end of the Borrower’s most recently completed fiscal quarter for which internal financial statements are available in the aggregate outstanding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of any amounts applied pursuant to </w:t>
      </w:r>
      <w:r>
        <w:rPr>
          <w:rFonts w:ascii="Times New Roman" w:hAnsi="Times New Roman"/>
          <w:sz w:val="20"/>
          <w:u w:val="single"/>
        </w:rPr>
        <w:t>Section 7.06(d)(iv)</w:t>
      </w:r>
      <w:r>
        <w:rPr>
          <w:rFonts w:ascii="Times New Roman" w:hAnsi="Times New Roman"/>
          <w:sz w:val="20"/>
        </w:rPr>
        <w:t xml:space="preserve">) with the Fair Market Value of each Investment being measured at the time made and without giving effect to subsequent changes in value; </w:t>
      </w:r>
      <w:r>
        <w:rPr>
          <w:rFonts w:ascii="Times New Roman" w:hAnsi="Times New Roman"/>
          <w:i/>
          <w:sz w:val="20"/>
        </w:rPr>
        <w:t>provided, however</w:t>
      </w:r>
      <w:r>
        <w:rPr>
          <w:rFonts w:ascii="Times New Roman" w:hAnsi="Times New Roman"/>
          <w:sz w:val="20"/>
        </w:rPr>
        <w:t xml:space="preserve">, that if any Investment pursuant to this clause is made in any Person that is not the Borrower or a Restricted Subsidiary at the date of the making of such Investment (A) and such Person becomes the Borrower or a Restricted Subsidiary after such date, such Investment shall thereafter be deemed to have been made pursuant to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above and shall cease to have been made pursuant to this clause and (B) the Borrower shall be in pro forma compliance with the Financial Covenants upon giving effect to such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[reserved]; </w:t>
      </w:r>
    </w:p>
    <w:p>
      <w:pPr>
        <w:pStyle w:val="TextBody"/>
        <w:bidi w:val="0"/>
        <w:spacing w:before="120" w:after="0"/>
        <w:jc w:val="left"/>
        <w:rPr>
          <w:rFonts w:ascii="Times New Roman" w:hAnsi="Times New Roman"/>
          <w:sz w:val="20"/>
        </w:rPr>
      </w:pPr>
      <w:r>
        <w:rPr>
          <w:rFonts w:ascii="Times New Roman" w:hAnsi="Times New Roman"/>
          <w:sz w:val="20"/>
        </w:rPr>
        <w:t xml:space="preserve">(21) [reserved]; </w:t>
      </w:r>
    </w:p>
    <w:p>
      <w:pPr>
        <w:pStyle w:val="TextBody"/>
        <w:bidi w:val="0"/>
        <w:spacing w:before="120" w:after="0"/>
        <w:jc w:val="left"/>
        <w:rPr>
          <w:rFonts w:ascii="Times New Roman" w:hAnsi="Times New Roman"/>
          <w:sz w:val="20"/>
        </w:rPr>
      </w:pPr>
      <w:r>
        <w:rPr>
          <w:rFonts w:ascii="Times New Roman" w:hAnsi="Times New Roman"/>
          <w:sz w:val="20"/>
        </w:rPr>
        <w:t xml:space="preserve">(22) Investments made from casualty insurance proceeds in connection with the replacement, substitution, restoration or repair of assets on account of a Casualty Event; </w:t>
      </w:r>
    </w:p>
    <w:p>
      <w:pPr>
        <w:pStyle w:val="TextBody"/>
        <w:bidi w:val="0"/>
        <w:spacing w:before="120" w:after="0"/>
        <w:jc w:val="left"/>
        <w:rPr>
          <w:rFonts w:ascii="Times New Roman" w:hAnsi="Times New Roman"/>
          <w:sz w:val="20"/>
        </w:rPr>
      </w:pPr>
      <w:r>
        <w:rPr>
          <w:rFonts w:ascii="Times New Roman" w:hAnsi="Times New Roman"/>
          <w:sz w:val="20"/>
        </w:rPr>
        <w:t xml:space="preserve">(23) guaranty and indemnification obligations arising in connection with surety bonds issued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contacts and loans or (c) advances, loans, extensions of credit (including the creation of receivables) or prepayments made to, and guarantees with respect to obligations of, franchisees, distributors, suppliers, lessors, licensors and licensees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(25) Investments in prepaid expenses, negotiable instruments held for collection and lease, utility and workers compensation, performance and similar deposits entered into as a result of the operations of the business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(26) Investments consisting of UCC Article 3 endorsements for collection or deposit and Article 4 trade arrangements with customers (or any comparable or similar provisions in other Applicable Jurisdictions) in the ordinary course of business or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(27) any Investment by any Captive Insurance Subsidiary in connection with the provision of insurance to the Borrower or any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(28) non-cash Investments in connection with Tax planning and reorganization activities, and Investments in connection with a Permitted Intercompany Activities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(29) [reserved]; and </w:t>
      </w:r>
    </w:p>
    <w:p>
      <w:pPr>
        <w:pStyle w:val="TextBody"/>
        <w:bidi w:val="0"/>
        <w:spacing w:before="120" w:after="0"/>
        <w:jc w:val="left"/>
        <w:rPr>
          <w:rFonts w:ascii="Times New Roman" w:hAnsi="Times New Roman"/>
          <w:sz w:val="20"/>
        </w:rPr>
      </w:pPr>
      <w:r>
        <w:rPr>
          <w:rFonts w:ascii="Times New Roman" w:hAnsi="Times New Roman"/>
          <w:sz w:val="20"/>
        </w:rPr>
        <w:t xml:space="preserve">(30) any other Investment so long as no Default or Event of Default has occurred and is continuing and immediately after giving pro forma effect to the Investment and the incurrence of any Indebtedness the net proceeds of which are used to make such Investment, the Total Net Leverage Ratio shall be no greater than 2.00 to 1.00 and the Borrower shall be in pro forma compliance with the Financial Covenants upon giving effect to such Investment. </w:t>
      </w:r>
    </w:p>
    <w:p>
      <w:pPr>
        <w:pStyle w:val="TextBody"/>
        <w:bidi w:val="0"/>
        <w:spacing w:before="240" w:after="0"/>
        <w:jc w:val="left"/>
        <w:rPr/>
      </w:pPr>
      <w:r>
        <w:rPr/>
        <w:t>“</w:t>
      </w:r>
      <w:r>
        <w:rPr>
          <w:rFonts w:ascii="Times New Roman" w:hAnsi="Times New Roman"/>
          <w:b/>
          <w:sz w:val="20"/>
        </w:rPr>
        <w:t>Permitted Junior Debt Repayment</w:t>
      </w:r>
      <w:r>
        <w:rPr>
          <w:rFonts w:ascii="Times New Roman" w:hAnsi="Times New Roman"/>
          <w:sz w:val="20"/>
        </w:rPr>
        <w:t xml:space="preserve">” has the meaning specified in </w:t>
      </w:r>
      <w:r>
        <w:rPr>
          <w:rFonts w:ascii="Times New Roman" w:hAnsi="Times New Roman"/>
          <w:sz w:val="20"/>
          <w:u w:val="single"/>
        </w:rPr>
        <w:t>Section 7.09(a)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Lien</w:t>
      </w:r>
      <w:r>
        <w:rPr>
          <w:rFonts w:ascii="Times New Roman" w:hAnsi="Times New Roman"/>
          <w:sz w:val="20"/>
        </w:rPr>
        <w:t xml:space="preserve">” means any Lien permitted under </w:t>
      </w:r>
      <w:r>
        <w:rPr>
          <w:rFonts w:ascii="Times New Roman" w:hAnsi="Times New Roman"/>
          <w:sz w:val="20"/>
          <w:u w:val="single"/>
        </w:rPr>
        <w:t>Section 7.01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Permitted Maritime Lien</w:t>
      </w:r>
      <w:r>
        <w:rPr>
          <w:rFonts w:ascii="Times New Roman" w:hAnsi="Times New Roman"/>
          <w:sz w:val="20"/>
        </w:rPr>
        <w:t xml:space="preserve">” means, at any time with respect to any Vessel Collateral: </w:t>
      </w:r>
    </w:p>
    <w:p>
      <w:pPr>
        <w:pStyle w:val="TextBody"/>
        <w:bidi w:val="0"/>
        <w:spacing w:before="120" w:after="0"/>
        <w:jc w:val="left"/>
        <w:rPr>
          <w:rFonts w:ascii="Times New Roman" w:hAnsi="Times New Roman"/>
          <w:sz w:val="20"/>
        </w:rPr>
      </w:pPr>
      <w:r>
        <w:rPr>
          <w:rFonts w:ascii="Times New Roman" w:hAnsi="Times New Roman"/>
          <w:sz w:val="20"/>
        </w:rPr>
        <w:t xml:space="preserve">(1) Liens for crews’ wages (including the wages of the master of any Vessel) that are incurred in the ordinary course of business and have accrued for not more than forty-five (45) days unless any such Lien is being contested in good faith and by appropriate proceedings or other acts by the relevant Loan Party and the relevant Loan Party shall have set aside on its books adequate reserves with respect to such Lien; </w:t>
      </w:r>
    </w:p>
    <w:p>
      <w:pPr>
        <w:pStyle w:val="TextBody"/>
        <w:bidi w:val="0"/>
        <w:spacing w:before="120" w:after="0"/>
        <w:jc w:val="left"/>
        <w:rPr>
          <w:rFonts w:ascii="Times New Roman" w:hAnsi="Times New Roman"/>
          <w:sz w:val="20"/>
        </w:rPr>
      </w:pPr>
      <w:r>
        <w:rPr>
          <w:rFonts w:ascii="Times New Roman" w:hAnsi="Times New Roman"/>
          <w:sz w:val="20"/>
        </w:rPr>
        <w:t xml:space="preserve">(2) Liens for salvage (including contract salvage) or general average, and Liens for wages of stevedores employed by the owner of any Vessel, the master of such Vessel or a charterer or lessee of such Vessel, which in each case have accrued for not more than forty-five (45) days unless any such Lien is being contested in good faith and by appropriate proceedings or other acts by the relevant Loan Party and such Loan Party shall have set aside on its books adequate reserves with respect to such Lien; </w:t>
      </w:r>
    </w:p>
    <w:p>
      <w:pPr>
        <w:pStyle w:val="TextBody"/>
        <w:bidi w:val="0"/>
        <w:spacing w:before="120" w:after="0"/>
        <w:jc w:val="left"/>
        <w:rPr>
          <w:rFonts w:ascii="Times New Roman" w:hAnsi="Times New Roman"/>
          <w:sz w:val="20"/>
        </w:rPr>
      </w:pPr>
      <w:r>
        <w:rPr>
          <w:rFonts w:ascii="Times New Roman" w:hAnsi="Times New Roman"/>
          <w:sz w:val="20"/>
        </w:rPr>
        <w:t xml:space="preserve">(3) shipyard Liens and other Liens arising by operation of law arising in the ordinary course of business in operating, maintaining, repairing, modifying, refurbishing, or rebuilding any Vessel (other than those referred to in (1) and (2) above), including maritime Liens for necessaries, which in each case have accrued for not more than forty-five (45) days unless any such Lien is being contested in good faith and by appropriate proceedings or other acts by the relevant Loan Party, and such Loan Party shall have set aside on its books adequate reserves with respect to such Lien; </w:t>
      </w:r>
    </w:p>
    <w:p>
      <w:pPr>
        <w:pStyle w:val="TextBody"/>
        <w:bidi w:val="0"/>
        <w:spacing w:before="120" w:after="0"/>
        <w:jc w:val="left"/>
        <w:rPr>
          <w:rFonts w:ascii="Times New Roman" w:hAnsi="Times New Roman"/>
          <w:sz w:val="20"/>
        </w:rPr>
      </w:pPr>
      <w:r>
        <w:rPr>
          <w:rFonts w:ascii="Times New Roman" w:hAnsi="Times New Roman"/>
          <w:sz w:val="20"/>
        </w:rPr>
        <w:t xml:space="preserve">(4) Liens for damages arising from maritime torts which are unclaimed, or are covered by insurance and any deductible applicable thereto, or in respect of which a bond or other security has been posted on behalf of the relevant Loan Party with the appropriate court or other tribunal to prevent the arrest or secure the release of any Vessel from arrest, unless any such Lien is being contested in good faith and by appropriate proceedings or other acts by the relevant Loan Party, and such Loan Party shall have set aside on its books adequate reserves with respect to such Lien; </w:t>
      </w:r>
    </w:p>
    <w:p>
      <w:pPr>
        <w:pStyle w:val="TextBody"/>
        <w:bidi w:val="0"/>
        <w:spacing w:before="120" w:after="0"/>
        <w:jc w:val="left"/>
        <w:rPr>
          <w:rFonts w:ascii="Times New Roman" w:hAnsi="Times New Roman"/>
          <w:sz w:val="20"/>
        </w:rPr>
      </w:pPr>
      <w:r>
        <w:rPr>
          <w:rFonts w:ascii="Times New Roman" w:hAnsi="Times New Roman"/>
          <w:sz w:val="20"/>
        </w:rPr>
        <w:t xml:space="preserve">(5) Liens that, as indicated by the written admission of liability therefor by an insurance company, are covered by insurance (subject to reasonable deductibles); </w:t>
      </w:r>
    </w:p>
    <w:p>
      <w:pPr>
        <w:pStyle w:val="TextBody"/>
        <w:bidi w:val="0"/>
        <w:spacing w:before="120" w:after="0"/>
        <w:jc w:val="left"/>
        <w:rPr>
          <w:rFonts w:ascii="Times New Roman" w:hAnsi="Times New Roman"/>
          <w:sz w:val="20"/>
        </w:rPr>
      </w:pPr>
      <w:r>
        <w:rPr>
          <w:rFonts w:ascii="Times New Roman" w:hAnsi="Times New Roman"/>
          <w:sz w:val="20"/>
        </w:rPr>
        <w:t xml:space="preserve">(6) Liens securing or otherwise arising out of judgments, decrees, attachments, orders or awards and Settlement Liens, in each case, not in an aggregate amount in excess of the Threshold Amount; and </w:t>
      </w:r>
    </w:p>
    <w:p>
      <w:pPr>
        <w:pStyle w:val="TextBody"/>
        <w:bidi w:val="0"/>
        <w:spacing w:before="120" w:after="0"/>
        <w:jc w:val="left"/>
        <w:rPr>
          <w:rFonts w:ascii="Times New Roman" w:hAnsi="Times New Roman"/>
          <w:sz w:val="20"/>
        </w:rPr>
      </w:pPr>
      <w:r>
        <w:rPr>
          <w:rFonts w:ascii="Times New Roman" w:hAnsi="Times New Roman"/>
          <w:sz w:val="20"/>
        </w:rPr>
        <w:t xml:space="preserve">(7) Liens for charters or subcharters or leases or subleases, including any charter, subcharter, lease or sublease permitted under this Agreement. </w:t>
      </w:r>
    </w:p>
    <w:p>
      <w:pPr>
        <w:pStyle w:val="TextBody"/>
        <w:bidi w:val="0"/>
        <w:spacing w:before="240" w:after="0"/>
        <w:jc w:val="left"/>
        <w:rPr/>
      </w:pPr>
      <w:r>
        <w:rPr/>
        <w:t>“</w:t>
      </w:r>
      <w:r>
        <w:rPr>
          <w:rFonts w:ascii="Times New Roman" w:hAnsi="Times New Roman"/>
          <w:b/>
          <w:sz w:val="20"/>
        </w:rPr>
        <w:t>Permitted Payment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the payment of any dividend or distribution within sixty (60) days after the date of declaration thereof, if at the date of declaration such payment would have complied with the provisions of this Agreement or the redemption, repurchase or retirement of Indebtedness if, at the date of any redemption notice, such payment would have complied with the provisions of this Agreement as if it were and is deemed at such time to be a Restricted Payment at the time of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(a) any prepayment, purchase, repurchase, redemption, defeasance, discharge, retirement or other acquisition of Equity Interests, including any accrued and unpaid dividends thereon (“</w:t>
      </w:r>
      <w:r>
        <w:rPr>
          <w:rFonts w:ascii="Times New Roman" w:hAnsi="Times New Roman"/>
          <w:b/>
          <w:sz w:val="20"/>
        </w:rPr>
        <w:t>Treasury Equity Interests</w:t>
      </w:r>
      <w:r>
        <w:rPr>
          <w:rFonts w:ascii="Times New Roman" w:hAnsi="Times New Roman"/>
          <w:sz w:val="20"/>
        </w:rPr>
        <w:t>”) made by exchange (including any such exchange pursuant to the exercise of a conversion right or privilege in connection with which cash is paid in lieu of the issuance of fractional shares) for, or out of the proceeds of the substantially concurrent sale of, Equity Interests of the Borrower or any Parent Entity to the extent contributed to the Borrower (in each case, other than Disqualified Equity Interests) (“</w:t>
      </w:r>
      <w:r>
        <w:rPr>
          <w:rFonts w:ascii="Times New Roman" w:hAnsi="Times New Roman"/>
          <w:b/>
          <w:sz w:val="20"/>
        </w:rPr>
        <w:t>Refunding Equity Interests</w:t>
      </w:r>
      <w:r>
        <w:rPr>
          <w:rFonts w:ascii="Times New Roman" w:hAnsi="Times New Roman"/>
          <w:sz w:val="20"/>
        </w:rPr>
        <w:t xml:space="preserve">”) and (b) the declaration and payment of dividends on Treasury Equity Interests out of the proceeds of the substantially concurrent sale or issuance (other than to a Subsidiary of the Borrower or to an employee stock ownership plan or any trust established by a Parent Entity, the Borrower or any of its Subsidiaries) of Refunding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(3) any prepayment, purchase, repurchase, exchange, redemption, defeasance, discharge, retirement or other acquisition of Junior Financing (in each case, to the extent such Junior Financing is permitted by the terms of this Agreement) made by exchange for, or out of the proceeds of the substantially concurrent sale of, any Refinancing Indebtedness permitted to be incurred pursuant to </w:t>
      </w:r>
      <w:r>
        <w:rPr>
          <w:rFonts w:ascii="Times New Roman" w:hAnsi="Times New Roman"/>
          <w:sz w:val="20"/>
          <w:u w:val="single"/>
        </w:rPr>
        <w:t>Section 7.03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any prepayment, purchase, repurchase, exchange, redemption, defeasance, discharge, retirement or other acquisition of preferred stock of the Borrower or a Restricted Subsidiary made by exchange for, or out of the proceeds of the substantially concurrent sale of, preferred stock of the Borrower or a Restricted Subsidiary,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(5) any prepayment, purchase, repurchase, redemption, defeasance, discharge, retirement or other acquisition of Subordinated Indebtedness of the Issuer or a Restricted Subsidiary to the extent required by the agreement governing such Subordinated Indebtedness, following the occurrence of (i) a Change of Control (or other similar event described therein as a “change of control”) or (ii) an asset disposition (or other similar event described therein as an “asset disposition” or “asset sale”), but only if the Borrower shall have first complied with the terms described under “—Change of Control” or “— Limitation on Sales of Assets and Subsidiary Stock,” as applicable, and purchased all notes tendered pursuant to the offer to repurchase all the notes required thereby, prior to purchasing, repurchasing, redeeming, defeasing or otherwise acquiring or retiring such Subordinated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(6) a Restricted Payment to pay for the prepayment, purchase, repurchase, redemption, defeasance, discharge, retirement or other acquisition of Equity Interests of the Borrower or any Parent Entity held by any future, present or former employee, director, officer, manager, contractor, consultant or advisor (or their respective Controlled Investment Affiliates or Immediate Family Members) of the Borrower, any of its Subsidiaries or any Parent Entity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Borrower or any Parent Entity in connection with such prepayment, purchase, repurchase, redemption, defeasance, discharge, retirement or other acquisition), including any Equity Interests rolled over, accelerated or paid out by or to any employee, director, officer, manager, contractor, consultant or advisor (or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Controlled Investment Affiliates or Immediate Family Members) of the Borrower, any of its Subsidiaries or any Parent Entity in connection with any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aggregate Restricted Payments made under this clause do not exceed (x) the greater of (i) $15.0 million and (ii) an amount equal to 1.5% of the Borrower’s Consolidated Net Tangible Assets determined as of the end of the Borrower’s most recently completed fiscal quarter for which internal financial statements are available in any fiscal year (with unused amounts in any fiscal year being carried over to succeeding fiscal years) or (y) subsequent to the consummation of a Qualifying IPO of the Borrower or any Parent Entity, the greater of (i) $25.0 million and (ii) an amount equal to 3.0% of the Borrower’s Consolidated Net Tangible Assets determined as of the end of the Borrower’s most recently completed fiscal quarter for which internal financial statements are available in any fiscal year (with unused amounts in any fiscal year being carried over to succeeding fiscal years);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amount in any fiscal year may be increased by an amount not to exceed: </w:t>
      </w:r>
    </w:p>
    <w:p>
      <w:pPr>
        <w:pStyle w:val="TextBody"/>
        <w:bidi w:val="0"/>
        <w:spacing w:before="120" w:after="0"/>
        <w:jc w:val="left"/>
        <w:rPr>
          <w:rFonts w:ascii="Times New Roman" w:hAnsi="Times New Roman"/>
          <w:sz w:val="20"/>
        </w:rPr>
      </w:pPr>
      <w:r>
        <w:rPr>
          <w:rFonts w:ascii="Times New Roman" w:hAnsi="Times New Roman"/>
          <w:sz w:val="20"/>
        </w:rPr>
        <w:t xml:space="preserve">(a) the cash proceeds from the sale of Equity Interests (other than Disqualified Equity Interests) of the Borrower and, to the extent contributed to the capital of the Borrower, the cash proceeds from the sale of Equity Interests of any Parent Entity, in each case, to any future, present or former employee, director, officer, manager, contractor, consultant or advisor (or their respective Controlled Investment Affiliates or Immediate Family Members) of the Borrower, any of its Subsidiaries or any Parent Entity that occurred after the Closing Date, to the extent the cash proceeds from the sale of such Equity Interests have not otherwise been applied to the payment of Restricted Payments by virtue of </w:t>
      </w:r>
      <w:r>
        <w:rPr>
          <w:rFonts w:ascii="Times New Roman" w:hAnsi="Times New Roman"/>
          <w:sz w:val="20"/>
          <w:u w:val="single"/>
        </w:rPr>
        <w:t>clause (c)</w:t>
      </w:r>
      <w:r>
        <w:rPr>
          <w:rFonts w:ascii="Times New Roman" w:hAnsi="Times New Roman"/>
          <w:sz w:val="20"/>
        </w:rPr>
        <w:t xml:space="preserve"> of the preceding paragraph; plus </w:t>
      </w:r>
    </w:p>
    <w:p>
      <w:pPr>
        <w:pStyle w:val="TextBody"/>
        <w:bidi w:val="0"/>
        <w:spacing w:before="120" w:after="0"/>
        <w:jc w:val="left"/>
        <w:rPr>
          <w:rFonts w:ascii="Times New Roman" w:hAnsi="Times New Roman"/>
          <w:sz w:val="20"/>
        </w:rPr>
      </w:pPr>
      <w:r>
        <w:rPr>
          <w:rFonts w:ascii="Times New Roman" w:hAnsi="Times New Roman"/>
          <w:sz w:val="20"/>
        </w:rPr>
        <w:t xml:space="preserve">(b) the cash proceeds of key man life insurance policies received by the Borrower or its Restricted Subsidiaries (or any Parent Entity to the extent contributed to the Borrower) after the Closing Date; less </w:t>
      </w:r>
    </w:p>
    <w:p>
      <w:pPr>
        <w:pStyle w:val="TextBody"/>
        <w:bidi w:val="0"/>
        <w:spacing w:before="120" w:after="0"/>
        <w:jc w:val="left"/>
        <w:rPr>
          <w:rFonts w:ascii="Times New Roman" w:hAnsi="Times New Roman"/>
          <w:sz w:val="20"/>
        </w:rPr>
      </w:pPr>
      <w:r>
        <w:rPr>
          <w:rFonts w:ascii="Times New Roman" w:hAnsi="Times New Roman"/>
          <w:sz w:val="20"/>
        </w:rPr>
        <w:t xml:space="preserve">(c) the amount of any Restricted Payments made in previous calendar years pursuant to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this clause; </w:t>
      </w:r>
      <w:r>
        <w:rPr>
          <w:rFonts w:ascii="Times New Roman" w:hAnsi="Times New Roman"/>
          <w:i/>
          <w:sz w:val="20"/>
        </w:rPr>
        <w:t xml:space="preserve">provided </w:t>
      </w:r>
      <w:r>
        <w:rPr>
          <w:rFonts w:ascii="Times New Roman" w:hAnsi="Times New Roman"/>
          <w:sz w:val="20"/>
        </w:rPr>
        <w:t xml:space="preserve">that the Borrower may elect to apply all or any portion of the aggregate increase contemplated by </w:t>
      </w:r>
      <w:r>
        <w:rPr>
          <w:rFonts w:ascii="Times New Roman" w:hAnsi="Times New Roman"/>
          <w:sz w:val="20"/>
          <w:u w:val="single"/>
        </w:rPr>
        <w:t>subclauses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this clause in any fiscal year;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 cancellation of Indebtedness owing to the Borrower or any Restricted Subsidiary from any future, present or former employee, director, officer, manager, contractor, consultant or advisor (or their respective Controlled Investment Affiliates or Immediate Family Members) of the Borrower or Restricted Subsidiaries or any Parent Entity in connection with a repurchase of Equity Interests of the Borrower or any Parent Entity and (ii) the repurchase of Equity Interests deemed to occur upon the exercise of options, warrants or similar instruments if such Equity Interests represents all or a portion of the exercise price thereof and payments, in lieu of the issuance of fractional shares of such Equity Interests or withholding to pay other Taxes payable in connection therewith,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will not be deemed to constitute a Restricted Payment for purposes of this covenant or any other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(7) the declaration and payment of dividends on Disqualified Equity Interests of the Borrower or any of its Restricted Subsidiaries or preferred stock of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payments made or expected to be made by the Borrower or any Restricted Subsidiary in respect of withholding or similar Taxes payable in connection with the exercise or vesting of Equity Interests or any other equity award by any future, present or former employee, director, officer, manager, contractor, consultant or advisor (or their respective Controlled Investment Affiliates or Immediate Family Members) of the Borrower or any Restricted Subsidiary or any Parent Entity and purchases, repurchases, redemptions, defeasances or other acquisitions or retirements of Equity Interests deemed to occur upon the exercise, conversion or exchange of stock options, warrants, equity-based awards or other rights in respect thereof if such Equity Interests represents a portion of the exercise price thereof or payments in respect of withholding or similar Taxes payable upon exercise or vesting thereof; </w:t>
      </w:r>
    </w:p>
    <w:p>
      <w:pPr>
        <w:pStyle w:val="TextBody"/>
        <w:bidi w:val="0"/>
        <w:spacing w:before="120" w:after="0"/>
        <w:jc w:val="left"/>
        <w:rPr>
          <w:rFonts w:ascii="Times New Roman" w:hAnsi="Times New Roman"/>
          <w:sz w:val="20"/>
        </w:rPr>
      </w:pPr>
      <w:r>
        <w:rPr>
          <w:rFonts w:ascii="Times New Roman" w:hAnsi="Times New Roman"/>
          <w:sz w:val="20"/>
        </w:rPr>
        <w:t xml:space="preserve">(9) (a) the declaration and payment of dividends on the common stock, common equity interests or Jones Act Warrants (including, for the avoidance of doubt, in the form of notes, warrants or similar Indebtedness) of the Borrower or any Parent Entity (and any equivalent declaration and payment of a distribution of any security exchangeable for such common stock, common equity interests or Jones Act Warrants to the extent required by the terms of any such exchangeable securities and any Restricted Payment to any such Parent Entity to fund the payment by such Parent Entity of dividends on such entity’s Equity Interests), following a public offering of such common stock, common equity interests or Jones Act Warrants (or such exchangeable securities, as applicable), in an amount in any fiscal year not to exceed 6% of the amount of net cash proceeds received by or contributed to the Borrower or any of its Restricted Subsidiaries from any such public offering; or (b) in lieu of all or a portion of the dividends permitted by </w:t>
      </w:r>
      <w:r>
        <w:rPr>
          <w:rFonts w:ascii="Times New Roman" w:hAnsi="Times New Roman"/>
          <w:sz w:val="20"/>
          <w:u w:val="single"/>
        </w:rPr>
        <w:t>clause (a)</w:t>
      </w:r>
      <w:r>
        <w:rPr>
          <w:rFonts w:ascii="Times New Roman" w:hAnsi="Times New Roman"/>
          <w:sz w:val="20"/>
        </w:rPr>
        <w:t xml:space="preserve">, any prepayment, purchase, repurchase, redemption, defeasance, discharge, retirement or other acquisition of the Borrower’s Equity Interests (and any equivalent declaration and payment of a distribution of any security exchangeable for such common stock, common equity interests or Jones Act Warrants to the extent required by the terms of any such exchangeable securities and any Restricted Payment to any such Parent Entity to fund the payment by such Parent Entity of dividends on such entity’s Equity Interests) for aggregate consideration that, when taken together with dividends permitted by </w:t>
      </w:r>
      <w:r>
        <w:rPr>
          <w:rFonts w:ascii="Times New Roman" w:hAnsi="Times New Roman"/>
          <w:sz w:val="20"/>
          <w:u w:val="single"/>
        </w:rPr>
        <w:t>clause (a)</w:t>
      </w:r>
      <w:r>
        <w:rPr>
          <w:rFonts w:ascii="Times New Roman" w:hAnsi="Times New Roman"/>
          <w:sz w:val="20"/>
        </w:rPr>
        <w:t xml:space="preserve">, does not exceed the amount contemplated by </w:t>
      </w:r>
      <w:r>
        <w:rPr>
          <w:rFonts w:ascii="Times New Roman" w:hAnsi="Times New Roman"/>
          <w:sz w:val="20"/>
          <w:u w:val="single"/>
        </w:rPr>
        <w:t>clause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(10) payments by the Borrower, or loans, advances, dividends or distributions to any Parent Entity to make payments, to holders of Equity Interests of the Borrower or any Parent Entity in lieu of the issuance of fractional shares of such Equity Interests,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payment, loan, advance, dividend or distribution shall not be for the purpose of evading any limitation of this covenant or otherwise to facilitate any dividend or other return of capital to the holders of such Equity Interests (as determined in good faith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(11) distributions, by dividend or otherwise, or other transfer or disposition of shares of Equity Interests of, or equity interests in, an Unrestricted Subsidiary (or a Restricted Subsidiary that owns one or more Unrestricted Subsidiaries and no other material assets), or Indebtedness owed to the Borrower or a Restricted Subsidiary by an Unrestricted Subsidiary (or a Restricted Subsidiary that owns one or more Unrestricted Subsidiaries and no other material assets), in each case, other than Unrestricted Subsidiaries, substantially all of the assets of which are 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(12) the repurchase of warrants, common equity or other equity instruments of the Borrower to occur on or about the Closing Date as contemplated by the recitals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(i) so long as, immediately after giving pro forma effect to the payment of any such Restricted Payment and the incurrence of any Indebtedness the net proceeds of which are used to make such Restricted Payment, no Default or Event of Default has occurred and is continuing (or would result therefrom), Restricted Payments (including, for the avoidance of doubt, in the form of notes, warrants or similar Indebtedness and including loans or advances) in an aggregate amount outstanding at the time made not to exceed the greater of (x) $50.0 million and (y) an amount equal to 6.0% of the Borrower’s Consolidated Net Tangible Assets determined as of the end of the Borrower’s most recently completed fiscal quarter for which internal financial statements are available, and (ii) any Restricted Payments, so long as, immediately after giving pro forma effect to the payment of any such Restricted Payment and the incurrence of any Indebtedness the net proceeds of which are used to make such Restricted Payment, (A) no Default or Event of Default has occurred and is continuing (or would result therefrom) and (B) the Total Net Leverage Ratio shall be no greater than 1.50 to 1.00; </w:t>
      </w:r>
      <w:r>
        <w:rPr>
          <w:rFonts w:ascii="Times New Roman" w:hAnsi="Times New Roman"/>
          <w:i/>
          <w:sz w:val="20"/>
        </w:rPr>
        <w:t>provided, however,</w:t>
      </w:r>
      <w:r>
        <w:rPr>
          <w:rFonts w:ascii="Times New Roman" w:hAnsi="Times New Roman"/>
          <w:sz w:val="20"/>
        </w:rPr>
        <w:t xml:space="preserve"> in the case of this clause (13), the Borrower shall be in pro forma compliance with the Financial Covenants upon giving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(14) 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Times New Roman" w:hAnsi="Times New Roman"/>
          <w:sz w:val="20"/>
          <w:u w:val="single"/>
        </w:rPr>
        <w:t>Section 7.04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(15) any Restricted Payment made in connection with a Permitted Intercompany Activity or related transactions; </w:t>
      </w:r>
      <w:r>
        <w:rPr>
          <w:rFonts w:ascii="Times New Roman" w:hAnsi="Times New Roman"/>
          <w:i/>
          <w:sz w:val="20"/>
        </w:rPr>
        <w:t>provided</w:t>
      </w:r>
      <w:r>
        <w:rPr>
          <w:rFonts w:ascii="Times New Roman" w:hAnsi="Times New Roman"/>
          <w:sz w:val="20"/>
        </w:rPr>
        <w:t xml:space="preserve"> that Restricted Payments in connection with Permitted Intercompany Activities between the Borrower and Restricted Subsidiaries that are Loan Parties, on the one hand, and Restricted Subsidiaries that are not Loan Parties or any other Person, on the other hand, shall only be permitted so long as an Event of Default has not occurred and is continuing (other than, for the avoidance of doubt, Permitted Intercompany Activities in accordance with clause (A)(i) of the definition thereof); and </w:t>
      </w:r>
    </w:p>
    <w:p>
      <w:pPr>
        <w:pStyle w:val="TextBody"/>
        <w:bidi w:val="0"/>
        <w:spacing w:before="120" w:after="0"/>
        <w:jc w:val="left"/>
        <w:rPr>
          <w:rFonts w:ascii="Times New Roman" w:hAnsi="Times New Roman"/>
          <w:sz w:val="20"/>
        </w:rPr>
      </w:pPr>
      <w:r>
        <w:rPr>
          <w:rFonts w:ascii="Times New Roman" w:hAnsi="Times New Roman"/>
          <w:sz w:val="20"/>
        </w:rPr>
        <w:t>(16) the making of (i) cash payments made by the Borrower or any of its Restricted Subsidiaries in satisfaction of the conversion obligation upon conversion into the Borrower equity of convertible Indebtedness issued in a convertible notes offering (it being understood that the satisfaction of such conversion obligation in cash shall not increase the Available Amount) and (ii) any payments by the Borrower or any of its Restricted Subsidiaries pursuant to the initiation, exercise, settlement or termination of any Hedge Agreement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a “</w:t>
      </w:r>
      <w:r>
        <w:rPr>
          <w:rFonts w:ascii="Times New Roman" w:hAnsi="Times New Roman"/>
          <w:b/>
          <w:sz w:val="20"/>
        </w:rPr>
        <w:t>Conversion Settlement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Plan</w:t>
      </w:r>
      <w:r>
        <w:rPr>
          <w:rFonts w:ascii="Times New Roman" w:hAnsi="Times New Roman"/>
          <w:sz w:val="20"/>
        </w:rPr>
        <w:t xml:space="preserve">” means any employee benefits plan of the Borrower or any of its Affiliates and any Person acting in its capacity as trustee, agent or other fiduciary or administrator of any such plan. </w:t>
      </w:r>
    </w:p>
    <w:p>
      <w:pPr>
        <w:pStyle w:val="TextBody"/>
        <w:bidi w:val="0"/>
        <w:spacing w:before="240" w:after="0"/>
        <w:jc w:val="left"/>
        <w:rPr/>
      </w:pPr>
      <w:r>
        <w:rPr/>
        <w:t>“</w:t>
      </w:r>
      <w:r>
        <w:rPr>
          <w:rFonts w:ascii="Times New Roman" w:hAnsi="Times New Roman"/>
          <w:b/>
          <w:sz w:val="20"/>
        </w:rPr>
        <w:t>Permitted Reflagging Transaction</w:t>
      </w:r>
      <w:r>
        <w:rPr>
          <w:rFonts w:ascii="Times New Roman" w:hAnsi="Times New Roman"/>
          <w:sz w:val="20"/>
        </w:rPr>
        <w:t xml:space="preserve">” means any transaction or action by a Loan Party resulting in (i) the Vessel Collateral being reflagged under the laws of another Approved Flag Jurisdiction so long as no less than five (5) Business Days prior written notice has been provided to the Administrative Agent (or such shorter period as the Administrative Agent shall agree in its discretion) and either (A) such Vessel would thereafter constitute an Excluded Foreign Flag Vessel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(B) the Administrative Agent (or, if required by Section 11.01(b)(v), all Lenders) have provided their consent thereto (such consent not to be unreasonably withheld, conditioned or delayed), and in each case the Borrower has paid the Administrative Agent an administrative fee in the amount of $100,000 for each such reflagged Vessel constituting Vessel Collateral (unless such reflagged Vessel will continue to be Vessel Collateral subject to a Vessel Mortgage) or (ii) any Excluded Vessel being reflagged (x) from a non-Approved Flag Jurisdiction to another non-Approved Flag Jurisdiction or to an Approved Flag Jurisdiction or (x) from an Approved Flag Jurisdiction to another Approved Flag Jurisdiction.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b/>
          <w:sz w:val="20"/>
        </w:rPr>
        <w:t>Plan</w:t>
      </w:r>
      <w:r>
        <w:rPr>
          <w:rFonts w:ascii="Times New Roman" w:hAnsi="Times New Roman"/>
          <w:sz w:val="20"/>
        </w:rPr>
        <w:t xml:space="preserve">” means any material “employee benefit plan” (as such term is defined in Section 3(3) of ERISA) established, sponsored, maintained or contributed to (or required to be contributed to) by any Loan Party or, with respect to any such plan that (i) is subject to Section 412 of the Code, Section 302 of ERISA or Title IV of ERISA or (ii) for which any Loan Party has liability under ERISA or the Code as a result of being in a “controlled group” with any of their respective ERISA Affiliates. </w:t>
      </w:r>
    </w:p>
    <w:p>
      <w:pPr>
        <w:pStyle w:val="TextBody"/>
        <w:bidi w:val="0"/>
        <w:spacing w:before="240" w:after="0"/>
        <w:jc w:val="left"/>
        <w:rPr/>
      </w:pPr>
      <w:r>
        <w:rPr/>
        <w:t>“</w:t>
      </w:r>
      <w:r>
        <w:rPr>
          <w:rFonts w:ascii="Times New Roman" w:hAnsi="Times New Roman"/>
          <w:b/>
          <w:sz w:val="20"/>
        </w:rPr>
        <w:t>Platform</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Pledged Collateral</w:t>
      </w:r>
      <w:r>
        <w:rPr>
          <w:rFonts w:ascii="Times New Roman" w:hAnsi="Times New Roman"/>
          <w:sz w:val="20"/>
        </w:rPr>
        <w:t xml:space="preserve">” has the meaning specified in the Collateral Agreement. </w:t>
      </w:r>
    </w:p>
    <w:p>
      <w:pPr>
        <w:pStyle w:val="TextBody"/>
        <w:bidi w:val="0"/>
        <w:spacing w:before="240" w:after="0"/>
        <w:jc w:val="left"/>
        <w:rPr/>
      </w:pPr>
      <w:r>
        <w:rPr/>
        <w:t>“</w:t>
      </w:r>
      <w:r>
        <w:rPr>
          <w:rFonts w:ascii="Times New Roman" w:hAnsi="Times New Roman"/>
          <w:b/>
          <w:sz w:val="20"/>
        </w:rPr>
        <w:t>Pledged Equity</w:t>
      </w:r>
      <w:r>
        <w:rPr>
          <w:rFonts w:ascii="Times New Roman" w:hAnsi="Times New Roman"/>
          <w:sz w:val="20"/>
        </w:rPr>
        <w:t xml:space="preserve">” has the meaning specified in the Collateral Agreement. </w:t>
      </w:r>
    </w:p>
    <w:p>
      <w:pPr>
        <w:pStyle w:val="TextBody"/>
        <w:bidi w:val="0"/>
        <w:spacing w:before="240" w:after="0"/>
        <w:jc w:val="left"/>
        <w:rPr/>
      </w:pPr>
      <w:r>
        <w:rPr/>
        <w:t>“</w:t>
      </w:r>
      <w:r>
        <w:rPr>
          <w:rFonts w:ascii="Times New Roman" w:hAnsi="Times New Roman"/>
          <w:b/>
          <w:sz w:val="20"/>
        </w:rPr>
        <w:t>Preferred Stock</w:t>
      </w:r>
      <w:r>
        <w:rPr>
          <w:rFonts w:ascii="Times New Roman" w:hAnsi="Times New Roman"/>
          <w:sz w:val="20"/>
        </w:rPr>
        <w:t xml:space="preserve">” as applied to the Equity Interests of any Person, means Equity Interests of any class or classes (however designated) which is preferred as to the payment of dividends or as to the distribution of assets upon any voluntary or involuntary liquidation or dissolution of such Person, over shares of Equity Interests of any other class of such Person. </w:t>
      </w:r>
    </w:p>
    <w:p>
      <w:pPr>
        <w:pStyle w:val="TextBody"/>
        <w:bidi w:val="0"/>
        <w:spacing w:before="240" w:after="0"/>
        <w:jc w:val="left"/>
        <w:rPr/>
      </w:pPr>
      <w:r>
        <w:rPr/>
        <w:t>“</w:t>
      </w:r>
      <w:r>
        <w:rPr>
          <w:rFonts w:ascii="Times New Roman" w:hAnsi="Times New Roman"/>
          <w:b/>
          <w:sz w:val="20"/>
        </w:rPr>
        <w:t>Prepayment Date</w:t>
      </w:r>
      <w:r>
        <w:rPr>
          <w:rFonts w:ascii="Times New Roman" w:hAnsi="Times New Roman"/>
          <w:sz w:val="20"/>
        </w:rPr>
        <w:t xml:space="preserve">” has the meaning specified in </w:t>
      </w:r>
      <w:r>
        <w:rPr>
          <w:rFonts w:ascii="Times New Roman" w:hAnsi="Times New Roman"/>
          <w:sz w:val="20"/>
          <w:u w:val="single"/>
        </w:rPr>
        <w:t>Section 2.03(b)(v)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Prepayment Fee</w:t>
      </w:r>
      <w:r>
        <w:rPr>
          <w:rFonts w:ascii="Times New Roman" w:hAnsi="Times New Roman"/>
          <w:sz w:val="20"/>
        </w:rPr>
        <w:t xml:space="preserve">” means, as to any prepayment (whether voluntary or involuntary) made of the Loans, (a) a fee equal to 4.00% of the principal amount being prepaid assuming such prepayment occurs after the Closing Date but on or prior to the first anniversary date of the Closing Date, (b) a fee equal to 3.00% of the principal amount being prepaid assuming such prepayment occurs after the first anniversary date of the Closing Date but on or prior to the second anniversary date of the Closing Date, (c) a fee equal to 2.00% of the principal amount being prepaid assuming such prepayment occurs after the second anniversary date of the Closing Date but on or prior to the third anniversary date of the Closing Date, (d) a fee equal to 1.00% of the principal amount being prepaid assuming such prepayment occurs after the third anniversary date of the Closing Date. </w:t>
      </w:r>
    </w:p>
    <w:p>
      <w:pPr>
        <w:pStyle w:val="TextBody"/>
        <w:bidi w:val="0"/>
        <w:spacing w:before="240" w:after="0"/>
        <w:jc w:val="left"/>
        <w:rPr/>
      </w:pPr>
      <w:r>
        <w:rPr/>
        <w:t>“</w:t>
      </w:r>
      <w:r>
        <w:rPr>
          <w:rFonts w:ascii="Times New Roman" w:hAnsi="Times New Roman"/>
          <w:b/>
          <w:sz w:val="20"/>
        </w:rPr>
        <w:t>Prepayment Notice</w:t>
      </w:r>
      <w:r>
        <w:rPr>
          <w:rFonts w:ascii="Times New Roman" w:hAnsi="Times New Roman"/>
          <w:sz w:val="20"/>
        </w:rPr>
        <w:t xml:space="preserve">” means a written notice made pursuant to </w:t>
      </w:r>
      <w:r>
        <w:rPr>
          <w:rFonts w:ascii="Times New Roman" w:hAnsi="Times New Roman"/>
          <w:sz w:val="20"/>
          <w:u w:val="single"/>
        </w:rPr>
        <w:t>Section 2.03(a)(i)</w:t>
      </w:r>
      <w:r>
        <w:rPr>
          <w:rFonts w:ascii="Times New Roman" w:hAnsi="Times New Roman"/>
          <w:sz w:val="20"/>
        </w:rPr>
        <w:t xml:space="preserve"> substantially in the form of </w:t>
      </w:r>
      <w:r>
        <w:rPr>
          <w:rFonts w:ascii="Times New Roman" w:hAnsi="Times New Roman"/>
          <w:sz w:val="20"/>
          <w:u w:val="single"/>
        </w:rPr>
        <w:t>Exhibit 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Priority Waterfall</w:t>
      </w:r>
      <w:r>
        <w:rPr>
          <w:rFonts w:ascii="Times New Roman" w:hAnsi="Times New Roman"/>
          <w:sz w:val="20"/>
        </w:rPr>
        <w:t xml:space="preserve">” means the provisions of </w:t>
      </w:r>
      <w:r>
        <w:rPr>
          <w:rFonts w:ascii="Times New Roman" w:hAnsi="Times New Roman"/>
          <w:sz w:val="20"/>
          <w:u w:val="single"/>
        </w:rPr>
        <w:t>Section 9.03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Private-Side Information</w:t>
      </w:r>
      <w:r>
        <w:rPr>
          <w:rFonts w:ascii="Times New Roman" w:hAnsi="Times New Roman"/>
          <w:sz w:val="20"/>
        </w:rPr>
        <w:t xml:space="preserve">” means any information with respect to the Borrower and its Subsidiaries that is not Public-Side Information. </w:t>
      </w:r>
    </w:p>
    <w:p>
      <w:pPr>
        <w:pStyle w:val="TextBody"/>
        <w:bidi w:val="0"/>
        <w:spacing w:before="240" w:after="0"/>
        <w:jc w:val="left"/>
        <w:rPr/>
      </w:pPr>
      <w:r>
        <w:rPr/>
        <w:t>“</w:t>
      </w:r>
      <w:r>
        <w:rPr>
          <w:rFonts w:ascii="Times New Roman" w:hAnsi="Times New Roman"/>
          <w:b/>
          <w:sz w:val="20"/>
        </w:rPr>
        <w:t>Pro Forma Basis</w:t>
      </w:r>
      <w:r>
        <w:rPr>
          <w:rFonts w:ascii="Times New Roman" w:hAnsi="Times New Roman"/>
          <w:sz w:val="20"/>
        </w:rPr>
        <w:t>” and “</w:t>
      </w:r>
      <w:r>
        <w:rPr>
          <w:rFonts w:ascii="Times New Roman" w:hAnsi="Times New Roman"/>
          <w:b/>
          <w:sz w:val="20"/>
        </w:rPr>
        <w:t>Pro Forma Effect</w:t>
      </w:r>
      <w:r>
        <w:rPr>
          <w:rFonts w:ascii="Times New Roman" w:hAnsi="Times New Roman"/>
          <w:sz w:val="20"/>
        </w:rPr>
        <w:t xml:space="preserve">” mean, with respect to compliance with any test or covenant or calculation hereunder, the determination or calculation of such test, covenant or ratio in accordance with the definition of “Consolidated Adjusted EBITDA”, the definition of “Fixed Charge Coverage Ratio” and </w:t>
      </w:r>
      <w:r>
        <w:rPr>
          <w:rFonts w:ascii="Times New Roman" w:hAnsi="Times New Roman"/>
          <w:sz w:val="20"/>
          <w:u w:val="single"/>
        </w:rPr>
        <w:t>Section 1.08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 Rata Share</w:t>
      </w:r>
      <w:r>
        <w:rPr>
          <w:rFonts w:ascii="Times New Roman" w:hAnsi="Times New Roman"/>
          <w:sz w:val="20"/>
        </w:rPr>
        <w:t xml:space="preserve">” means with respect to all payments, computations and other matters relating to the Loans of any Lender (expressed as a percentage, carried out to the ninth decimal place), the numerator of which is the amount of the Loans of that Lender and the denominator of which is the aggregate amount of all Loans of all Lenders at such time. </w:t>
      </w:r>
    </w:p>
    <w:p>
      <w:pPr>
        <w:pStyle w:val="TextBody"/>
        <w:bidi w:val="0"/>
        <w:spacing w:before="240" w:after="0"/>
        <w:jc w:val="left"/>
        <w:rPr/>
      </w:pPr>
      <w:r>
        <w:rPr/>
        <w:t>“</w:t>
      </w:r>
      <w:r>
        <w:rPr>
          <w:rFonts w:ascii="Times New Roman" w:hAnsi="Times New Roman"/>
          <w:b/>
          <w:sz w:val="20"/>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b/>
          <w:sz w:val="20"/>
        </w:rPr>
        <w:t>Public Company Costs</w:t>
      </w:r>
      <w:r>
        <w:rPr>
          <w:rFonts w:ascii="Times New Roman" w:hAnsi="Times New Roman"/>
          <w:sz w:val="20"/>
        </w:rPr>
        <w:t xml:space="preserve">”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 </w:t>
      </w:r>
    </w:p>
    <w:p>
      <w:pPr>
        <w:pStyle w:val="TextBody"/>
        <w:bidi w:val="0"/>
        <w:spacing w:before="240" w:after="0"/>
        <w:jc w:val="left"/>
        <w:rPr/>
      </w:pPr>
      <w:r>
        <w:rPr/>
        <w:t>“</w:t>
      </w:r>
      <w:r>
        <w:rPr>
          <w:rFonts w:ascii="Times New Roman" w:hAnsi="Times New Roman"/>
          <w:b/>
          <w:sz w:val="20"/>
        </w:rPr>
        <w:t>Public Lenders</w:t>
      </w:r>
      <w:r>
        <w:rPr>
          <w:rFonts w:ascii="Times New Roman" w:hAnsi="Times New Roman"/>
          <w:sz w:val="20"/>
        </w:rPr>
        <w:t xml:space="preserve">” means Lenders that do not wish to receive Private-Side Information. </w:t>
      </w:r>
    </w:p>
    <w:p>
      <w:pPr>
        <w:pStyle w:val="TextBody"/>
        <w:bidi w:val="0"/>
        <w:spacing w:before="240" w:after="0"/>
        <w:jc w:val="left"/>
        <w:rPr/>
      </w:pPr>
      <w:r>
        <w:rPr/>
        <w:t>“</w:t>
      </w:r>
      <w:r>
        <w:rPr>
          <w:rFonts w:ascii="Times New Roman" w:hAnsi="Times New Roman"/>
          <w:b/>
          <w:sz w:val="20"/>
        </w:rPr>
        <w:t>Public-Side Information</w:t>
      </w:r>
      <w:r>
        <w:rPr>
          <w:rFonts w:ascii="Times New Roman" w:hAnsi="Times New Roman"/>
          <w:sz w:val="20"/>
        </w:rPr>
        <w:t xml:space="preserve">” means (a) at any time prior to a Parent Entity or the Borrower or any of their respective Subsidiaries becoming the issuer of any Traded Securities, information that the Borrower determines (i) would be required by applicable Law to be publicly disclosed in connection with an issuance by such Parent Entity or the Borrower or any of their respective Subsidiaries of its debt or equity securities pursuant to a registered public offering made at such time or (ii) not material to make an investment decision with respect to securities of such Parent Entity or the Borrower or any of their respective Subsidiaries (for purposes of United States federal, state or other applicable securities laws), and (b) at any time on or after such Parent Entity or the Borrower or any of their respective Subsidiaries becoming the issuer of any Traded Securities, information that does not constitute material non-public information (within the meaning of United States federal, state or other applicable securities laws) with respect to such Parent Entity or the Borrower or any of their respective Subsidiaries or any of their respective securities. </w:t>
      </w:r>
    </w:p>
    <w:p>
      <w:pPr>
        <w:pStyle w:val="TextBody"/>
        <w:bidi w:val="0"/>
        <w:spacing w:before="240" w:after="0"/>
        <w:jc w:val="left"/>
        <w:rPr/>
      </w:pPr>
      <w:r>
        <w:rPr/>
        <w:t>“</w:t>
      </w:r>
      <w:r>
        <w:rPr>
          <w:rFonts w:ascii="Times New Roman" w:hAnsi="Times New Roman"/>
          <w:b/>
          <w:sz w:val="20"/>
        </w:rPr>
        <w:t>Purchase Money Obligations</w:t>
      </w:r>
      <w:r>
        <w:rPr>
          <w:rFonts w:ascii="Times New Roman" w:hAnsi="Times New Roman"/>
          <w:sz w:val="20"/>
        </w:rPr>
        <w:t xml:space="preserve">” means any Indebtedness incurred to finance or refinance the acquisition, leasing, expansion, construction, installation, replacement, repair or improvement of property (real or personal), equipment or assets (including Equity Interests), and whether acquired through the direct acquisition of such property or assets, or the acquisition of the Equity Interests of any Person owning such property or assets,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pPr>
      <w:r>
        <w:rPr/>
        <w:t>“</w:t>
      </w:r>
      <w:r>
        <w:rPr>
          <w:rFonts w:ascii="Times New Roman" w:hAnsi="Times New Roman"/>
          <w:b/>
          <w:sz w:val="20"/>
        </w:rPr>
        <w:t>QFC Credit Support</w:t>
      </w:r>
      <w:r>
        <w:rPr>
          <w:rFonts w:ascii="Times New Roman" w:hAnsi="Times New Roman"/>
          <w:sz w:val="20"/>
        </w:rPr>
        <w:t xml:space="preserve">” has the meaning specified in </w:t>
      </w:r>
      <w:r>
        <w:rPr>
          <w:rFonts w:ascii="Times New Roman" w:hAnsi="Times New Roman"/>
          <w:sz w:val="20"/>
          <w:u w:val="single"/>
        </w:rPr>
        <w:t>Section 11.28(a)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QSC and Stacking Adjustment</w:t>
      </w:r>
      <w:r>
        <w:rPr>
          <w:rFonts w:ascii="Times New Roman" w:hAnsi="Times New Roman"/>
          <w:sz w:val="20"/>
        </w:rPr>
        <w:t xml:space="preserve">” has the meaning specified in the definition of “Consolidated Adjusted EBITDA”. </w:t>
      </w:r>
    </w:p>
    <w:p>
      <w:pPr>
        <w:pStyle w:val="TextBody"/>
        <w:bidi w:val="0"/>
        <w:spacing w:before="240" w:after="0"/>
        <w:jc w:val="left"/>
        <w:rPr/>
      </w:pPr>
      <w:r>
        <w:rPr/>
        <w:t>“</w:t>
      </w:r>
      <w:r>
        <w:rPr>
          <w:rFonts w:ascii="Times New Roman" w:hAnsi="Times New Roman"/>
          <w:b/>
          <w:sz w:val="20"/>
        </w:rPr>
        <w:t>Qualified Equity Interests</w:t>
      </w:r>
      <w:r>
        <w:rPr>
          <w:rFonts w:ascii="Times New Roman" w:hAnsi="Times New Roman"/>
          <w:sz w:val="20"/>
        </w:rPr>
        <w:t xml:space="preserve">” means any Equity Interests that are not Disqualified Equity Interests. </w:t>
      </w:r>
    </w:p>
    <w:p>
      <w:pPr>
        <w:pStyle w:val="TextBody"/>
        <w:bidi w:val="0"/>
        <w:spacing w:before="240" w:after="0"/>
        <w:jc w:val="left"/>
        <w:rPr/>
      </w:pPr>
      <w:r>
        <w:rPr/>
        <w:t>“</w:t>
      </w:r>
      <w:r>
        <w:rPr>
          <w:rFonts w:ascii="Times New Roman" w:hAnsi="Times New Roman"/>
          <w:b/>
          <w:sz w:val="20"/>
        </w:rPr>
        <w:t>Qualified Services Contract</w:t>
      </w:r>
      <w:r>
        <w:rPr>
          <w:rFonts w:ascii="Times New Roman" w:hAnsi="Times New Roman"/>
          <w:sz w:val="20"/>
        </w:rPr>
        <w:t xml:space="preserve">” means, with respect to any newly delivered, acquired or reactivated Specified Vessel (including, without limitation, offshore supply vessel, offshore service vessel, multi-purpose support vessels, service operation vessels, commissioning service operation vessels, other offshore wind-related vessels, construction support offshore vessels, flotels, other specialty vessels, other construction vessels, crewboats, fast supply vessels, anchor handling and towing supply vessels, tankers, tugs and tank barges) within 365 days of such vessel’s original delivery date, acquisition date or reactivation date, as applicable, a contract that the Board of Directors, acting in good faith, designates as a “Qualified Services Contract”, which contract: (a) provides for services to be performed by the Borrower or one of its Restricted Subsidiaries involving the use of such vessel or a charter (bareboat or otherwise) of such vessel by the Borrower or one of its Restricted Subsidiaries, in either case for a minimum period of at least 3 months; and (b) provides for a fixed or minimum dayrate or fixed or minimum volume or freight rates (including, if applicable, lay time and demurrage) for such vessel. </w:t>
      </w:r>
    </w:p>
    <w:p>
      <w:pPr>
        <w:pStyle w:val="TextBody"/>
        <w:bidi w:val="0"/>
        <w:spacing w:before="240" w:after="0"/>
        <w:jc w:val="left"/>
        <w:rPr/>
      </w:pPr>
      <w:r>
        <w:rPr/>
        <w:t>“</w:t>
      </w:r>
      <w:r>
        <w:rPr>
          <w:rFonts w:ascii="Times New Roman" w:hAnsi="Times New Roman"/>
          <w:b/>
          <w:sz w:val="20"/>
        </w:rPr>
        <w:t>Qualifying IPO</w:t>
      </w:r>
      <w:r>
        <w:rPr>
          <w:rFonts w:ascii="Times New Roman" w:hAnsi="Times New Roman"/>
          <w:sz w:val="20"/>
        </w:rPr>
        <w:t xml:space="preserve">” means (a) an underwritten public Equity Offering of the Borrower or any Parent Entity or (b) a transaction where the Equity Interests of the Borrower or any Parent Entity thereof is listed on any United States national securities exchange. </w:t>
      </w:r>
    </w:p>
    <w:p>
      <w:pPr>
        <w:pStyle w:val="TextBody"/>
        <w:bidi w:val="0"/>
        <w:spacing w:before="240" w:after="0"/>
        <w:jc w:val="left"/>
        <w:rPr/>
      </w:pPr>
      <w:r>
        <w:rPr/>
        <w:t>“</w:t>
      </w:r>
      <w:r>
        <w:rPr>
          <w:rFonts w:ascii="Times New Roman" w:hAnsi="Times New Roman"/>
          <w:b/>
          <w:sz w:val="20"/>
        </w:rPr>
        <w:t>Recipient</w:t>
      </w:r>
      <w:r>
        <w:rPr>
          <w:rFonts w:ascii="Times New Roman" w:hAnsi="Times New Roman"/>
          <w:sz w:val="20"/>
        </w:rPr>
        <w:t xml:space="preserve">” means (a) any Agent or (b) any Lender, as applicable. </w:t>
      </w:r>
    </w:p>
    <w:p>
      <w:pPr>
        <w:pStyle w:val="TextBody"/>
        <w:bidi w:val="0"/>
        <w:spacing w:before="240" w:after="0"/>
        <w:jc w:val="left"/>
        <w:rPr/>
      </w:pPr>
      <w:r>
        <w:rPr/>
        <w:t>“</w:t>
      </w:r>
      <w:r>
        <w:rPr>
          <w:rFonts w:ascii="Times New Roman" w:hAnsi="Times New Roman"/>
          <w:b/>
          <w:sz w:val="20"/>
        </w:rPr>
        <w:t>Refinance</w:t>
      </w:r>
      <w:r>
        <w:rPr>
          <w:rFonts w:ascii="Times New Roman" w:hAnsi="Times New Roman"/>
          <w:sz w:val="20"/>
        </w:rPr>
        <w:t>” means, in respect of any Indebtedness, to refinance, extend, renew, defease, amend, increase, modify, supplement, restructure, refund, replace or repay, or to issue other indebtedness or enter into alternative financing arrangements, in exchange or replacement for such indebtedness, including by adding or replacing lenders, creditors, agents, borrowers and/or guarantors, and including in each case, but not limited to, after the original instrument giving rise to such indebtedness has been terminated. “</w:t>
      </w:r>
      <w:r>
        <w:rPr>
          <w:rFonts w:ascii="Times New Roman" w:hAnsi="Times New Roman"/>
          <w:b/>
          <w:sz w:val="20"/>
        </w:rPr>
        <w:t>Refinanced</w:t>
      </w:r>
      <w:r>
        <w:rPr>
          <w:rFonts w:ascii="Times New Roman" w:hAnsi="Times New Roman"/>
          <w:sz w:val="20"/>
        </w:rPr>
        <w:t>” and “</w:t>
      </w:r>
      <w:r>
        <w:rPr>
          <w:rFonts w:ascii="Times New Roman" w:hAnsi="Times New Roman"/>
          <w:b/>
          <w:sz w:val="20"/>
        </w:rPr>
        <w:t>Refinancing</w:t>
      </w:r>
      <w:r>
        <w:rPr>
          <w:rFonts w:ascii="Times New Roman" w:hAnsi="Times New Roman"/>
          <w:sz w:val="20"/>
        </w:rPr>
        <w:t xml:space="preserve">” have correlative meanings. </w:t>
      </w:r>
    </w:p>
    <w:p>
      <w:pPr>
        <w:pStyle w:val="TextBody"/>
        <w:bidi w:val="0"/>
        <w:spacing w:before="240" w:after="0"/>
        <w:jc w:val="left"/>
        <w:rPr/>
      </w:pPr>
      <w:r>
        <w:rPr/>
        <w:t>“</w:t>
      </w:r>
      <w:r>
        <w:rPr>
          <w:rFonts w:ascii="Times New Roman" w:hAnsi="Times New Roman"/>
          <w:b/>
          <w:sz w:val="20"/>
        </w:rPr>
        <w:t>Refinanced Debt</w:t>
      </w:r>
      <w:r>
        <w:rPr>
          <w:rFonts w:ascii="Times New Roman" w:hAnsi="Times New Roman"/>
          <w:sz w:val="20"/>
        </w:rPr>
        <w:t xml:space="preserve">” has the meaning assigned to such term in the definition of “First Lien RCF Credit Agreement Refinancing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Refinancing Indebtedness</w:t>
      </w:r>
      <w:r>
        <w:rPr>
          <w:rFonts w:ascii="Times New Roman" w:hAnsi="Times New Roman"/>
          <w:sz w:val="20"/>
        </w:rPr>
        <w:t xml:space="preserve">” means Indebtedness that is incurred to refund, refinance, replace, exchange, renew, repay or extend (including pursuant to any defeasance or discharge mechanism) any Indebtedness (or unutilized commitment in respect of Indebtedness) existing on the Closing Date or incurred (or established) in compliance with this Agreement (including Indebtedness of the Borrower that refinances Indebtedness of any Restricted Subsidiary and Indebtedness of any Restricted Subsidiary that refinances Indebtedness of the Borrower or another Restricted Subsidiary) including Indebtedness that refinances Refinancing Indebtedness, and Indebtedness incurred pursuant to a commitment that refinances any Indebtedness or unutilized commitment; </w:t>
      </w:r>
      <w:r>
        <w:rPr>
          <w:rFonts w:ascii="Times New Roman" w:hAnsi="Times New Roman"/>
          <w:i/>
          <w:sz w:val="20"/>
        </w:rPr>
        <w:t>provided, 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(a) such Refinancing Indebtedness has a Weighted Average Life to Maturity at the time such Refinancing Indebtedness is incurred that is not less than the remaining Weighted Average Life to Maturity of the Indebtedness being refunded, refinanced, replaced, exchanged, renewed, repaid or extended (or requires no or nominal payments in cash (other than interest payments) prior to the date that is ninety-one (91) days after the Maturity Date); and (b) to the extent such Refinancing Indebtedness refinances Subordinated Indebtedness, such Refinancing Indebtedness is Subordinated Indebtedness, respectively, and, in the case of Subordinated Indebtedness, is subordinated to the Obligations on terms at least as favorable to the Lenders as those contained in the documentation governing the Indebtedness being refinanced, </w:t>
      </w:r>
    </w:p>
    <w:p>
      <w:pPr>
        <w:pStyle w:val="TextBody"/>
        <w:bidi w:val="0"/>
        <w:spacing w:before="120" w:after="0"/>
        <w:jc w:val="left"/>
        <w:rPr>
          <w:rFonts w:ascii="Times New Roman" w:hAnsi="Times New Roman"/>
          <w:sz w:val="20"/>
        </w:rPr>
      </w:pPr>
      <w:r>
        <w:rPr>
          <w:rFonts w:ascii="Times New Roman" w:hAnsi="Times New Roman"/>
          <w:sz w:val="20"/>
        </w:rPr>
        <w:t xml:space="preserve">(ii) Refinancing Indebtedness shall not include Indebtedness of a Subsidiary of the Borrower that is not a Guarantor that refinances Indebtedness of the Borrower or a Guarantor (unless such Subsidiary was an obligor in respect of the Indebtedness so refinanced) or (b) Indebtedness of the Borrower or a Restricted Subsidiary that refinances Indebtedness of an Unrestricted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(iii) 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w:t>
      </w:r>
      <w:r>
        <w:rPr>
          <w:rFonts w:ascii="Times New Roman" w:hAnsi="Times New Roman"/>
          <w:i/>
          <w:sz w:val="20"/>
        </w:rPr>
        <w:t>plus</w:t>
      </w:r>
      <w:r>
        <w:rPr>
          <w:rFonts w:ascii="Times New Roman" w:hAnsi="Times New Roman"/>
          <w:sz w:val="20"/>
        </w:rPr>
        <w:t xml:space="preserve"> (y) an amount equal to any unutilized commitment relating to the Indebtedness being refinanced or otherwise then outstanding under a financing arrangement being refinanced to the extent the unutilized commitment being refinanced could be drawn in compliance with </w:t>
      </w:r>
      <w:r>
        <w:rPr>
          <w:rFonts w:ascii="Times New Roman" w:hAnsi="Times New Roman"/>
          <w:sz w:val="20"/>
          <w:u w:val="single"/>
        </w:rPr>
        <w:t>Section 7.03</w:t>
      </w:r>
      <w:r>
        <w:rPr>
          <w:rFonts w:ascii="Times New Roman" w:hAnsi="Times New Roman"/>
          <w:sz w:val="20"/>
        </w:rPr>
        <w:t xml:space="preserve"> immediately prior to such refinancing, </w:t>
      </w:r>
      <w:r>
        <w:rPr>
          <w:rFonts w:ascii="Times New Roman" w:hAnsi="Times New Roman"/>
          <w:i/>
          <w:sz w:val="20"/>
        </w:rPr>
        <w:t>plus</w:t>
      </w:r>
      <w:r>
        <w:rPr>
          <w:rFonts w:ascii="Times New Roman" w:hAnsi="Times New Roman"/>
          <w:sz w:val="20"/>
        </w:rPr>
        <w:t xml:space="preserve"> (z) accrued and unpaid interest, dividends, premiums (including tender premiums), defeasance costs, underwriting discounts, fees, costs and expenses (including original issue discount, upfront fees or similar fees) in connection with such refinancing. Refinancing Indebtedness in respect of any Indebtedness may be incurred from time to time after the termination, discharge or repayment of any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Refinancing Indebtedness will be deemed to include any Registered Equivalent Notes issued in exchange therefor. </w:t>
      </w:r>
    </w:p>
    <w:p>
      <w:pPr>
        <w:pStyle w:val="TextBody"/>
        <w:bidi w:val="0"/>
        <w:spacing w:before="240" w:after="0"/>
        <w:jc w:val="left"/>
        <w:rPr/>
      </w:pPr>
      <w:r>
        <w:rPr/>
        <w:t>“</w:t>
      </w:r>
      <w:r>
        <w:rPr>
          <w:rFonts w:ascii="Times New Roman" w:hAnsi="Times New Roman"/>
          <w:b/>
          <w:sz w:val="20"/>
        </w:rPr>
        <w:t>Refunding Equity Interests</w:t>
      </w:r>
      <w:r>
        <w:rPr>
          <w:rFonts w:ascii="Times New Roman" w:hAnsi="Times New Roman"/>
          <w:sz w:val="20"/>
        </w:rPr>
        <w:t xml:space="preserve">” has the meaning specified in the definition of “Permitted Payments.”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xml:space="preserve">” has the meaning specified in </w:t>
      </w:r>
      <w:r>
        <w:rPr>
          <w:rFonts w:ascii="Times New Roman" w:hAnsi="Times New Roman"/>
          <w:sz w:val="20"/>
          <w:u w:val="single"/>
        </w:rPr>
        <w:t>Section 11.07(c)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Registered Equivalent Notes</w:t>
      </w:r>
      <w:r>
        <w:rPr>
          <w:rFonts w:ascii="Times New Roman" w:hAnsi="Times New Roman"/>
          <w:sz w:val="20"/>
        </w:rPr>
        <w:t xml:space="preserve">”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 </w:t>
      </w:r>
    </w:p>
    <w:p>
      <w:pPr>
        <w:pStyle w:val="TextBody"/>
        <w:bidi w:val="0"/>
        <w:spacing w:before="240" w:after="0"/>
        <w:jc w:val="left"/>
        <w:rPr/>
      </w:pPr>
      <w:r>
        <w:rPr/>
        <w:t>“</w:t>
      </w:r>
      <w:r>
        <w:rPr>
          <w:rFonts w:ascii="Times New Roman" w:hAnsi="Times New Roman"/>
          <w:b/>
          <w:sz w:val="20"/>
        </w:rPr>
        <w:t>Regulation U</w:t>
      </w:r>
      <w:r>
        <w:rPr>
          <w:rFonts w:ascii="Times New Roman" w:hAnsi="Times New Roman"/>
          <w:sz w:val="20"/>
        </w:rPr>
        <w:t xml:space="preserve">” means Regulation U of the FRB as from time to time in effect and all official rulings and interpretations thereunder or thereof, or any successor thereto. </w:t>
      </w:r>
    </w:p>
    <w:p>
      <w:pPr>
        <w:pStyle w:val="TextBody"/>
        <w:bidi w:val="0"/>
        <w:spacing w:before="240" w:after="0"/>
        <w:jc w:val="left"/>
        <w:rPr/>
      </w:pPr>
      <w:r>
        <w:rPr/>
        <w:t>“</w:t>
      </w:r>
      <w:r>
        <w:rPr>
          <w:rFonts w:ascii="Times New Roman" w:hAnsi="Times New Roman"/>
          <w:b/>
          <w:sz w:val="20"/>
        </w:rPr>
        <w:t>Related Indemnified Person</w:t>
      </w:r>
      <w:r>
        <w:rPr>
          <w:rFonts w:ascii="Times New Roman" w:hAnsi="Times New Roman"/>
          <w:sz w:val="20"/>
        </w:rPr>
        <w:t xml:space="preserve">” of an Indemnitee means (a) any controlling person or controlled affiliate of such Indemnitee, (b) the respective directors, partners, officers, or employees of such Indemnitee or any of its controlling persons or controlled affiliates and (c) the respective agents of such Indemnitee or any of its controlling persons or controlled affiliates, in the case of this </w:t>
      </w:r>
      <w:r>
        <w:rPr>
          <w:rFonts w:ascii="Times New Roman" w:hAnsi="Times New Roman"/>
          <w:sz w:val="20"/>
          <w:u w:val="single"/>
        </w:rPr>
        <w:t>clause (c)</w:t>
      </w:r>
      <w:r>
        <w:rPr>
          <w:rFonts w:ascii="Times New Roman" w:hAnsi="Times New Roman"/>
          <w:sz w:val="20"/>
        </w:rPr>
        <w:t xml:space="preserve">, acting at the instructions of such Indemnitee, controlling person or such controlled affiliate; </w:t>
      </w:r>
      <w:r>
        <w:rPr>
          <w:rFonts w:ascii="Times New Roman" w:hAnsi="Times New Roman"/>
          <w:i/>
          <w:sz w:val="20"/>
        </w:rPr>
        <w:t xml:space="preserve">provided </w:t>
      </w:r>
      <w:r>
        <w:rPr>
          <w:rFonts w:ascii="Times New Roman" w:hAnsi="Times New Roman"/>
          <w:sz w:val="20"/>
        </w:rPr>
        <w:t xml:space="preserve">that each reference to a controlled affiliate or controlling person in this definition shall pertain to a controlled affiliate or controlling person involved in the negotiation or syndication of the Term Loan Facility. </w:t>
      </w:r>
    </w:p>
    <w:p>
      <w:pPr>
        <w:pStyle w:val="TextBody"/>
        <w:bidi w:val="0"/>
        <w:spacing w:before="240" w:after="0"/>
        <w:jc w:val="left"/>
        <w:rPr/>
      </w:pPr>
      <w:r>
        <w:rPr/>
        <w:t>“</w:t>
      </w:r>
      <w:r>
        <w:rPr>
          <w:rFonts w:ascii="Times New Roman" w:hAnsi="Times New Roman"/>
          <w:b/>
          <w:sz w:val="20"/>
        </w:rPr>
        <w:t>Release Actions</w:t>
      </w:r>
      <w:r>
        <w:rPr>
          <w:rFonts w:ascii="Times New Roman" w:hAnsi="Times New Roman"/>
          <w:sz w:val="20"/>
        </w:rPr>
        <w:t xml:space="preserve">” has the meaning specified in </w:t>
      </w:r>
      <w:r>
        <w:rPr>
          <w:rFonts w:ascii="Times New Roman" w:hAnsi="Times New Roman"/>
          <w:sz w:val="20"/>
          <w:u w:val="single"/>
        </w:rPr>
        <w:t>Section 10.11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Release Certificate</w:t>
      </w:r>
      <w:r>
        <w:rPr>
          <w:rFonts w:ascii="Times New Roman" w:hAnsi="Times New Roman"/>
          <w:sz w:val="20"/>
        </w:rPr>
        <w:t xml:space="preserve">” has the meaning specified in </w:t>
      </w:r>
      <w:r>
        <w:rPr>
          <w:rFonts w:ascii="Times New Roman" w:hAnsi="Times New Roman"/>
          <w:sz w:val="20"/>
          <w:u w:val="single"/>
        </w:rPr>
        <w:t>Section 10.11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Release Value</w:t>
      </w:r>
      <w:r>
        <w:rPr>
          <w:rFonts w:ascii="Times New Roman" w:hAnsi="Times New Roman"/>
          <w:sz w:val="20"/>
        </w:rPr>
        <w:t xml:space="preserve">” means an amount equal to the product obtained by multiplying the outstanding principal balance of the Loans by a fraction, the numerator of which is the Allocated Dollar Value of the Vessel so sold, reflagged, transferred, conveyed, designated, lost or similarly disposed, and the denominator of which is the Allocated Dollar Values of all Vessels securing the Obligations immediately prior to such sale, reflagging, transfer, conveyance, designation, loss or other disposition. </w:t>
      </w:r>
    </w:p>
    <w:p>
      <w:pPr>
        <w:pStyle w:val="TextBody"/>
        <w:bidi w:val="0"/>
        <w:spacing w:before="240" w:after="0"/>
        <w:jc w:val="left"/>
        <w:rPr/>
      </w:pPr>
      <w:r>
        <w:rPr/>
        <w:t>“</w:t>
      </w:r>
      <w:r>
        <w:rPr>
          <w:rFonts w:ascii="Times New Roman" w:hAnsi="Times New Roman"/>
          <w:b/>
          <w:sz w:val="20"/>
        </w:rPr>
        <w:t>Relevant Person</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Borrower and each of its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their directors, officers and employees. </w:t>
            </w:r>
          </w:p>
        </w:tc>
      </w:tr>
    </w:tbl>
    <w:p>
      <w:pPr>
        <w:pStyle w:val="TextBody"/>
        <w:bidi w:val="0"/>
        <w:spacing w:before="240" w:after="0"/>
        <w:jc w:val="left"/>
        <w:rPr/>
      </w:pPr>
      <w:r>
        <w:rPr/>
        <w:t>“</w:t>
      </w:r>
      <w:r>
        <w:rPr>
          <w:rFonts w:ascii="Times New Roman" w:hAnsi="Times New Roman"/>
          <w:b/>
          <w:sz w:val="20"/>
        </w:rPr>
        <w:t>Reorganization Transactions</w:t>
      </w:r>
      <w:r>
        <w:rPr>
          <w:rFonts w:ascii="Times New Roman" w:hAnsi="Times New Roman"/>
          <w:sz w:val="20"/>
        </w:rPr>
        <w:t xml:space="preserve">” any reorganizations and other activities in connection with or related to a Qualifying IPO of the Borrower or any Parent Entity (including, for the avoidance of doubt, any transfer (including by contribution, merger or otherwise) of interests in the Borrower to a wholly owned domestic subsidiary of a Parent Entity). </w:t>
      </w:r>
    </w:p>
    <w:p>
      <w:pPr>
        <w:pStyle w:val="TextBody"/>
        <w:bidi w:val="0"/>
        <w:spacing w:before="240" w:after="0"/>
        <w:jc w:val="left"/>
        <w:rPr/>
      </w:pPr>
      <w:r>
        <w:rPr/>
        <w:t>“</w:t>
      </w:r>
      <w:r>
        <w:rPr>
          <w:rFonts w:ascii="Times New Roman" w:hAnsi="Times New Roman"/>
          <w:b/>
          <w:sz w:val="20"/>
        </w:rPr>
        <w:t>Reportable Event</w:t>
      </w:r>
      <w:r>
        <w:rPr>
          <w:rFonts w:ascii="Times New Roman" w:hAnsi="Times New Roman"/>
          <w:sz w:val="20"/>
        </w:rPr>
        <w:t xml:space="preserve">” means, with respect to any Pension Plan, any of the events set forth in Section 4043(c) of ERISA or the regulations issued thereunder, other than events for which the 30 day notice period has been waived by applicable regulation. </w:t>
      </w:r>
    </w:p>
    <w:p>
      <w:pPr>
        <w:pStyle w:val="TextBody"/>
        <w:bidi w:val="0"/>
        <w:spacing w:before="240" w:after="0"/>
        <w:jc w:val="left"/>
        <w:rPr/>
      </w:pPr>
      <w:r>
        <w:rPr/>
        <w:t>“</w:t>
      </w:r>
      <w:r>
        <w:rPr>
          <w:rFonts w:ascii="Times New Roman" w:hAnsi="Times New Roman"/>
          <w:b/>
          <w:sz w:val="20"/>
        </w:rPr>
        <w:t>Required Lenders</w:t>
      </w:r>
      <w:r>
        <w:rPr>
          <w:rFonts w:ascii="Times New Roman" w:hAnsi="Times New Roman"/>
          <w:sz w:val="20"/>
        </w:rPr>
        <w:t xml:space="preserve">” means, as of any date of determination, Lenders having or holding more than 50.1% of the sum of the aggregate amount of all Loans of all Lenders; </w:t>
      </w:r>
      <w:r>
        <w:rPr>
          <w:rFonts w:ascii="Times New Roman" w:hAnsi="Times New Roman"/>
          <w:i/>
          <w:sz w:val="20"/>
        </w:rPr>
        <w:t xml:space="preserve">provided </w:t>
      </w:r>
      <w:r>
        <w:rPr>
          <w:rFonts w:ascii="Times New Roman" w:hAnsi="Times New Roman"/>
          <w:sz w:val="20"/>
        </w:rPr>
        <w:t xml:space="preserve">that the aggregate amount of Loans of or held by any Defaulting Lender shall be excluded for purposes of making a determination of Required Lenders. The Commitment (if any) and Loans of any Defaulting Lender shall be disregarded in determining Required Lenders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the executive chairman, chief executive officer, president, executive vice president, senior vice president (finance), vice president (finance), chief financial officer, chief accounting officer, treasurer or assistant treasurer or other similar officer or Person performing similar functions of a Loan Party and, as to any document delivered on the Closing Date,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“Responsible Officer” shall refer to a Responsible Officer of the Borrower. </w:t>
      </w:r>
    </w:p>
    <w:p>
      <w:pPr>
        <w:pStyle w:val="TextBody"/>
        <w:bidi w:val="0"/>
        <w:spacing w:before="240" w:after="0"/>
        <w:jc w:val="left"/>
        <w:rPr/>
      </w:pPr>
      <w:r>
        <w:rPr/>
        <w:t>“</w:t>
      </w:r>
      <w:r>
        <w:rPr>
          <w:rFonts w:ascii="Times New Roman" w:hAnsi="Times New Roman"/>
          <w:b/>
          <w:sz w:val="20"/>
        </w:rPr>
        <w:t>Restricted</w:t>
      </w:r>
      <w:r>
        <w:rPr>
          <w:rFonts w:ascii="Times New Roman" w:hAnsi="Times New Roman"/>
          <w:sz w:val="20"/>
        </w:rPr>
        <w:t xml:space="preserve">” means, when referring to cash or Cash Equivalents of the Borrower or any of the Restricted Subsidiaries, that such cash or Cash Equivalents appear (or would be required by GAAP to appear) as “restricted” on a consolidated balance sheet of the Borrower or such Restricted Subsidiary (unless such appearance is related to a restriction in favor of the Administrative Agent). </w:t>
      </w:r>
    </w:p>
    <w:p>
      <w:pPr>
        <w:pStyle w:val="TextBody"/>
        <w:bidi w:val="0"/>
        <w:spacing w:before="240" w:after="0"/>
        <w:jc w:val="left"/>
        <w:rPr/>
      </w:pPr>
      <w:r>
        <w:rPr/>
        <w:t>“</w:t>
      </w:r>
      <w:r>
        <w:rPr>
          <w:rFonts w:ascii="Times New Roman" w:hAnsi="Times New Roman"/>
          <w:b/>
          <w:sz w:val="20"/>
        </w:rPr>
        <w:t>Restricted Investment</w:t>
      </w:r>
      <w:r>
        <w:rPr>
          <w:rFonts w:ascii="Times New Roman" w:hAnsi="Times New Roman"/>
          <w:sz w:val="20"/>
        </w:rPr>
        <w:t xml:space="preserve">” means any Investment other than a Permitted Investment. </w:t>
      </w:r>
    </w:p>
    <w:p>
      <w:pPr>
        <w:pStyle w:val="TextBody"/>
        <w:bidi w:val="0"/>
        <w:spacing w:before="240" w:after="0"/>
        <w:jc w:val="left"/>
        <w:rPr/>
      </w:pPr>
      <w:r>
        <w:rPr/>
        <w:t>“</w:t>
      </w:r>
      <w:r>
        <w:rPr>
          <w:rFonts w:ascii="Times New Roman" w:hAnsi="Times New Roman"/>
          <w:b/>
          <w:sz w:val="20"/>
        </w:rPr>
        <w:t>Restricted Party</w:t>
      </w:r>
      <w:r>
        <w:rPr>
          <w:rFonts w:ascii="Times New Roman" w:hAnsi="Times New Roman"/>
          <w:sz w:val="20"/>
        </w:rPr>
        <w:t xml:space="preserve">” means a Person that is (a) listed on any Sanctions List or targeted by Sanctions (whether designated by name or by reason of being included in a class of person), (b) located in or incorporated under the laws of any country or territory that is the target of comprehensive, country- or territory-wide Sanctions (at the time of this Agreement, the so—called Donetsk People’s Republic, the so- called Luhansk People’s Republic, the Crimea Region of Ukraine, Cuba, Iran, North Korea and Syria), or (c) directly or indirectly owned or controlled (as such terms are defined in applicable Sanctions) by, or acting on behalf, at the direction, or for the benefit, of a person referred to in (a) and/or (to the extent relevant under Sanctions) (b) above. </w:t>
      </w:r>
    </w:p>
    <w:p>
      <w:pPr>
        <w:pStyle w:val="TextBody"/>
        <w:bidi w:val="0"/>
        <w:spacing w:before="240" w:after="0"/>
        <w:jc w:val="left"/>
        <w:rPr/>
      </w:pPr>
      <w:r>
        <w:rPr/>
        <w:t>“</w:t>
      </w:r>
      <w:r>
        <w:rPr>
          <w:rFonts w:ascii="Times New Roman" w:hAnsi="Times New Roman"/>
          <w:b/>
          <w:sz w:val="20"/>
        </w:rPr>
        <w:t>Restricted Payment</w:t>
      </w:r>
      <w:r>
        <w:rPr>
          <w:rFonts w:ascii="Times New Roman" w:hAnsi="Times New Roman"/>
          <w:sz w:val="20"/>
        </w:rPr>
        <w:t xml:space="preserve">” has the meaning specified in </w:t>
      </w:r>
      <w:r>
        <w:rPr>
          <w:rFonts w:ascii="Times New Roman" w:hAnsi="Times New Roman"/>
          <w:sz w:val="20"/>
          <w:u w:val="single"/>
        </w:rPr>
        <w:t>Section 7.06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Subsidiary</w:t>
      </w:r>
      <w:r>
        <w:rPr>
          <w:rFonts w:ascii="Times New Roman" w:hAnsi="Times New Roman"/>
          <w:sz w:val="20"/>
        </w:rPr>
        <w:t xml:space="preserve">” means any Subsidiary of the Borrower other than an Unrestricted Subsidiary.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and any successor thereto. </w:t>
      </w:r>
    </w:p>
    <w:p>
      <w:pPr>
        <w:pStyle w:val="TextBody"/>
        <w:bidi w:val="0"/>
        <w:spacing w:before="240" w:after="0"/>
        <w:jc w:val="left"/>
        <w:rPr/>
      </w:pPr>
      <w:r>
        <w:rPr/>
        <w:t>“</w:t>
      </w:r>
      <w:r>
        <w:rPr>
          <w:rFonts w:ascii="Times New Roman" w:hAnsi="Times New Roman"/>
          <w:b/>
          <w:sz w:val="20"/>
        </w:rPr>
        <w:t>Sale Leaseback Transaction</w:t>
      </w:r>
      <w:r>
        <w:rPr>
          <w:rFonts w:ascii="Times New Roman" w:hAnsi="Times New Roman"/>
          <w:sz w:val="20"/>
        </w:rPr>
        <w:t xml:space="preserve">” means a sale leaseback transaction with respect to all or any portion of any real property owned by a Loan Party or other property customarily included in such transactions. </w:t>
      </w:r>
    </w:p>
    <w:p>
      <w:pPr>
        <w:pStyle w:val="TextBody"/>
        <w:bidi w:val="0"/>
        <w:spacing w:before="240" w:after="0"/>
        <w:jc w:val="left"/>
        <w:rPr/>
      </w:pPr>
      <w:r>
        <w:rPr/>
        <w:t>“</w:t>
      </w:r>
      <w:r>
        <w:rPr>
          <w:rFonts w:ascii="Times New Roman" w:hAnsi="Times New Roman"/>
          <w:b/>
          <w:sz w:val="20"/>
        </w:rPr>
        <w:t>Same Day Funds</w:t>
      </w:r>
      <w:r>
        <w:rPr>
          <w:rFonts w:ascii="Times New Roman" w:hAnsi="Times New Roman"/>
          <w:sz w:val="20"/>
        </w:rPr>
        <w:t xml:space="preserve">” means disbursements and payments in immediately available funds.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any applicable (to any Relevant Person and/or Loan Party as the context provides) laws, regulations or orders concerning any trade, economic or financial sanctions or embargoes imposed, administered or enforced from time to time by a Sanctions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Sanctions Authority</w:t>
      </w:r>
      <w:r>
        <w:rPr>
          <w:rFonts w:ascii="Times New Roman" w:hAnsi="Times New Roman"/>
          <w:sz w:val="20"/>
        </w:rPr>
        <w:t xml:space="preserve">” means the Norwegian State, the United Nations, the European Union, the United Kingdom, the United States of America (including the Office of Foreign Assets Control of the U.S. Department of the Treasury or the U.S. Department of State), and any of their respective legislative, executive, enforcement and/or regulatory authorities or bodies acting in connection with Sanctions. </w:t>
      </w:r>
    </w:p>
    <w:p>
      <w:pPr>
        <w:pStyle w:val="TextBody"/>
        <w:bidi w:val="0"/>
        <w:spacing w:before="240" w:after="0"/>
        <w:jc w:val="left"/>
        <w:rPr/>
      </w:pPr>
      <w:r>
        <w:rPr/>
        <w:t>“</w:t>
      </w:r>
      <w:r>
        <w:rPr>
          <w:rFonts w:ascii="Times New Roman" w:hAnsi="Times New Roman"/>
          <w:b/>
          <w:sz w:val="20"/>
        </w:rPr>
        <w:t>Sanctions List</w:t>
      </w:r>
      <w:r>
        <w:rPr>
          <w:rFonts w:ascii="Times New Roman" w:hAnsi="Times New Roman"/>
          <w:sz w:val="20"/>
        </w:rPr>
        <w:t xml:space="preserve">” means: (a) the lists of Sanctions designations and/or targets maintained by any Sanctions Authority and/or (b) any other Sanctions designation or target listed and/or adopted by a Sanctions Authority, in each case, as amended, supplemented or replaced from time to time.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b/>
          <w:sz w:val="20"/>
        </w:rPr>
        <w:t>Secured Parties</w:t>
      </w:r>
      <w:r>
        <w:rPr>
          <w:rFonts w:ascii="Times New Roman" w:hAnsi="Times New Roman"/>
          <w:sz w:val="20"/>
        </w:rPr>
        <w:t xml:space="preserve">” means, collectively, the Administrative Agent, the Collateral Trustee, the Lenders, the Supplemental Administrative Agent and each co-agent or sub-agent appointed by the Administrative Agent from time to time pursuant to </w:t>
      </w:r>
      <w:r>
        <w:rPr>
          <w:rFonts w:ascii="Times New Roman" w:hAnsi="Times New Roman"/>
          <w:sz w:val="20"/>
          <w:u w:val="single"/>
        </w:rPr>
        <w:t>Section 10.05</w:t>
      </w:r>
      <w:r>
        <w:rPr>
          <w:rFonts w:ascii="Times New Roman" w:hAnsi="Times New Roman"/>
          <w:sz w:val="20"/>
        </w:rPr>
        <w:t xml:space="preserve"> and </w:t>
      </w:r>
      <w:r>
        <w:rPr>
          <w:rFonts w:ascii="Times New Roman" w:hAnsi="Times New Roman"/>
          <w:sz w:val="20"/>
          <w:u w:val="single"/>
        </w:rPr>
        <w:t>Section 10.12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Securities Account</w:t>
      </w:r>
      <w:r>
        <w:rPr>
          <w:rFonts w:ascii="Times New Roman" w:hAnsi="Times New Roman"/>
          <w:sz w:val="20"/>
        </w:rPr>
        <w:t xml:space="preserve">” has the meaning specified in the Uniform Commercial Code.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w:t>
      </w:r>
    </w:p>
    <w:p>
      <w:pPr>
        <w:pStyle w:val="TextBody"/>
        <w:bidi w:val="0"/>
        <w:spacing w:before="240" w:after="0"/>
        <w:jc w:val="left"/>
        <w:rPr/>
      </w:pPr>
      <w:r>
        <w:rPr/>
        <w:t>“</w:t>
      </w:r>
      <w:r>
        <w:rPr>
          <w:rFonts w:ascii="Times New Roman" w:hAnsi="Times New Roman"/>
          <w:b/>
          <w:sz w:val="20"/>
        </w:rPr>
        <w:t>Senior Indebtedness</w:t>
      </w:r>
      <w:r>
        <w:rPr>
          <w:rFonts w:ascii="Times New Roman" w:hAnsi="Times New Roman"/>
          <w:sz w:val="20"/>
        </w:rPr>
        <w:t xml:space="preserve">” has the meaning specified in </w:t>
      </w:r>
      <w:r>
        <w:rPr>
          <w:rFonts w:ascii="Times New Roman" w:hAnsi="Times New Roman"/>
          <w:sz w:val="20"/>
          <w:u w:val="single"/>
        </w:rPr>
        <w:t>Section 11.02(b)(ix)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Senior Lien Intercreditor Agreement</w:t>
      </w:r>
      <w:r>
        <w:rPr>
          <w:rFonts w:ascii="Times New Roman" w:hAnsi="Times New Roman"/>
          <w:sz w:val="20"/>
        </w:rPr>
        <w:t xml:space="preserve">” means that certain Junior Lien Intercreditor Agreement, dated as of December 27, 2024, substantially in the form attached hereto as </w:t>
      </w:r>
      <w:r>
        <w:rPr>
          <w:rFonts w:ascii="Times New Roman" w:hAnsi="Times New Roman"/>
          <w:sz w:val="20"/>
          <w:u w:val="single"/>
        </w:rPr>
        <w:t>Exhibit K-2</w:t>
      </w:r>
      <w:r>
        <w:rPr>
          <w:rFonts w:ascii="Times New Roman" w:hAnsi="Times New Roman"/>
          <w:sz w:val="20"/>
        </w:rPr>
        <w:t xml:space="preserve"> (as the same may be modified in a manner reasonably satisfactory to the Administrative Agent, the Collateral Trustee (at the direction of the Administrative Agent), the Required Lenders and the Borrower) or, if requested by the providers of Indebtedness permitted hereunder to be Senior Indebtedness, another lien subordination arrangement reasonably satisfactory to the Administrative Agent, the Collateral Trustee, the Required Lenders and the Borrower, in each case, as amended, restated, amended and restated, modified or supplemented from time to time in accordance with the terms hereof and thereof. Upon the request of the Borrower, the Administrative Agent and the Collateral Trustee will execute and deliver a Senior Lien Intercreditor Agreement for secured Indebtedness that is permitted to be incurred hereunder as Senior Indebtedness; </w:t>
      </w:r>
      <w:r>
        <w:rPr>
          <w:rFonts w:ascii="Times New Roman" w:hAnsi="Times New Roman"/>
          <w:i/>
          <w:sz w:val="20"/>
        </w:rPr>
        <w:t>provided</w:t>
      </w:r>
      <w:r>
        <w:rPr>
          <w:rFonts w:ascii="Times New Roman" w:hAnsi="Times New Roman"/>
          <w:sz w:val="20"/>
        </w:rPr>
        <w:t xml:space="preserve"> that the Borrower shall not make such request unless such Indebtedness and related Liens are permitted by (including with respect to priority) the Loan Documents. </w:t>
      </w:r>
    </w:p>
    <w:p>
      <w:pPr>
        <w:pStyle w:val="TextBody"/>
        <w:bidi w:val="0"/>
        <w:spacing w:before="240" w:after="0"/>
        <w:jc w:val="left"/>
        <w:rPr/>
      </w:pPr>
      <w:r>
        <w:rPr/>
        <w:t>“</w:t>
      </w:r>
      <w:r>
        <w:rPr>
          <w:rFonts w:ascii="Times New Roman" w:hAnsi="Times New Roman"/>
          <w:b/>
          <w:sz w:val="20"/>
        </w:rPr>
        <w:t>Settlement</w:t>
      </w:r>
      <w:r>
        <w:rPr>
          <w:rFonts w:ascii="Times New Roman" w:hAnsi="Times New Roman"/>
          <w:sz w:val="20"/>
        </w:rPr>
        <w:t xml:space="preserve">”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 </w:t>
      </w:r>
    </w:p>
    <w:p>
      <w:pPr>
        <w:pStyle w:val="TextBody"/>
        <w:bidi w:val="0"/>
        <w:spacing w:before="240" w:after="0"/>
        <w:jc w:val="left"/>
        <w:rPr/>
      </w:pPr>
      <w:r>
        <w:rPr/>
        <w:t>“</w:t>
      </w:r>
      <w:r>
        <w:rPr>
          <w:rFonts w:ascii="Times New Roman" w:hAnsi="Times New Roman"/>
          <w:b/>
          <w:sz w:val="20"/>
        </w:rPr>
        <w:t>Settlement Asset</w:t>
      </w:r>
      <w:r>
        <w:rPr>
          <w:rFonts w:ascii="Times New Roman" w:hAnsi="Times New Roman"/>
          <w:sz w:val="20"/>
        </w:rPr>
        <w:t xml:space="preserve">” means any cash, receivable or other property, including a Settlement Receivable, due or conveyed to a Person in consideration for a Settlement made or arranged, or to be made or arranged, by such Person or an Affiliate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Settlement Indebtedness</w:t>
      </w:r>
      <w:r>
        <w:rPr>
          <w:rFonts w:ascii="Times New Roman" w:hAnsi="Times New Roman"/>
          <w:sz w:val="20"/>
        </w:rPr>
        <w:t xml:space="preserve">” means any payment or reimbursement obligation in respect of a Settlement Payment. </w:t>
      </w:r>
    </w:p>
    <w:p>
      <w:pPr>
        <w:pStyle w:val="TextBody"/>
        <w:bidi w:val="0"/>
        <w:spacing w:before="240" w:after="0"/>
        <w:jc w:val="left"/>
        <w:rPr/>
      </w:pPr>
      <w:r>
        <w:rPr/>
        <w:t>“</w:t>
      </w:r>
      <w:r>
        <w:rPr>
          <w:rFonts w:ascii="Times New Roman" w:hAnsi="Times New Roman"/>
          <w:b/>
          <w:sz w:val="20"/>
        </w:rPr>
        <w:t>Settlement Lien</w:t>
      </w:r>
      <w:r>
        <w:rPr>
          <w:rFonts w:ascii="Times New Roman" w:hAnsi="Times New Roman"/>
          <w:sz w:val="20"/>
        </w:rPr>
        <w:t xml:space="preserve">”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w:t>
      </w:r>
    </w:p>
    <w:p>
      <w:pPr>
        <w:pStyle w:val="TextBody"/>
        <w:bidi w:val="0"/>
        <w:spacing w:before="240" w:after="0"/>
        <w:jc w:val="left"/>
        <w:rPr/>
      </w:pPr>
      <w:r>
        <w:rPr/>
        <w:t>“</w:t>
      </w:r>
      <w:r>
        <w:rPr>
          <w:rFonts w:ascii="Times New Roman" w:hAnsi="Times New Roman"/>
          <w:b/>
          <w:sz w:val="20"/>
        </w:rPr>
        <w:t>Settlement Payment</w:t>
      </w:r>
      <w:r>
        <w:rPr>
          <w:rFonts w:ascii="Times New Roman" w:hAnsi="Times New Roman"/>
          <w:sz w:val="20"/>
        </w:rPr>
        <w:t xml:space="preserve">” means the transfer, or contractual undertaking (including by automated clearing house transaction) to effect a transfer, of cash or other property to effect a Settlement. </w:t>
      </w:r>
    </w:p>
    <w:p>
      <w:pPr>
        <w:pStyle w:val="TextBody"/>
        <w:bidi w:val="0"/>
        <w:spacing w:before="240" w:after="0"/>
        <w:jc w:val="left"/>
        <w:rPr/>
      </w:pPr>
      <w:r>
        <w:rPr/>
        <w:t>“</w:t>
      </w:r>
      <w:r>
        <w:rPr>
          <w:rFonts w:ascii="Times New Roman" w:hAnsi="Times New Roman"/>
          <w:b/>
          <w:sz w:val="20"/>
        </w:rPr>
        <w:t>Settlement Receivable</w:t>
      </w:r>
      <w:r>
        <w:rPr>
          <w:rFonts w:ascii="Times New Roman" w:hAnsi="Times New Roman"/>
          <w:sz w:val="20"/>
        </w:rPr>
        <w:t xml:space="preserve">” means any general intangible, payment intangible, or instrument representing or reflecting an obligation to make payments to or for the benefit of a Person in consideration for a Settlement made or arranged, or to be made or arranged, by such Person. </w:t>
      </w:r>
    </w:p>
    <w:p>
      <w:pPr>
        <w:pStyle w:val="TextBody"/>
        <w:bidi w:val="0"/>
        <w:spacing w:before="240" w:after="0"/>
        <w:jc w:val="left"/>
        <w:rPr/>
      </w:pPr>
      <w:r>
        <w:rPr/>
        <w:t>“</w:t>
      </w:r>
      <w:r>
        <w:rPr>
          <w:rFonts w:ascii="Times New Roman" w:hAnsi="Times New Roman"/>
          <w:b/>
          <w:sz w:val="20"/>
        </w:rPr>
        <w:t>Shipowner</w:t>
      </w:r>
      <w:r>
        <w:rPr>
          <w:rFonts w:ascii="Times New Roman" w:hAnsi="Times New Roman"/>
          <w:sz w:val="20"/>
        </w:rPr>
        <w:t xml:space="preserve">” means each Loan Party that owns a Vessel that is Vessel Collateral or the 2024 Newbuild Vessels. </w:t>
      </w:r>
    </w:p>
    <w:p>
      <w:pPr>
        <w:pStyle w:val="TextBody"/>
        <w:bidi w:val="0"/>
        <w:spacing w:before="240" w:after="0"/>
        <w:jc w:val="left"/>
        <w:rPr/>
      </w:pPr>
      <w:r>
        <w:rPr/>
        <w:t>“</w:t>
      </w:r>
      <w:r>
        <w:rPr>
          <w:rFonts w:ascii="Times New Roman" w:hAnsi="Times New Roman"/>
          <w:b/>
          <w:sz w:val="20"/>
        </w:rPr>
        <w:t>Similar Business</w:t>
      </w:r>
      <w:r>
        <w:rPr>
          <w:rFonts w:ascii="Times New Roman" w:hAnsi="Times New Roman"/>
          <w:sz w:val="20"/>
        </w:rPr>
        <w:t xml:space="preserve">” means (a) any businesses, services or activities engaged in by the Borrower or any of its Subsidiaries or any Associates on the Closing Date, (b) any businesses, services and activities engaged in by the Borrower or any of its Subsidiaries or any Associates that are related, complementary, incidental, ancillary or similar to any of the foregoing or are extensions or developments of any thereof, and (c) a Person conducting a business, service or activity specified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and any Subsidiary thereof. For the avoidance of doubt, any Person that invests in or owns Equity Interests or Indebtedness of another Person that is engaged in a Similar Business shall be deemed to be engaged in a Similar Business. </w:t>
      </w:r>
    </w:p>
    <w:p>
      <w:pPr>
        <w:pStyle w:val="TextBody"/>
        <w:bidi w:val="0"/>
        <w:spacing w:before="240" w:after="0"/>
        <w:jc w:val="left"/>
        <w:rPr/>
      </w:pPr>
      <w:r>
        <w:rPr/>
        <w:t>“</w:t>
      </w:r>
      <w:r>
        <w:rPr>
          <w:rFonts w:ascii="Times New Roman" w:hAnsi="Times New Roman"/>
          <w:b/>
          <w:sz w:val="20"/>
        </w:rPr>
        <w:t>Solvent</w:t>
      </w:r>
      <w:r>
        <w:rPr>
          <w:rFonts w:ascii="Times New Roman" w:hAnsi="Times New Roman"/>
          <w:sz w:val="20"/>
        </w:rPr>
        <w:t>” and “</w:t>
      </w:r>
      <w:r>
        <w:rPr>
          <w:rFonts w:ascii="Times New Roman" w:hAnsi="Times New Roman"/>
          <w:b/>
          <w:sz w:val="20"/>
        </w:rPr>
        <w:t>Solvency</w:t>
      </w:r>
      <w:r>
        <w:rPr>
          <w:rFonts w:ascii="Times New Roman" w:hAnsi="Times New Roman"/>
          <w:sz w:val="20"/>
        </w:rPr>
        <w:t xml:space="preserve">” mean, with respect to any Person on any date of determination, that on such date (a) the fair value of the assets of such Person, on a consolidated basis with its Subsidiaries, exceeds its debts and liabilities, subordinated, contingent or otherwise, on a consolidated basis, (b) 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 </w:t>
      </w:r>
    </w:p>
    <w:p>
      <w:pPr>
        <w:pStyle w:val="TextBody"/>
        <w:bidi w:val="0"/>
        <w:spacing w:before="240" w:after="0"/>
        <w:jc w:val="left"/>
        <w:rPr/>
      </w:pPr>
      <w:r>
        <w:rPr/>
        <w:t>“</w:t>
      </w:r>
      <w:r>
        <w:rPr>
          <w:rFonts w:ascii="Times New Roman" w:hAnsi="Times New Roman"/>
          <w:b/>
          <w:sz w:val="20"/>
        </w:rPr>
        <w:t>SPC</w:t>
      </w:r>
      <w:r>
        <w:rPr>
          <w:rFonts w:ascii="Times New Roman" w:hAnsi="Times New Roman"/>
          <w:sz w:val="20"/>
        </w:rPr>
        <w:t xml:space="preserve">” has the meaning specified in </w:t>
      </w:r>
      <w:r>
        <w:rPr>
          <w:rFonts w:ascii="Times New Roman" w:hAnsi="Times New Roman"/>
          <w:sz w:val="20"/>
          <w:u w:val="single"/>
        </w:rPr>
        <w:t>Section 11.07(g)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 xml:space="preserve">Specified Event of Default” </w:t>
      </w:r>
      <w:r>
        <w:rPr>
          <w:rFonts w:ascii="Times New Roman" w:hAnsi="Times New Roman"/>
          <w:sz w:val="20"/>
        </w:rPr>
        <w:t xml:space="preserve">means an Event of Default pursuant to </w:t>
      </w:r>
      <w:r>
        <w:rPr>
          <w:rFonts w:ascii="Times New Roman" w:hAnsi="Times New Roman"/>
          <w:sz w:val="20"/>
          <w:u w:val="single"/>
        </w:rPr>
        <w:t>Section 9.01(a)</w:t>
      </w:r>
      <w:r>
        <w:rPr>
          <w:rFonts w:ascii="Times New Roman" w:hAnsi="Times New Roman"/>
          <w:sz w:val="20"/>
        </w:rPr>
        <w:t xml:space="preserve"> or an Event of Default pursuant to </w:t>
      </w:r>
      <w:r>
        <w:rPr>
          <w:rFonts w:ascii="Times New Roman" w:hAnsi="Times New Roman"/>
          <w:sz w:val="20"/>
          <w:u w:val="single"/>
        </w:rPr>
        <w:t>Section 9.01(f)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Specified Qualified Appraisers</w:t>
      </w:r>
      <w:r>
        <w:rPr>
          <w:rFonts w:ascii="Times New Roman" w:hAnsi="Times New Roman"/>
          <w:sz w:val="20"/>
        </w:rPr>
        <w:t xml:space="preserve">” means DLS Marine Survey and Appraisal, Clarksons, Fearnleys, Pareto, Seabrokers Group, S&amp;P Global, Arctic Offshore, North American Marine Consultants, LLC or Dufour Laskay &amp; Strouse Inc (or any successor thereof) and other appraisers with the prior consent of the Administrative Agent (such consent not to be unreasonably withheld, conditioned or delayed). </w:t>
      </w:r>
    </w:p>
    <w:p>
      <w:pPr>
        <w:pStyle w:val="TextBody"/>
        <w:bidi w:val="0"/>
        <w:spacing w:before="240" w:after="0"/>
        <w:jc w:val="left"/>
        <w:rPr/>
      </w:pPr>
      <w:r>
        <w:rPr/>
        <w:t>“</w:t>
      </w:r>
      <w:r>
        <w:rPr>
          <w:rFonts w:ascii="Times New Roman" w:hAnsi="Times New Roman"/>
          <w:b/>
          <w:sz w:val="20"/>
        </w:rPr>
        <w:t>Specified Vessel</w:t>
      </w:r>
      <w:r>
        <w:rPr>
          <w:rFonts w:ascii="Times New Roman" w:hAnsi="Times New Roman"/>
          <w:sz w:val="20"/>
        </w:rPr>
        <w:t xml:space="preserve">” has the meaning specified in the definition of “Consolidated Adjusted EBITDA”. </w:t>
      </w:r>
    </w:p>
    <w:p>
      <w:pPr>
        <w:pStyle w:val="TextBody"/>
        <w:bidi w:val="0"/>
        <w:spacing w:before="240" w:after="0"/>
        <w:jc w:val="left"/>
        <w:rPr/>
      </w:pPr>
      <w:r>
        <w:rPr/>
        <w:t>“</w:t>
      </w:r>
      <w:r>
        <w:rPr>
          <w:rFonts w:ascii="Times New Roman" w:hAnsi="Times New Roman"/>
          <w:b/>
          <w:sz w:val="20"/>
        </w:rPr>
        <w:t>Sponsors</w:t>
      </w:r>
      <w:r>
        <w:rPr>
          <w:rFonts w:ascii="Times New Roman" w:hAnsi="Times New Roman"/>
          <w:sz w:val="20"/>
        </w:rPr>
        <w:t xml:space="preserve">” means, individually or collectively, any fund, partnership, co-investment vehicles and/or similar vehicles or accounts, in each case managed or advised by Ares Management Corp., Whitebox Advisors LLC, Highbridge Capital Management, LLC or any Subsequent Sponsor or any of their respective Affiliates, or any of their respective successors. </w:t>
      </w:r>
    </w:p>
    <w:p>
      <w:pPr>
        <w:pStyle w:val="TextBody"/>
        <w:bidi w:val="0"/>
        <w:spacing w:before="240" w:after="0"/>
        <w:jc w:val="left"/>
        <w:rPr/>
      </w:pPr>
      <w:r>
        <w:rPr/>
        <w:t>“</w:t>
      </w:r>
      <w:r>
        <w:rPr>
          <w:rFonts w:ascii="Times New Roman" w:hAnsi="Times New Roman"/>
          <w:b/>
          <w:sz w:val="20"/>
        </w:rPr>
        <w:t>Stacked Vessel</w:t>
      </w:r>
      <w:r>
        <w:rPr>
          <w:rFonts w:ascii="Times New Roman" w:hAnsi="Times New Roman"/>
          <w:sz w:val="20"/>
        </w:rPr>
        <w:t xml:space="preserve">” means a Vessel that has been temporarily or permanently removed from service in the exercise of the Borrower’s reasonable judgment consistent with reasonable business practices in light of the facts known at the time the decision was made (including, without limitation, operating costs and available marketing opportunities) or in the case of any after-acquired Vessel (whether by acquiring the Vessel or the entity that owns such Vessel ) that was stacked at the time of its acquisition or thereafter. </w:t>
      </w:r>
    </w:p>
    <w:p>
      <w:pPr>
        <w:pStyle w:val="TextBody"/>
        <w:bidi w:val="0"/>
        <w:spacing w:before="240" w:after="0"/>
        <w:jc w:val="left"/>
        <w:rPr/>
      </w:pPr>
      <w:r>
        <w:rPr/>
        <w:t>“</w:t>
      </w:r>
      <w:r>
        <w:rPr>
          <w:rFonts w:ascii="Times New Roman" w:hAnsi="Times New Roman"/>
          <w:b/>
          <w:sz w:val="20"/>
        </w:rPr>
        <w:t>Subordinated Indebtedness</w:t>
      </w:r>
      <w:r>
        <w:rPr>
          <w:rFonts w:ascii="Times New Roman" w:hAnsi="Times New Roman"/>
          <w:sz w:val="20"/>
        </w:rPr>
        <w:t xml:space="preserve">” means, with respect to any person, any Indebtedness (whether outstanding on the Closing Date or thereafter incurred) which is expressly subordinated in right of payment to the Loans pursuant to a written agreement (but excluding any First Lien Debt). </w:t>
      </w:r>
    </w:p>
    <w:p>
      <w:pPr>
        <w:pStyle w:val="TextBody"/>
        <w:bidi w:val="0"/>
        <w:spacing w:before="240" w:after="0"/>
        <w:jc w:val="left"/>
        <w:rPr/>
      </w:pPr>
      <w:r>
        <w:rPr/>
        <w:t>“</w:t>
      </w:r>
      <w:r>
        <w:rPr>
          <w:rFonts w:ascii="Times New Roman" w:hAnsi="Times New Roman"/>
          <w:b/>
          <w:sz w:val="20"/>
        </w:rPr>
        <w:t>Subsequent Sponsor</w:t>
      </w:r>
      <w:r>
        <w:rPr>
          <w:rFonts w:ascii="Times New Roman" w:hAnsi="Times New Roman"/>
          <w:sz w:val="20"/>
        </w:rPr>
        <w:t xml:space="preserve">” means any “person” or “group” (as each term is used in Sections 13(d) and 14(d) of the Exchange Act as in effect on the Closing Date) that is or becomes the “beneficial owner” (as defined in Rules 13d-3 and 13d-5 of the Exchange Act as in effect on the Closing Date) of more than 50% of the total voting power of the Voting Stock of the Borrower (or any Parent Entity) pursuant to a Permitted Change of Control.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any corporation, association, or other business entity (other than a partnership, joint venture, limited liability company or similar entity) of which more than 50% of the total voting power of shares of Equity Interests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(2) any partnership, joint venture, limited liability company or similar entity of which: </w:t>
      </w:r>
    </w:p>
    <w:p>
      <w:pPr>
        <w:pStyle w:val="TextBody"/>
        <w:bidi w:val="0"/>
        <w:spacing w:before="120" w:after="0"/>
        <w:jc w:val="left"/>
        <w:rPr>
          <w:rFonts w:ascii="Times New Roman" w:hAnsi="Times New Roman"/>
          <w:sz w:val="20"/>
        </w:rPr>
      </w:pPr>
      <w:r>
        <w:rPr>
          <w:rFonts w:ascii="Times New Roman" w:hAnsi="Times New Roman"/>
          <w:sz w:val="20"/>
        </w:rPr>
        <w:t xml:space="preserve">(3)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such Person or any Subsidiary of such Person is a controlling general partner or otherwise controls such entity; or </w:t>
      </w:r>
    </w:p>
    <w:p>
      <w:pPr>
        <w:pStyle w:val="TextBody"/>
        <w:bidi w:val="0"/>
        <w:spacing w:before="120" w:after="0"/>
        <w:jc w:val="left"/>
        <w:rPr>
          <w:rFonts w:ascii="Times New Roman" w:hAnsi="Times New Roman"/>
          <w:sz w:val="20"/>
        </w:rPr>
      </w:pPr>
      <w:r>
        <w:rPr>
          <w:rFonts w:ascii="Times New Roman" w:hAnsi="Times New Roman"/>
          <w:sz w:val="20"/>
        </w:rPr>
        <w:t xml:space="preserve">(5) at the election of the Borrower, any partnership, joint venture, limited liability company or similar entity of which such Person or any Subsidiary of such Person is a controlling general partner or otherwise controls such entity.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the foregoing, “Subsidiary” shall not include Hornbeck Offshore Services de Mexico, S. de R.L. de C.V. or Hornbeck Offshore (Trinidad &amp; Tobago), Ltd. </w:t>
      </w:r>
    </w:p>
    <w:p>
      <w:pPr>
        <w:pStyle w:val="TextBody"/>
        <w:bidi w:val="0"/>
        <w:spacing w:before="240" w:after="0"/>
        <w:jc w:val="left"/>
        <w:rPr/>
      </w:pPr>
      <w:r>
        <w:rPr/>
        <w:t>“</w:t>
      </w:r>
      <w:r>
        <w:rPr>
          <w:rFonts w:ascii="Times New Roman" w:hAnsi="Times New Roman"/>
          <w:b/>
          <w:sz w:val="20"/>
        </w:rPr>
        <w:t>Subsidized Indebtedness Specified Cash</w:t>
      </w:r>
      <w:r>
        <w:rPr>
          <w:rFonts w:ascii="Times New Roman" w:hAnsi="Times New Roman"/>
          <w:sz w:val="20"/>
        </w:rPr>
        <w:t xml:space="preserve">” has the meaning specified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Substitute Vessel</w:t>
      </w:r>
      <w:r>
        <w:rPr>
          <w:rFonts w:ascii="Times New Roman" w:hAnsi="Times New Roman"/>
          <w:sz w:val="20"/>
        </w:rPr>
        <w:t xml:space="preserve">” has the meaning specified in </w:t>
      </w:r>
      <w:r>
        <w:rPr>
          <w:rFonts w:ascii="Times New Roman" w:hAnsi="Times New Roman"/>
          <w:sz w:val="20"/>
          <w:u w:val="single"/>
        </w:rPr>
        <w:t>Section 2.03(f)(i)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Substitution Notice</w:t>
      </w:r>
      <w:r>
        <w:rPr>
          <w:rFonts w:ascii="Times New Roman" w:hAnsi="Times New Roman"/>
          <w:sz w:val="20"/>
        </w:rPr>
        <w:t xml:space="preserve">” has the meaning specified in </w:t>
      </w:r>
      <w:r>
        <w:rPr>
          <w:rFonts w:ascii="Times New Roman" w:hAnsi="Times New Roman"/>
          <w:sz w:val="20"/>
          <w:u w:val="single"/>
        </w:rPr>
        <w:t>Section 2.03(f)(i)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Substitution Percentage</w:t>
      </w:r>
      <w:r>
        <w:rPr>
          <w:rFonts w:ascii="Times New Roman" w:hAnsi="Times New Roman"/>
          <w:sz w:val="20"/>
        </w:rPr>
        <w:t xml:space="preserve">” means an amount equal to a fraction, the numerator of which is the actual Vessel Collateral Value Amount of the Substitute Vessel (or Substitute Vessels) divided by the Vessel Collateral Value Amount of the Vessel so sold, reflagged, transferred, conveyed, designated, lost or similarly disposed. </w:t>
      </w:r>
    </w:p>
    <w:p>
      <w:pPr>
        <w:pStyle w:val="TextBody"/>
        <w:bidi w:val="0"/>
        <w:spacing w:before="240" w:after="0"/>
        <w:jc w:val="left"/>
        <w:rPr/>
      </w:pPr>
      <w:r>
        <w:rPr/>
        <w:t>“</w:t>
      </w:r>
      <w:r>
        <w:rPr>
          <w:rFonts w:ascii="Times New Roman" w:hAnsi="Times New Roman"/>
          <w:b/>
          <w:sz w:val="20"/>
        </w:rPr>
        <w:t>Successor Company</w:t>
      </w:r>
      <w:r>
        <w:rPr>
          <w:rFonts w:ascii="Times New Roman" w:hAnsi="Times New Roman"/>
          <w:sz w:val="20"/>
        </w:rPr>
        <w:t xml:space="preserve">” has the meaning specified in Section 7.04(a)(i). </w:t>
      </w:r>
    </w:p>
    <w:p>
      <w:pPr>
        <w:pStyle w:val="TextBody"/>
        <w:bidi w:val="0"/>
        <w:spacing w:before="240" w:after="0"/>
        <w:jc w:val="left"/>
        <w:rPr/>
      </w:pPr>
      <w:r>
        <w:rPr/>
        <w:t>“</w:t>
      </w:r>
      <w:r>
        <w:rPr>
          <w:rFonts w:ascii="Times New Roman" w:hAnsi="Times New Roman"/>
          <w:b/>
          <w:sz w:val="20"/>
        </w:rPr>
        <w:t>Successor Person</w:t>
      </w:r>
      <w:r>
        <w:rPr>
          <w:rFonts w:ascii="Times New Roman" w:hAnsi="Times New Roman"/>
          <w:sz w:val="20"/>
        </w:rPr>
        <w:t xml:space="preserve">” has the meaning specified in </w:t>
      </w:r>
      <w:r>
        <w:rPr>
          <w:rFonts w:ascii="Times New Roman" w:hAnsi="Times New Roman"/>
          <w:sz w:val="20"/>
          <w:u w:val="single"/>
        </w:rPr>
        <w:t>Section 7.04(b)(i)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Supplemental Administrative Agent</w:t>
      </w:r>
      <w:r>
        <w:rPr>
          <w:rFonts w:ascii="Times New Roman" w:hAnsi="Times New Roman"/>
          <w:sz w:val="20"/>
        </w:rPr>
        <w:t>” and “</w:t>
      </w:r>
      <w:r>
        <w:rPr>
          <w:rFonts w:ascii="Times New Roman" w:hAnsi="Times New Roman"/>
          <w:b/>
          <w:sz w:val="20"/>
        </w:rPr>
        <w:t>Supplemental Administrative Agents</w:t>
      </w:r>
      <w:r>
        <w:rPr>
          <w:rFonts w:ascii="Times New Roman" w:hAnsi="Times New Roman"/>
          <w:sz w:val="20"/>
        </w:rPr>
        <w:t xml:space="preserve">” have the meanings specified in </w:t>
      </w:r>
      <w:r>
        <w:rPr>
          <w:rFonts w:ascii="Times New Roman" w:hAnsi="Times New Roman"/>
          <w:sz w:val="20"/>
          <w:u w:val="single"/>
        </w:rPr>
        <w:t>Section 10.12(a)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Supported QFC</w:t>
      </w:r>
      <w:r>
        <w:rPr>
          <w:rFonts w:ascii="Times New Roman" w:hAnsi="Times New Roman"/>
          <w:sz w:val="20"/>
        </w:rPr>
        <w:t>” has the meaning specified in</w:t>
      </w:r>
      <w:r>
        <w:rPr>
          <w:rFonts w:ascii="Times New Roman" w:hAnsi="Times New Roman"/>
          <w:sz w:val="20"/>
          <w:u w:val="single"/>
        </w:rPr>
        <w:t xml:space="preserve"> Section 11.26(a)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Surety</w:t>
      </w:r>
      <w:r>
        <w:rPr>
          <w:rFonts w:ascii="Times New Roman" w:hAnsi="Times New Roman"/>
          <w:sz w:val="20"/>
        </w:rPr>
        <w:t xml:space="preserve">” has the meaning specified in the definition of “Builder”. </w:t>
      </w:r>
    </w:p>
    <w:p>
      <w:pPr>
        <w:pStyle w:val="TextBody"/>
        <w:bidi w:val="0"/>
        <w:spacing w:before="240" w:after="0"/>
        <w:jc w:val="left"/>
        <w:rPr/>
      </w:pPr>
      <w:r>
        <w:rPr/>
        <w:t>“</w:t>
      </w:r>
      <w:r>
        <w:rPr>
          <w:rFonts w:ascii="Times New Roman" w:hAnsi="Times New Roman"/>
          <w:b/>
          <w:sz w:val="20"/>
        </w:rPr>
        <w:t>Swap Obligations</w:t>
      </w:r>
      <w:r>
        <w:rPr>
          <w:rFonts w:ascii="Times New Roman" w:hAnsi="Times New Roman"/>
          <w:sz w:val="20"/>
        </w:rPr>
        <w:t xml:space="preserve">”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has the meaning specified in </w:t>
      </w:r>
      <w:r>
        <w:rPr>
          <w:rFonts w:ascii="Times New Roman" w:hAnsi="Times New Roman"/>
          <w:sz w:val="20"/>
          <w:u w:val="single"/>
        </w:rPr>
        <w:t>Section 3.01(a)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Term Loan Collateral Release Ratio</w:t>
      </w:r>
      <w:r>
        <w:rPr>
          <w:rFonts w:ascii="Times New Roman" w:hAnsi="Times New Roman"/>
          <w:sz w:val="20"/>
        </w:rPr>
        <w:t xml:space="preserve">” means the ratio of (i) the aggregate principal outstanding amount of the Loans to (ii) the Vessel Collateral Value Amount (as determined, if the Borrower so elects, by the most recent appraisals required to be delivered under </w:t>
      </w:r>
      <w:r>
        <w:rPr>
          <w:rFonts w:ascii="Times New Roman" w:hAnsi="Times New Roman"/>
          <w:sz w:val="20"/>
          <w:u w:val="single"/>
        </w:rPr>
        <w:t>Section 6.02(b)</w:t>
      </w:r>
      <w:r>
        <w:rPr>
          <w:rFonts w:ascii="Times New Roman" w:hAnsi="Times New Roman"/>
          <w:sz w:val="20"/>
        </w:rPr>
        <w:t xml:space="preserve"> or otherwise delivered hereunder) in respect of Vessels which are not Stacked Vessels. </w:t>
      </w:r>
    </w:p>
    <w:p>
      <w:pPr>
        <w:pStyle w:val="TextBody"/>
        <w:bidi w:val="0"/>
        <w:spacing w:before="240" w:after="0"/>
        <w:jc w:val="left"/>
        <w:rPr/>
      </w:pPr>
      <w:r>
        <w:rPr/>
        <w:t>“</w:t>
      </w:r>
      <w:r>
        <w:rPr>
          <w:rFonts w:ascii="Times New Roman" w:hAnsi="Times New Roman"/>
          <w:b/>
          <w:sz w:val="20"/>
        </w:rPr>
        <w:t>Term Loan Facility</w:t>
      </w:r>
      <w:r>
        <w:rPr>
          <w:rFonts w:ascii="Times New Roman" w:hAnsi="Times New Roman"/>
          <w:sz w:val="20"/>
        </w:rPr>
        <w:t xml:space="preserve">” has the meaning set forth in the Preliminary Statements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Term Loan Note</w:t>
      </w:r>
      <w:r>
        <w:rPr>
          <w:rFonts w:ascii="Times New Roman" w:hAnsi="Times New Roman"/>
          <w:sz w:val="20"/>
        </w:rPr>
        <w:t xml:space="preserve">” means a promissory note in the form of </w:t>
      </w:r>
      <w:r>
        <w:rPr>
          <w:rFonts w:ascii="Times New Roman" w:hAnsi="Times New Roman"/>
          <w:sz w:val="20"/>
          <w:u w:val="single"/>
        </w:rPr>
        <w:t>Exhibit B</w:t>
      </w:r>
      <w:r>
        <w:rPr>
          <w:rFonts w:ascii="Times New Roman" w:hAnsi="Times New Roman"/>
          <w:sz w:val="20"/>
        </w:rPr>
        <w:t xml:space="preserve">, as it may be amended, restated, amended and restated, supplemented or otherwise modified from time to time. </w:t>
      </w:r>
    </w:p>
    <w:p>
      <w:pPr>
        <w:pStyle w:val="TextBody"/>
        <w:bidi w:val="0"/>
        <w:spacing w:before="240" w:after="0"/>
        <w:jc w:val="left"/>
        <w:rPr/>
      </w:pPr>
      <w:r>
        <w:rPr/>
        <w:t>“</w:t>
      </w:r>
      <w:r>
        <w:rPr>
          <w:rFonts w:ascii="Times New Roman" w:hAnsi="Times New Roman"/>
          <w:b/>
          <w:sz w:val="20"/>
        </w:rPr>
        <w:t>Test Period</w:t>
      </w:r>
      <w:r>
        <w:rPr>
          <w:rFonts w:ascii="Times New Roman" w:hAnsi="Times New Roman"/>
          <w:sz w:val="20"/>
        </w:rPr>
        <w:t xml:space="preserve">” in effect at any time means the most recent period of four consecutive fiscal quarters of the Borrower ended on or prior to such time (taken as one accounting period) in respect of which financial statements for each quarter or fiscal year in such period are available or, in the case of </w:t>
      </w:r>
      <w:r>
        <w:rPr>
          <w:rFonts w:ascii="Times New Roman" w:hAnsi="Times New Roman"/>
          <w:sz w:val="20"/>
          <w:u w:val="single"/>
        </w:rPr>
        <w:t>Article VIII</w:t>
      </w:r>
      <w:r>
        <w:rPr>
          <w:rFonts w:ascii="Times New Roman" w:hAnsi="Times New Roman"/>
          <w:sz w:val="20"/>
        </w:rPr>
        <w:t xml:space="preserve">, are required to be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6.01(b)</w:t>
      </w:r>
      <w:r>
        <w:rPr>
          <w:rFonts w:ascii="Times New Roman" w:hAnsi="Times New Roman"/>
          <w:sz w:val="20"/>
        </w:rPr>
        <w:t xml:space="preserve"> (which may be internal financial statements except (i) to the extent this Agreement otherwise expressly states that the Test Period is specified in a Compliance Certificate, in which case such financial statements shall have been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for the Test Period set forth in such Compliance Certificate or (ii) for purposes of </w:t>
      </w:r>
      <w:r>
        <w:rPr>
          <w:rFonts w:ascii="Times New Roman" w:hAnsi="Times New Roman"/>
          <w:sz w:val="20"/>
          <w:u w:val="single"/>
        </w:rPr>
        <w:t>Article VIII</w:t>
      </w:r>
      <w:r>
        <w:rPr>
          <w:rFonts w:ascii="Times New Roman" w:hAnsi="Times New Roman"/>
          <w:sz w:val="20"/>
        </w:rPr>
        <w:t>). A Test Period may be designated by reference to the last day thereof (i.e</w:t>
      </w:r>
      <w:r>
        <w:rPr>
          <w:rFonts w:ascii="Times New Roman" w:hAnsi="Times New Roman"/>
          <w:i/>
          <w:sz w:val="20"/>
        </w:rPr>
        <w:t>.</w:t>
      </w:r>
      <w:r>
        <w:rPr>
          <w:rFonts w:ascii="Times New Roman" w:hAnsi="Times New Roman"/>
          <w:sz w:val="20"/>
        </w:rPr>
        <w:t xml:space="preserve">, the “December 31st Test Period” of a particular year refers to the period of four consecutive fiscal quarters of the Borrower ended on December 31st of such year), and a Test Period shall be deemed to end on the last day thereof. </w:t>
      </w:r>
    </w:p>
    <w:p>
      <w:pPr>
        <w:pStyle w:val="TextBody"/>
        <w:bidi w:val="0"/>
        <w:spacing w:before="240" w:after="0"/>
        <w:jc w:val="left"/>
        <w:rPr/>
      </w:pPr>
      <w:r>
        <w:rPr/>
        <w:t>“</w:t>
      </w:r>
      <w:r>
        <w:rPr>
          <w:rFonts w:ascii="Times New Roman" w:hAnsi="Times New Roman"/>
          <w:b/>
          <w:sz w:val="20"/>
        </w:rPr>
        <w:t>Testing Date</w:t>
      </w:r>
      <w:r>
        <w:rPr>
          <w:rFonts w:ascii="Times New Roman" w:hAnsi="Times New Roman"/>
          <w:sz w:val="20"/>
        </w:rPr>
        <w:t xml:space="preserve">” has the meaning assigned to such term in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Threshold Amount</w:t>
      </w:r>
      <w:r>
        <w:rPr>
          <w:rFonts w:ascii="Times New Roman" w:hAnsi="Times New Roman"/>
          <w:sz w:val="20"/>
        </w:rPr>
        <w:t xml:space="preserve">” means $25.0 million. </w:t>
      </w:r>
    </w:p>
    <w:p>
      <w:pPr>
        <w:pStyle w:val="TextBody"/>
        <w:bidi w:val="0"/>
        <w:spacing w:before="240" w:after="0"/>
        <w:jc w:val="left"/>
        <w:rPr/>
      </w:pPr>
      <w:r>
        <w:rPr/>
        <w:t>“</w:t>
      </w:r>
      <w:r>
        <w:rPr>
          <w:rFonts w:ascii="Times New Roman" w:hAnsi="Times New Roman"/>
          <w:b/>
          <w:sz w:val="20"/>
        </w:rPr>
        <w:t>Total Assets</w:t>
      </w:r>
      <w:r>
        <w:rPr>
          <w:rFonts w:ascii="Times New Roman" w:hAnsi="Times New Roman"/>
          <w:sz w:val="20"/>
        </w:rPr>
        <w:t xml:space="preserve">” means, as of any date, the total consolidated assets of the Borrower and its Restricted Subsidiaries on a consolidated basis, as shown on the most recent consolidated balance sheet of the Borrower and its Restricted Subsidiaries, determined in accordance with GAAP. </w:t>
      </w:r>
    </w:p>
    <w:p>
      <w:pPr>
        <w:pStyle w:val="TextBody"/>
        <w:bidi w:val="0"/>
        <w:spacing w:before="240" w:after="0"/>
        <w:jc w:val="left"/>
        <w:rPr/>
      </w:pPr>
      <w:r>
        <w:rPr/>
        <w:t>“</w:t>
      </w:r>
      <w:r>
        <w:rPr>
          <w:rFonts w:ascii="Times New Roman" w:hAnsi="Times New Roman"/>
          <w:b/>
          <w:sz w:val="20"/>
        </w:rPr>
        <w:t>Total Loss</w:t>
      </w:r>
      <w:r>
        <w:rPr>
          <w:rFonts w:ascii="Times New Roman" w:hAnsi="Times New Roman"/>
          <w:sz w:val="20"/>
        </w:rPr>
        <w:t xml:space="preserve">” means, in relation to any Vessel constituting Vessel Collateral, any of the following and any such Total Loss shall be deemed to have occurred as of the date set forth in parenthesis after the definition of such Total Loss: </w:t>
      </w:r>
    </w:p>
    <w:p>
      <w:pPr>
        <w:pStyle w:val="TextBody"/>
        <w:bidi w:val="0"/>
        <w:spacing w:before="120" w:after="0"/>
        <w:jc w:val="left"/>
        <w:rPr>
          <w:rFonts w:ascii="Times New Roman" w:hAnsi="Times New Roman"/>
          <w:sz w:val="20"/>
        </w:rPr>
      </w:pPr>
      <w:r>
        <w:rPr>
          <w:rFonts w:ascii="Times New Roman" w:hAnsi="Times New Roman"/>
          <w:sz w:val="20"/>
        </w:rPr>
        <w:t xml:space="preserve">(i) its actual total loss or destruction, damage beyond repair, or being rendered permanently unfit for normal use (the date on which such loss, destruction, damage or rendition occurs or, if the date of loss or destruction is not known, the date on which such Vessel was last heard of); </w:t>
      </w:r>
    </w:p>
    <w:p>
      <w:pPr>
        <w:pStyle w:val="TextBody"/>
        <w:bidi w:val="0"/>
        <w:spacing w:before="120" w:after="0"/>
        <w:jc w:val="left"/>
        <w:rPr>
          <w:rFonts w:ascii="Times New Roman" w:hAnsi="Times New Roman"/>
          <w:sz w:val="20"/>
        </w:rPr>
      </w:pPr>
      <w:r>
        <w:rPr>
          <w:rFonts w:ascii="Times New Roman" w:hAnsi="Times New Roman"/>
          <w:sz w:val="20"/>
        </w:rPr>
        <w:t xml:space="preserve">(ii) its constructive or, with the consent of the Borrowers and the Lenders, compromised, arranged or agreed total loss (the earliest of (A) the date on which such loss is agreed or compromised or arranged by the insurers, (B) the date on which a competent court of law or arbitration tribunal issues a judgment or award against which there is no appeal to the effect that a total loss has occurred, (C) the date on which the insurers make payment of the full amount of the proceeds of such total loss on the basis of a total loss, (D) sixty (60) days from the date of the event giving rise to such loss, and (E) the maturity date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(iii) requisition for title or other compulsory acquisition of such Vessel (other than by requisition for hire) which shall continue for thirty (30) days (the date on which such requisition for title or other compulsory acquisition takes effect);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capture, seizure, arrest, detention or confiscation of such Vessel by any Governmental Authority or by persons acting or purporting to act on behalf of any Governmental Authority, unless such Vessel is released from such capture, seizure, arrest, detention or confiscation, whether by posting of a bond or security or otherwise, within thirty (30) days after the occurrence thereof; (the date on which (A) the date on which the insurers make payment of the full amount of the proceeds of such total loss on the basis of a total loss, (B) thirty (30) days from the date of the event giving rise to such loss, and (C) the maturity date of the Notes). </w:t>
      </w:r>
    </w:p>
    <w:p>
      <w:pPr>
        <w:pStyle w:val="TextBody"/>
        <w:bidi w:val="0"/>
        <w:spacing w:before="240" w:after="0"/>
        <w:jc w:val="left"/>
        <w:rPr/>
      </w:pPr>
      <w:r>
        <w:rPr/>
        <w:t>“</w:t>
      </w:r>
      <w:r>
        <w:rPr>
          <w:rFonts w:ascii="Times New Roman" w:hAnsi="Times New Roman"/>
          <w:b/>
          <w:sz w:val="20"/>
        </w:rPr>
        <w:t>Total Net Leverage Ratio</w:t>
      </w:r>
      <w:r>
        <w:rPr>
          <w:rFonts w:ascii="Times New Roman" w:hAnsi="Times New Roman"/>
          <w:sz w:val="20"/>
        </w:rPr>
        <w:t xml:space="preserve">” means, with respect to any Test Period, the ratio of (a) Consolidated Net Debt as of the last day of such Test Period to (b) Consolidated Adjusted EBITDA of the Borrower for such Test Period. </w:t>
      </w:r>
    </w:p>
    <w:p>
      <w:pPr>
        <w:pStyle w:val="TextBody"/>
        <w:bidi w:val="0"/>
        <w:spacing w:before="240" w:after="0"/>
        <w:jc w:val="left"/>
        <w:rPr/>
      </w:pPr>
      <w:r>
        <w:rPr/>
        <w:t>“</w:t>
      </w:r>
      <w:r>
        <w:rPr>
          <w:rFonts w:ascii="Times New Roman" w:hAnsi="Times New Roman"/>
          <w:b/>
          <w:sz w:val="20"/>
        </w:rPr>
        <w:t>Traded Securities</w:t>
      </w:r>
      <w:r>
        <w:rPr>
          <w:rFonts w:ascii="Times New Roman" w:hAnsi="Times New Roman"/>
          <w:sz w:val="20"/>
        </w:rPr>
        <w:t xml:space="preserve">” means any debt or equity securities issued pursuant to a public offering or Rule 144A offering. </w:t>
      </w:r>
    </w:p>
    <w:p>
      <w:pPr>
        <w:pStyle w:val="TextBody"/>
        <w:bidi w:val="0"/>
        <w:spacing w:before="240" w:after="0"/>
        <w:jc w:val="left"/>
        <w:rPr/>
      </w:pPr>
      <w:r>
        <w:rPr/>
        <w:t>“</w:t>
      </w:r>
      <w:r>
        <w:rPr>
          <w:rFonts w:ascii="Times New Roman" w:hAnsi="Times New Roman"/>
          <w:b/>
          <w:sz w:val="20"/>
        </w:rPr>
        <w:t>Transaction Expenses</w:t>
      </w:r>
      <w:r>
        <w:rPr>
          <w:rFonts w:ascii="Times New Roman" w:hAnsi="Times New Roman"/>
          <w:sz w:val="20"/>
        </w:rPr>
        <w:t xml:space="preserve">” means any fees or expenses incurred or paid by the Borrower or any of its Subsidiaries in connection with the Transactions, this Agreement and the other Loan Documents and the transactions contemplated hereby and thereby, including any amortization thereof in any period. </w:t>
      </w:r>
    </w:p>
    <w:p>
      <w:pPr>
        <w:pStyle w:val="TextBody"/>
        <w:bidi w:val="0"/>
        <w:spacing w:before="240" w:after="0"/>
        <w:jc w:val="left"/>
        <w:rPr/>
      </w:pPr>
      <w:r>
        <w:rPr/>
        <w:t>“</w:t>
      </w:r>
      <w:r>
        <w:rPr>
          <w:rFonts w:ascii="Times New Roman" w:hAnsi="Times New Roman"/>
          <w:b/>
          <w:sz w:val="20"/>
        </w:rPr>
        <w:t>Transactions</w:t>
      </w:r>
      <w:r>
        <w:rPr>
          <w:rFonts w:ascii="Times New Roman" w:hAnsi="Times New Roman"/>
          <w:sz w:val="20"/>
        </w:rPr>
        <w:t xml:space="preserve">” means, collectively, (a) the occurrence of the Closing Date under this Agreement, (b) the occurrence of the repurchase of certain warrants, common equity or other equity instruments of Borrower to occur on or about the Closing Date and (c) the payment of the Transaction Expenses. </w:t>
      </w:r>
    </w:p>
    <w:p>
      <w:pPr>
        <w:pStyle w:val="TextBody"/>
        <w:bidi w:val="0"/>
        <w:spacing w:before="240" w:after="0"/>
        <w:jc w:val="left"/>
        <w:rPr/>
      </w:pPr>
      <w:r>
        <w:rPr/>
        <w:t>“</w:t>
      </w:r>
      <w:r>
        <w:rPr>
          <w:rFonts w:ascii="Times New Roman" w:hAnsi="Times New Roman"/>
          <w:b/>
          <w:sz w:val="20"/>
        </w:rPr>
        <w:t>Treasury Equity Interests</w:t>
      </w:r>
      <w:r>
        <w:rPr>
          <w:rFonts w:ascii="Times New Roman" w:hAnsi="Times New Roman"/>
          <w:sz w:val="20"/>
        </w:rPr>
        <w:t xml:space="preserve">” has the meaning specified in the definition of “Permitted Payment.” </w:t>
      </w:r>
    </w:p>
    <w:p>
      <w:pPr>
        <w:pStyle w:val="TextBody"/>
        <w:bidi w:val="0"/>
        <w:spacing w:before="240" w:after="0"/>
        <w:jc w:val="left"/>
        <w:rPr/>
      </w:pPr>
      <w:r>
        <w:rPr/>
        <w:t>“</w:t>
      </w:r>
      <w:r>
        <w:rPr>
          <w:rFonts w:ascii="Times New Roman" w:hAnsi="Times New Roman"/>
          <w:b/>
          <w:sz w:val="20"/>
        </w:rPr>
        <w:t>U.S. Lender</w:t>
      </w:r>
      <w:r>
        <w:rPr>
          <w:rFonts w:ascii="Times New Roman" w:hAnsi="Times New Roman"/>
          <w:sz w:val="20"/>
        </w:rPr>
        <w:t xml:space="preserve">” has the meaning specified in </w:t>
      </w:r>
      <w:r>
        <w:rPr>
          <w:rFonts w:ascii="Times New Roman" w:hAnsi="Times New Roman"/>
          <w:sz w:val="20"/>
          <w:u w:val="single"/>
        </w:rPr>
        <w:t>Section 3.01(e)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U.S. Non-Jones Act Vessel</w:t>
      </w:r>
      <w:r>
        <w:rPr>
          <w:rFonts w:ascii="Times New Roman" w:hAnsi="Times New Roman"/>
          <w:sz w:val="20"/>
        </w:rPr>
        <w:t xml:space="preserve">” means a Vessel that is registered under the laws and flag of the United States of America but is not a Jones Act Vessel. </w:t>
      </w:r>
    </w:p>
    <w:p>
      <w:pPr>
        <w:pStyle w:val="TextBody"/>
        <w:bidi w:val="0"/>
        <w:spacing w:before="240" w:after="0"/>
        <w:jc w:val="left"/>
        <w:rPr/>
      </w:pPr>
      <w:r>
        <w:rPr/>
        <w:t>“</w:t>
      </w:r>
      <w:r>
        <w:rPr>
          <w:rFonts w:ascii="Times New Roman" w:hAnsi="Times New Roman"/>
          <w:b/>
          <w:sz w:val="20"/>
        </w:rPr>
        <w:t>U.S. Tax Compliance Certificate</w:t>
      </w:r>
      <w:r>
        <w:rPr>
          <w:rFonts w:ascii="Times New Roman" w:hAnsi="Times New Roman"/>
          <w:sz w:val="20"/>
        </w:rPr>
        <w:t xml:space="preserve">” has the meaning specified in </w:t>
      </w:r>
      <w:r>
        <w:rPr>
          <w:rFonts w:ascii="Times New Roman" w:hAnsi="Times New Roman"/>
          <w:sz w:val="20"/>
          <w:u w:val="single"/>
        </w:rPr>
        <w:t>Section 3.01(b)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b/>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Undisclosed Administration</w:t>
      </w:r>
      <w:r>
        <w:rPr>
          <w:rFonts w:ascii="Times New Roman" w:hAnsi="Times New Roman"/>
          <w:sz w:val="20"/>
        </w:rPr>
        <w:t xml:space="preserve">” means, in relation to a Lender or its direct or indirect parent entity, the appointment of an administrator, provisional liquidator, conservator, receiver, trustee, custodian, or other similar official by a supervisory authority or regulator under or based on the law in the country where such Lender or such parent entity is subject to home jurisdiction supervision, if applicable law requires that such appointment not be disclosed. </w:t>
      </w:r>
    </w:p>
    <w:p>
      <w:pPr>
        <w:pStyle w:val="TextBody"/>
        <w:bidi w:val="0"/>
        <w:spacing w:before="240" w:after="0"/>
        <w:jc w:val="left"/>
        <w:rPr/>
      </w:pPr>
      <w:r>
        <w:rPr/>
        <w:t>“</w:t>
      </w:r>
      <w:r>
        <w:rPr>
          <w:rFonts w:ascii="Times New Roman" w:hAnsi="Times New Roman"/>
          <w:b/>
          <w:sz w:val="20"/>
        </w:rPr>
        <w:t>Unfunded Advances</w:t>
      </w:r>
      <w:r>
        <w:rPr>
          <w:rFonts w:ascii="Times New Roman" w:hAnsi="Times New Roman"/>
          <w:sz w:val="20"/>
        </w:rPr>
        <w:t xml:space="preserve">” means with respect to the Administrative Agent, the aggregate amount, if any, made available to the Borrower on the assumption that each Lender has made available to the Administrative Agent such Lender’s share of the Loans available to the Administrative Agent as contemplated by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Uniform Commercial Code</w:t>
      </w:r>
      <w:r>
        <w:rPr>
          <w:rFonts w:ascii="Times New Roman" w:hAnsi="Times New Roman"/>
          <w:sz w:val="20"/>
        </w:rPr>
        <w:t xml:space="preserve">”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 </w:t>
      </w:r>
    </w:p>
    <w:p>
      <w:pPr>
        <w:pStyle w:val="TextBody"/>
        <w:bidi w:val="0"/>
        <w:spacing w:before="240" w:after="0"/>
        <w:jc w:val="left"/>
        <w:rPr/>
      </w:pPr>
      <w:r>
        <w:rPr/>
        <w:t>“</w:t>
      </w:r>
      <w:r>
        <w:rPr>
          <w:rFonts w:ascii="Times New Roman" w:hAnsi="Times New Roman"/>
          <w:b/>
          <w:sz w:val="20"/>
        </w:rPr>
        <w:t>United States</w:t>
      </w:r>
      <w:r>
        <w:rPr>
          <w:rFonts w:ascii="Times New Roman" w:hAnsi="Times New Roman"/>
          <w:sz w:val="20"/>
        </w:rPr>
        <w:t>” and “</w:t>
      </w:r>
      <w:r>
        <w:rPr>
          <w:rFonts w:ascii="Times New Roman" w:hAnsi="Times New Roman"/>
          <w:b/>
          <w:sz w:val="20"/>
        </w:rPr>
        <w:t>U.S.</w:t>
      </w:r>
      <w:r>
        <w:rPr>
          <w:rFonts w:ascii="Times New Roman" w:hAnsi="Times New Roman"/>
          <w:sz w:val="20"/>
        </w:rPr>
        <w:t xml:space="preserve">” mean the United States of America. </w:t>
      </w:r>
    </w:p>
    <w:p>
      <w:pPr>
        <w:pStyle w:val="TextBody"/>
        <w:bidi w:val="0"/>
        <w:spacing w:before="240" w:after="0"/>
        <w:jc w:val="left"/>
        <w:rPr/>
      </w:pPr>
      <w:r>
        <w:rPr/>
        <w:t>“</w:t>
      </w:r>
      <w:r>
        <w:rPr>
          <w:rFonts w:ascii="Times New Roman" w:hAnsi="Times New Roman"/>
          <w:b/>
          <w:sz w:val="20"/>
        </w:rPr>
        <w:t>Unrestricted Lender</w:t>
      </w:r>
      <w:r>
        <w:rPr>
          <w:rFonts w:ascii="Times New Roman" w:hAnsi="Times New Roman"/>
          <w:sz w:val="20"/>
        </w:rPr>
        <w:t xml:space="preserve">” means any Regulated Entity, Stonebriar Commercial Finance LLC or any of their respective Affiliates (other than, for the avoidance of doubt, any participants of any such Persons unless such participants constitute an Unrestricted Lender). </w:t>
      </w:r>
    </w:p>
    <w:p>
      <w:pPr>
        <w:pStyle w:val="TextBody"/>
        <w:bidi w:val="0"/>
        <w:spacing w:before="240" w:after="0"/>
        <w:jc w:val="left"/>
        <w:rPr/>
      </w:pPr>
      <w:r>
        <w:rPr/>
        <w:t>“</w:t>
      </w:r>
      <w:r>
        <w:rPr>
          <w:rFonts w:ascii="Times New Roman" w:hAnsi="Times New Roman"/>
          <w:b/>
          <w:sz w:val="20"/>
        </w:rPr>
        <w:t>Unrestricted Subsidiary</w:t>
      </w:r>
      <w:r>
        <w:rPr>
          <w:rFonts w:ascii="Times New Roman" w:hAnsi="Times New Roman"/>
          <w:sz w:val="20"/>
        </w:rPr>
        <w:t xml:space="preserve">” means (a) [reserved] and (b) any Subsidiary of the Borrower designated by the Board of Directors of the Borrower as an Unrestricted Subsidiary pursuant to </w:t>
      </w:r>
      <w:r>
        <w:rPr>
          <w:rFonts w:ascii="Times New Roman" w:hAnsi="Times New Roman"/>
          <w:sz w:val="20"/>
          <w:u w:val="single"/>
        </w:rPr>
        <w:t>Section 6.13</w:t>
      </w:r>
      <w:r>
        <w:rPr>
          <w:rFonts w:ascii="Times New Roman" w:hAnsi="Times New Roman"/>
          <w:sz w:val="20"/>
        </w:rPr>
        <w:t xml:space="preserve"> subsequent to the date hereof, in each case, until such Person ceases to be an Unrestricted Subsidiary of the Borrower in accordance with </w:t>
      </w:r>
      <w:r>
        <w:rPr>
          <w:rFonts w:ascii="Times New Roman" w:hAnsi="Times New Roman"/>
          <w:sz w:val="20"/>
          <w:u w:val="single"/>
        </w:rPr>
        <w:t>Section 6.13</w:t>
      </w:r>
      <w:r>
        <w:rPr>
          <w:rFonts w:ascii="Times New Roman" w:hAnsi="Times New Roman"/>
          <w:sz w:val="20"/>
        </w:rPr>
        <w:t xml:space="preserve"> or ceases to be a Subsidiary of the Borrower. </w:t>
      </w:r>
    </w:p>
    <w:p>
      <w:pPr>
        <w:pStyle w:val="TextBody"/>
        <w:bidi w:val="0"/>
        <w:spacing w:before="240" w:after="0"/>
        <w:jc w:val="left"/>
        <w:rPr/>
      </w:pPr>
      <w:r>
        <w:rPr/>
        <w:t>“</w:t>
      </w:r>
      <w:r>
        <w:rPr>
          <w:rFonts w:ascii="Times New Roman" w:hAnsi="Times New Roman"/>
          <w:b/>
          <w:sz w:val="20"/>
        </w:rPr>
        <w:t>USA PATRIOT Act</w:t>
      </w:r>
      <w:r>
        <w:rPr>
          <w:rFonts w:ascii="Times New Roman" w:hAnsi="Times New Roman"/>
          <w:sz w:val="20"/>
        </w:rPr>
        <w:t xml:space="preserve">” means The Uniting and Strengthening America by Providing Appropriate Tools Required to Intercept and Obstruct Terrorism Act of 2001 (Title III of Public Law No. 107-56 (signed into law October 26, 2001)), as amended or modified from time to time. </w:t>
      </w:r>
    </w:p>
    <w:p>
      <w:pPr>
        <w:pStyle w:val="TextBody"/>
        <w:bidi w:val="0"/>
        <w:spacing w:before="240" w:after="0"/>
        <w:jc w:val="left"/>
        <w:rPr/>
      </w:pPr>
      <w:r>
        <w:rPr/>
        <w:t>“</w:t>
      </w:r>
      <w:r>
        <w:rPr>
          <w:rFonts w:ascii="Times New Roman" w:hAnsi="Times New Roman"/>
          <w:b/>
          <w:sz w:val="20"/>
        </w:rPr>
        <w:t>Vessel Collateral</w:t>
      </w:r>
      <w:r>
        <w:rPr>
          <w:rFonts w:ascii="Times New Roman" w:hAnsi="Times New Roman"/>
          <w:sz w:val="20"/>
        </w:rPr>
        <w:t xml:space="preserve">” means, collectively, each of the Vessels set forth on </w:t>
      </w:r>
      <w:r>
        <w:rPr>
          <w:rFonts w:ascii="Times New Roman" w:hAnsi="Times New Roman"/>
          <w:sz w:val="20"/>
          <w:u w:val="single"/>
        </w:rPr>
        <w:t>Schedule 5.15</w:t>
      </w:r>
      <w:r>
        <w:rPr>
          <w:rFonts w:ascii="Times New Roman" w:hAnsi="Times New Roman"/>
          <w:sz w:val="20"/>
        </w:rPr>
        <w:t xml:space="preserve">, any Vessel subject to a Vessel Mortgage pursuant to </w:t>
      </w:r>
      <w:r>
        <w:rPr>
          <w:rFonts w:ascii="Times New Roman" w:hAnsi="Times New Roman"/>
          <w:sz w:val="20"/>
          <w:u w:val="single"/>
        </w:rPr>
        <w:t>Section 6.11(d)(i)</w:t>
      </w:r>
      <w:r>
        <w:rPr>
          <w:rFonts w:ascii="Times New Roman" w:hAnsi="Times New Roman"/>
          <w:sz w:val="20"/>
        </w:rPr>
        <w:t xml:space="preserve">, and any other Vessel over which a Loan Party has, by its sole election, granted a Vessel Mortgage, in each case, until such Vessel is released from Vessel Collateral in accordance with the terms hereof; </w:t>
      </w:r>
      <w:r>
        <w:rPr>
          <w:rFonts w:ascii="Times New Roman" w:hAnsi="Times New Roman"/>
          <w:i/>
          <w:sz w:val="20"/>
        </w:rPr>
        <w:t>provided</w:t>
      </w:r>
      <w:r>
        <w:rPr>
          <w:rFonts w:ascii="Times New Roman" w:hAnsi="Times New Roman"/>
          <w:sz w:val="20"/>
        </w:rPr>
        <w:t xml:space="preserve">, that, for the avoidance of doubt, the Borrower shall not be restricted in its ability, at its sole election, to designate any Vessel Collateral as Stacked Vessels following the Closing Date. </w:t>
      </w:r>
    </w:p>
    <w:p>
      <w:pPr>
        <w:pStyle w:val="TextBody"/>
        <w:bidi w:val="0"/>
        <w:spacing w:before="240" w:after="0"/>
        <w:jc w:val="left"/>
        <w:rPr/>
      </w:pPr>
      <w:r>
        <w:rPr/>
        <w:t>“</w:t>
      </w:r>
      <w:r>
        <w:rPr>
          <w:rFonts w:ascii="Times New Roman" w:hAnsi="Times New Roman"/>
          <w:b/>
          <w:sz w:val="20"/>
        </w:rPr>
        <w:t>Vessel Collateral Value Amount</w:t>
      </w:r>
      <w:r>
        <w:rPr>
          <w:rFonts w:ascii="Times New Roman" w:hAnsi="Times New Roman"/>
          <w:sz w:val="20"/>
        </w:rPr>
        <w:t xml:space="preserve">” means the fair market value of each Vessel constituting Collateral (calculated in the aggregate), as determined by (a) VesselsValueTM (or any successor thereof) or (b) at the Borrower’s sole election, a Specified Qualified Appraiser; </w:t>
      </w:r>
      <w:r>
        <w:rPr>
          <w:rFonts w:ascii="Times New Roman" w:hAnsi="Times New Roman"/>
          <w:i/>
          <w:sz w:val="20"/>
        </w:rPr>
        <w:t>provided</w:t>
      </w:r>
      <w:r>
        <w:rPr>
          <w:rFonts w:ascii="Times New Roman" w:hAnsi="Times New Roman"/>
          <w:sz w:val="20"/>
        </w:rPr>
        <w:t xml:space="preserve"> that, (i) if VesselsValueTM ceases to exist, (ii) if access to such information originating from VesselsValueTM becomes (x) commercially unavailable or impractical to obtain or (y) otherwise materially more costly to obtain, then the Borrower shall (or, with respect to </w:t>
      </w:r>
      <w:r>
        <w:rPr>
          <w:rFonts w:ascii="Times New Roman" w:hAnsi="Times New Roman"/>
          <w:sz w:val="20"/>
          <w:u w:val="single"/>
        </w:rPr>
        <w:t>clause (ii)(y)</w:t>
      </w:r>
      <w:r>
        <w:rPr>
          <w:rFonts w:ascii="Times New Roman" w:hAnsi="Times New Roman"/>
          <w:sz w:val="20"/>
        </w:rPr>
        <w:t xml:space="preserve">, may at its sole election) select a Specified Qualified Appraiser or another appraiser that is reasonably acceptable to the Administrative Agent to determine the Vessel Collateral Value Amount in place of VesselsValueTM.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Vessel Mortgage</w:t>
      </w:r>
      <w:r>
        <w:rPr>
          <w:rFonts w:ascii="Times New Roman" w:hAnsi="Times New Roman"/>
          <w:sz w:val="20"/>
        </w:rPr>
        <w:t xml:space="preserve">” means an amended and restated first preferred single vessel mortgage or fleet mortgage, as applicable, in substantially the form of </w:t>
      </w:r>
      <w:r>
        <w:rPr>
          <w:rFonts w:ascii="Times New Roman" w:hAnsi="Times New Roman"/>
          <w:sz w:val="20"/>
          <w:u w:val="single"/>
        </w:rPr>
        <w:t>Exhibit M</w:t>
      </w:r>
      <w:r>
        <w:rPr>
          <w:rFonts w:ascii="Times New Roman" w:hAnsi="Times New Roman"/>
          <w:sz w:val="20"/>
        </w:rPr>
        <w:t xml:space="preserve">, as the same may be amended, modified or supplemented from time to time. </w:t>
      </w:r>
    </w:p>
    <w:p>
      <w:pPr>
        <w:pStyle w:val="TextBody"/>
        <w:bidi w:val="0"/>
        <w:spacing w:before="240" w:after="0"/>
        <w:jc w:val="left"/>
        <w:rPr/>
      </w:pPr>
      <w:r>
        <w:rPr/>
        <w:t>“</w:t>
      </w:r>
      <w:r>
        <w:rPr>
          <w:rFonts w:ascii="Times New Roman" w:hAnsi="Times New Roman"/>
          <w:b/>
          <w:sz w:val="20"/>
        </w:rPr>
        <w:t>Vessel Substitution</w:t>
      </w:r>
      <w:r>
        <w:rPr>
          <w:rFonts w:ascii="Times New Roman" w:hAnsi="Times New Roman"/>
          <w:sz w:val="20"/>
        </w:rPr>
        <w:t xml:space="preserve">” has the meaning specified in </w:t>
      </w:r>
      <w:r>
        <w:rPr>
          <w:rFonts w:ascii="Times New Roman" w:hAnsi="Times New Roman"/>
          <w:sz w:val="20"/>
          <w:u w:val="single"/>
        </w:rPr>
        <w:t>Section 2.03(f)(i)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Vessels</w:t>
      </w:r>
      <w:r>
        <w:rPr>
          <w:rFonts w:ascii="Times New Roman" w:hAnsi="Times New Roman"/>
          <w:sz w:val="20"/>
        </w:rPr>
        <w:t>” means marine vessels (other than recreational vessels), and “</w:t>
      </w:r>
      <w:r>
        <w:rPr>
          <w:rFonts w:ascii="Times New Roman" w:hAnsi="Times New Roman"/>
          <w:b/>
          <w:sz w:val="20"/>
        </w:rPr>
        <w:t>Vessel</w:t>
      </w:r>
      <w:r>
        <w:rPr>
          <w:rFonts w:ascii="Times New Roman" w:hAnsi="Times New Roman"/>
          <w:sz w:val="20"/>
        </w:rPr>
        <w:t xml:space="preserve">” shall mean any of such Vessels.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of a Person means all classes of Equity Interests of such Person then outstanding and normally entitled to vote in the election of directors. </w:t>
      </w:r>
    </w:p>
    <w:p>
      <w:pPr>
        <w:pStyle w:val="TextBody"/>
        <w:bidi w:val="0"/>
        <w:spacing w:before="240" w:after="0"/>
        <w:jc w:val="left"/>
        <w:rPr/>
      </w:pPr>
      <w:r>
        <w:rPr/>
        <w:t>“</w:t>
      </w:r>
      <w:r>
        <w:rPr>
          <w:rFonts w:ascii="Times New Roman" w:hAnsi="Times New Roman"/>
          <w:b/>
          <w:sz w:val="20"/>
        </w:rPr>
        <w:t>Weighted Average Life to Maturity</w:t>
      </w:r>
      <w:r>
        <w:rPr>
          <w:rFonts w:ascii="Times New Roman" w:hAnsi="Times New Roman"/>
          <w:sz w:val="20"/>
        </w:rPr>
        <w:t xml:space="preserve">” means, when applied to any Indebtedness at any date, the quotient (in number of years) obtained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(a) the sum of the products obtained by multiplying (i) the number of years (calculated to the nearest one-twelfth) from the date of determination to the date of each successive scheduled principal payment of such Indebtedness or redemption or similar payment with respect to such Disqualified Equity Interests or Preferred Stock, by (ii) the amount of such payment, by </w:t>
      </w:r>
    </w:p>
    <w:p>
      <w:pPr>
        <w:pStyle w:val="TextBody"/>
        <w:bidi w:val="0"/>
        <w:spacing w:before="120" w:after="0"/>
        <w:jc w:val="left"/>
        <w:rPr>
          <w:rFonts w:ascii="Times New Roman" w:hAnsi="Times New Roman"/>
          <w:sz w:val="20"/>
        </w:rPr>
      </w:pPr>
      <w:r>
        <w:rPr>
          <w:rFonts w:ascii="Times New Roman" w:hAnsi="Times New Roman"/>
          <w:sz w:val="20"/>
        </w:rPr>
        <w:t xml:space="preserve">(b) the sum of all such payments;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for purposes of determining the Weighted Average Life to Maturity of any Indebtedness, the effects of any prepayments or amortization made on such Indebtedness prior to the date of such determination will be disregarded; </w:t>
      </w:r>
      <w:r>
        <w:rPr>
          <w:rFonts w:ascii="Times New Roman" w:hAnsi="Times New Roman"/>
          <w:i/>
          <w:sz w:val="20"/>
        </w:rPr>
        <w:t xml:space="preserve">provided further </w:t>
      </w:r>
      <w:r>
        <w:rPr>
          <w:rFonts w:ascii="Times New Roman" w:hAnsi="Times New Roman"/>
          <w:sz w:val="20"/>
        </w:rPr>
        <w:t>that for purposes of determining the Weighted Average Life to Maturity of (i) any Refinanced Debt or (ii) any Indebtedness that is being modified, refinanced, refunded, renewed, replaced or extended (in any such case, the “</w:t>
      </w:r>
      <w:r>
        <w:rPr>
          <w:rFonts w:ascii="Times New Roman" w:hAnsi="Times New Roman"/>
          <w:b/>
          <w:sz w:val="20"/>
        </w:rPr>
        <w:t>Applicable Indebtedness</w:t>
      </w:r>
      <w:r>
        <w:rPr>
          <w:rFonts w:ascii="Times New Roman" w:hAnsi="Times New Roman"/>
          <w:sz w:val="20"/>
        </w:rPr>
        <w:t xml:space="preserve">”),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 </w:t>
      </w:r>
    </w:p>
    <w:p>
      <w:pPr>
        <w:pStyle w:val="TextBody"/>
        <w:bidi w:val="0"/>
        <w:spacing w:before="240" w:after="0"/>
        <w:jc w:val="left"/>
        <w:rPr/>
      </w:pPr>
      <w:r>
        <w:rPr/>
        <w:t>“</w:t>
      </w:r>
      <w:r>
        <w:rPr>
          <w:rFonts w:ascii="Times New Roman" w:hAnsi="Times New Roman"/>
          <w:b/>
          <w:sz w:val="20"/>
        </w:rPr>
        <w:t>wholly-owned</w:t>
      </w:r>
      <w:r>
        <w:rPr>
          <w:rFonts w:ascii="Times New Roman" w:hAnsi="Times New Roman"/>
          <w:sz w:val="20"/>
        </w:rPr>
        <w:t xml:space="preserve">” means, with respect to a Subsidiary of a Person, a Subsidiary of such Person all of the outstanding Equity Interests of which (other than (a) director’s qualifying shares and (b) nominal shares issued to foreign nationals to the extent required by applicable Law) are owned by such Person and/or by one or more wholly-owned Subsidiaries of such Person. </w:t>
      </w:r>
    </w:p>
    <w:p>
      <w:pPr>
        <w:pStyle w:val="TextBody"/>
        <w:bidi w:val="0"/>
        <w:spacing w:before="240" w:after="0"/>
        <w:jc w:val="left"/>
        <w:rPr/>
      </w:pPr>
      <w:r>
        <w:rPr/>
        <w:t>“</w:t>
      </w:r>
      <w:r>
        <w:rPr>
          <w:rFonts w:ascii="Times New Roman" w:hAnsi="Times New Roman"/>
          <w:b/>
          <w:sz w:val="20"/>
        </w:rPr>
        <w:t>Withdrawal Liability</w:t>
      </w:r>
      <w:r>
        <w:rPr>
          <w:rFonts w:ascii="Times New Roman" w:hAnsi="Times New Roman"/>
          <w:sz w:val="20"/>
        </w:rPr>
        <w:t xml:space="preserve">” means the liability to a Multiemployer Plan as a result of a complete or partial withdrawal from such Multiemployer Plan, as such term is defined in Part I of Subtitle E of Title IV of ERISA. </w:t>
      </w:r>
    </w:p>
    <w:p>
      <w:pPr>
        <w:pStyle w:val="TextBody"/>
        <w:bidi w:val="0"/>
        <w:spacing w:before="240" w:after="0"/>
        <w:jc w:val="left"/>
        <w:rPr/>
      </w:pPr>
      <w:r>
        <w:rPr/>
        <w:t>“</w:t>
      </w:r>
      <w:r>
        <w:rPr>
          <w:rFonts w:ascii="Times New Roman" w:hAnsi="Times New Roman"/>
          <w:b/>
          <w:sz w:val="20"/>
        </w:rPr>
        <w:t>Withholding Agent</w:t>
      </w:r>
      <w:r>
        <w:rPr>
          <w:rFonts w:ascii="Times New Roman" w:hAnsi="Times New Roman"/>
          <w:sz w:val="20"/>
        </w:rPr>
        <w:t xml:space="preserve">” means the Borrower, any Guarantor or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b/>
          <w:sz w:val="20"/>
          <w:u w:val="single"/>
        </w:rPr>
        <w:t>Other Interpretive Provisions</w:t>
      </w:r>
      <w:r>
        <w:rPr>
          <w:rFonts w:ascii="Times New Roman" w:hAnsi="Times New Roman"/>
          <w:sz w:val="20"/>
        </w:rPr>
        <w:t xml:space="preserve">. With reference to this Agreement and each other Loan Document, unless otherwise specified herein or in such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(a) The meanings of defined terms are equally applicable to the singular and plural forms of the defined terms. </w:t>
      </w:r>
    </w:p>
    <w:p>
      <w:pPr>
        <w:pStyle w:val="TextBody"/>
        <w:bidi w:val="0"/>
        <w:spacing w:before="120" w:after="0"/>
        <w:jc w:val="left"/>
        <w:rPr>
          <w:rFonts w:ascii="Times New Roman" w:hAnsi="Times New Roman"/>
          <w:sz w:val="20"/>
        </w:rPr>
      </w:pPr>
      <w:r>
        <w:rPr>
          <w:rFonts w:ascii="Times New Roman" w:hAnsi="Times New Roman"/>
          <w:sz w:val="20"/>
        </w:rPr>
        <w:t xml:space="preserve">(b) (i) The words “herein,” “hereto,” “hereof” and “hereunder” and words of similar import when used in any Loan Document shall refer to such Loan Document as a whole and not to any particular provision thereof; (ii) 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 (iii) the term “including” is by way of example and not limitation; (iv) the term “documents” includes any and all instruments, documents, agreements, certificates, notices, reports, financial statements and other writings, however evidenced, whether in physical or electronic form; (v) the term “continuing” means, with respect to a Default or Event of Default, that it has not been cured or waived; and (vi) in the computation of periods of time from a specified date to a later specified date, the word “from” means “from and including;” the words “to” and “until” each mean “to but excluding;” and the word “through” means “to and including.” </w:t>
      </w:r>
    </w:p>
    <w:p>
      <w:pPr>
        <w:pStyle w:val="TextBody"/>
        <w:bidi w:val="0"/>
        <w:spacing w:before="120" w:after="0"/>
        <w:jc w:val="left"/>
        <w:rPr>
          <w:rFonts w:ascii="Times New Roman" w:hAnsi="Times New Roman"/>
          <w:sz w:val="20"/>
        </w:rPr>
      </w:pPr>
      <w:r>
        <w:rPr>
          <w:rFonts w:ascii="Times New Roman" w:hAnsi="Times New Roman"/>
          <w:sz w:val="20"/>
        </w:rPr>
        <w:t xml:space="preserve">(c) Section headings herein and in the other Loan Documents are included for convenience of reference only and shall not affect the interpretation of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(d) For all purposes under the Loan Documents, in connection with any division or plan of division under Delaware law (or any comparable event under a different jurisdiction’s laws) (a “</w:t>
      </w:r>
      <w:r>
        <w:rPr>
          <w:rFonts w:ascii="Times New Roman" w:hAnsi="Times New Roman"/>
          <w:b/>
          <w:sz w:val="20"/>
        </w:rPr>
        <w:t>Division</w:t>
      </w:r>
      <w:r>
        <w:rPr>
          <w:rFonts w:ascii="Times New Roman" w:hAnsi="Times New Roman"/>
          <w:sz w:val="20"/>
        </w:rPr>
        <w:t xml:space="preserve">”),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w:t>
      </w:r>
      <w:r>
        <w:rPr>
          <w:rFonts w:ascii="Times New Roman" w:hAnsi="Times New Roman"/>
          <w:sz w:val="20"/>
        </w:rPr>
        <w:t xml:space="preserve"> </w:t>
      </w:r>
      <w:r>
        <w:rPr>
          <w:rFonts w:ascii="Times New Roman" w:hAnsi="Times New Roman"/>
          <w:b/>
          <w:sz w:val="20"/>
          <w:u w:val="single"/>
        </w:rPr>
        <w:t>Accounting and Finance Terms; Accounting Periods; Unrestricted Subsidiaries</w:t>
      </w:r>
      <w:r>
        <w:rPr>
          <w:rFonts w:ascii="Times New Roman" w:hAnsi="Times New Roman"/>
          <w:sz w:val="20"/>
        </w:rPr>
        <w:t xml:space="preserve">. All accounting terms, financial terms or components of such terms not specifically or completely defined herein shall be construed in conformity with GAAP to the extent GAAP defines such term or a component of such term. To the extent GAAP does not define such term or a component of such term, such term shall be calculated by the Borrower in good faith. For purposes of calculating any consolidated amounts necessary to determine compliance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and, if applicable, its Restricted Subsidiaries with any ratio or other financial covenant in this Agreement, Unrestricted Subsidiaries shall be excluded. Unless the context indicates otherwise, any reference to a “fiscal year” shall refer to a fiscal year of the Borrower ending December 31, and any reference to a “fiscal quarter” shall refer to a fiscal quarter of the Borrower ending March 31, June 30, September 30 or December 31.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1.04</w:t>
      </w:r>
      <w:r>
        <w:rPr>
          <w:rFonts w:ascii="Times New Roman" w:hAnsi="Times New Roman"/>
          <w:sz w:val="20"/>
        </w:rPr>
        <w:t xml:space="preserve"> </w:t>
      </w:r>
      <w:r>
        <w:rPr>
          <w:rFonts w:ascii="Times New Roman" w:hAnsi="Times New Roman"/>
          <w:b/>
          <w:sz w:val="20"/>
          <w:u w:val="single"/>
        </w:rPr>
        <w:t>Rounding</w:t>
      </w:r>
      <w:r>
        <w:rPr>
          <w:rFonts w:ascii="Times New Roman" w:hAnsi="Times New Roman"/>
          <w:sz w:val="20"/>
        </w:rPr>
        <w:t>. Any financial ratios required to be satisfied in order for a specific action to be permitted under this Agreement or any other Loan Document shall be calculated by dividing the appropriate component by the other component, carrying the result to one decimal place more than the number of decimal places by which such ratio is expressed herein (the “</w:t>
      </w:r>
      <w:r>
        <w:rPr>
          <w:rFonts w:ascii="Times New Roman" w:hAnsi="Times New Roman"/>
          <w:b/>
          <w:sz w:val="20"/>
        </w:rPr>
        <w:t>applicable decimal place</w:t>
      </w:r>
      <w:r>
        <w:rPr>
          <w:rFonts w:ascii="Times New Roman" w:hAnsi="Times New Roman"/>
          <w:sz w:val="20"/>
        </w:rPr>
        <w:t xml:space="preserve">”) and rounding the result up or down to the applicable decimal place.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1.05</w:t>
      </w:r>
      <w:r>
        <w:rPr>
          <w:rFonts w:ascii="Times New Roman" w:hAnsi="Times New Roman"/>
          <w:sz w:val="20"/>
        </w:rPr>
        <w:t xml:space="preserve"> </w:t>
      </w:r>
      <w:r>
        <w:rPr>
          <w:rFonts w:ascii="Times New Roman" w:hAnsi="Times New Roman"/>
          <w:b/>
          <w:sz w:val="20"/>
          <w:u w:val="single"/>
        </w:rPr>
        <w:t>References to Agreements, Laws, Etc.</w:t>
      </w:r>
      <w:r>
        <w:rPr>
          <w:rFonts w:ascii="Times New Roman" w:hAnsi="Times New Roman"/>
          <w:sz w:val="20"/>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1.06</w:t>
      </w:r>
      <w:r>
        <w:rPr>
          <w:rFonts w:ascii="Times New Roman" w:hAnsi="Times New Roman"/>
          <w:sz w:val="20"/>
        </w:rPr>
        <w:t xml:space="preserve"> </w:t>
      </w:r>
      <w:r>
        <w:rPr>
          <w:rFonts w:ascii="Times New Roman" w:hAnsi="Times New Roman"/>
          <w:b/>
          <w:sz w:val="20"/>
          <w:u w:val="single"/>
        </w:rPr>
        <w:t>Times of Day</w:t>
      </w:r>
      <w:r>
        <w:rPr>
          <w:rFonts w:ascii="Times New Roman" w:hAnsi="Times New Roman"/>
          <w:sz w:val="20"/>
        </w:rPr>
        <w:t xml:space="preserve">. Unless otherwise specified, all references herein to times of day shall be references to New York City time (daylight or standard, as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1.07</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1.08</w:t>
      </w:r>
      <w:r>
        <w:rPr>
          <w:rFonts w:ascii="Times New Roman" w:hAnsi="Times New Roman"/>
          <w:sz w:val="20"/>
        </w:rPr>
        <w:t xml:space="preserve"> </w:t>
      </w:r>
      <w:r>
        <w:rPr>
          <w:rFonts w:ascii="Times New Roman" w:hAnsi="Times New Roman"/>
          <w:b/>
          <w:sz w:val="20"/>
          <w:u w:val="single"/>
        </w:rPr>
        <w:t>Pro Forma Calculations; Limited Condition Transactions; Basket and Ratio Compliance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herein, the Total Net Leverage Ratio and the Fixed Charge Coverage Ratio shall be calculated in the manner prescribed by this </w:t>
      </w:r>
      <w:r>
        <w:rPr>
          <w:rFonts w:ascii="Times New Roman" w:hAnsi="Times New Roman"/>
          <w:sz w:val="20"/>
          <w:u w:val="single"/>
        </w:rPr>
        <w:t>Section 1.08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For purposes of calculating the Total Net Leverage Ratio and the Fixed Charge Coverage Ratio, in addition to the adjustments provided for in the definition of “Consolidated Adjusted EBITDA” and “Fixed Charge Coverage Ratio” (including any QSC and Stacking Adjustment), (i) any transaction or series of related transactions that results in a Person becoming a Restricted Subsidiary, (ii) any designation of a Subsidiary as a Restricted Subsidiary or an Unrestricted Subsidiary, (iii) any transaction or series of related transactions that results in a Restricted Subsidiary ceasing to be a Subsidiary of the Borrower, (iv) any acquisition or disposition of any assets constituting a business unit, line of business or division of another Person or a facility or an acquisition or disposition of any Vessel, (v) any incurrence or repayment of Indebtedness and (vi) any payment or Investment permitted by </w:t>
      </w:r>
      <w:r>
        <w:rPr>
          <w:rFonts w:ascii="Times New Roman" w:hAnsi="Times New Roman"/>
          <w:sz w:val="20"/>
          <w:u w:val="single"/>
        </w:rPr>
        <w:t>Section 7.06</w:t>
      </w:r>
      <w:r>
        <w:rPr>
          <w:rFonts w:ascii="Times New Roman" w:hAnsi="Times New Roman"/>
          <w:sz w:val="20"/>
        </w:rPr>
        <w:t xml:space="preserve"> that have been made or occurred (i) during the applicable Test Period or (ii) (other than for purposes of calculating the Financial Covenants pursuant to </w:t>
      </w:r>
      <w:r>
        <w:rPr>
          <w:rFonts w:ascii="Times New Roman" w:hAnsi="Times New Roman"/>
          <w:sz w:val="20"/>
          <w:u w:val="single"/>
        </w:rPr>
        <w:t>Section 8.01</w:t>
      </w:r>
      <w:r>
        <w:rPr>
          <w:rFonts w:ascii="Times New Roman" w:hAnsi="Times New Roman"/>
          <w:sz w:val="20"/>
        </w:rPr>
        <w:t xml:space="preserve">), subsequent to such Test Period and prior to or simultaneously with the event for which the calculation of any such ratio is made shall be calculated on a </w:t>
      </w:r>
      <w:r>
        <w:rPr>
          <w:rFonts w:ascii="Times New Roman" w:hAnsi="Times New Roman"/>
          <w:i/>
          <w:sz w:val="20"/>
        </w:rPr>
        <w:t xml:space="preserve">pro forma </w:t>
      </w:r>
      <w:r>
        <w:rPr>
          <w:rFonts w:ascii="Times New Roman" w:hAnsi="Times New Roman"/>
          <w:sz w:val="20"/>
        </w:rPr>
        <w:t xml:space="preserve">basis assuming that all such transactions (and any increase or decrease in Consolidated Adjusted EBITDA and the component financial definitions used therein attributable to any such transaction) had occurred on the first day of the applicable Test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that the Borrower or any Restricted Subsidiary incurs (including by assumption or guarantees) or repays (including by redemption, repayment, retirement or extinguishment) any Indebtedness included in the calculations of the Fixed Charge Coverage Ratio and the Total Net Leverage Ratio, as the case may be (in each case, other than, except for purposes of </w:t>
      </w:r>
      <w:r>
        <w:rPr>
          <w:rFonts w:ascii="Times New Roman" w:hAnsi="Times New Roman"/>
          <w:sz w:val="20"/>
          <w:u w:val="single"/>
        </w:rPr>
        <w:t>Article VIII</w:t>
      </w:r>
      <w:r>
        <w:rPr>
          <w:rFonts w:ascii="Times New Roman" w:hAnsi="Times New Roman"/>
          <w:sz w:val="20"/>
        </w:rPr>
        <w:t xml:space="preserve">), (i) during the applicable Test Period or (ii) subsequent to the end of the applicable Test Period and prior to or simultaneously with the event for which the calculation of any such ratio is made, then the Fixed Charge Coverage Ratio and the Total Net Leverage Ratio shall be calculated giving </w:t>
      </w:r>
      <w:r>
        <w:rPr>
          <w:rFonts w:ascii="Times New Roman" w:hAnsi="Times New Roman"/>
          <w:i/>
          <w:sz w:val="20"/>
        </w:rPr>
        <w:t xml:space="preserve">pro forma </w:t>
      </w:r>
      <w:r>
        <w:rPr>
          <w:rFonts w:ascii="Times New Roman" w:hAnsi="Times New Roman"/>
          <w:sz w:val="20"/>
        </w:rPr>
        <w:t xml:space="preserve">effect to such incurrence or repayment of Indebtedness, to the extent required, as if the same had occurred on the last day of the applicable Test Period with respect to leverage ratios or the first day of such Test Period with respect to the Fixed Charge Coverage Ratio.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in this Agreement or any classification under GAAP of any Person, business, assets or operations in respect of which a definitive agreement for the disposition thereof has been entered into as discontinued operations, no </w:t>
      </w:r>
      <w:r>
        <w:rPr>
          <w:rFonts w:ascii="Times New Roman" w:hAnsi="Times New Roman"/>
          <w:i/>
          <w:sz w:val="20"/>
        </w:rPr>
        <w:t xml:space="preserve">pro forma </w:t>
      </w:r>
      <w:r>
        <w:rPr>
          <w:rFonts w:ascii="Times New Roman" w:hAnsi="Times New Roman"/>
          <w:sz w:val="20"/>
        </w:rPr>
        <w:t xml:space="preserve">effect shall be given to any discontinued operations (and the Consolidated Adjusted EBITDA attributable to any such Person, business, assets or operations shall not be excluded for any purposes hereunder) until such disposition shall have been consummated.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in this Agreement or any Loan Document to the contrary, </w:t>
      </w:r>
    </w:p>
    <w:p>
      <w:pPr>
        <w:pStyle w:val="TextBody"/>
        <w:bidi w:val="0"/>
        <w:spacing w:before="120" w:after="0"/>
        <w:jc w:val="left"/>
        <w:rPr>
          <w:rFonts w:ascii="Times New Roman" w:hAnsi="Times New Roman"/>
          <w:sz w:val="20"/>
        </w:rPr>
      </w:pPr>
      <w:r>
        <w:rPr>
          <w:rFonts w:ascii="Times New Roman" w:hAnsi="Times New Roman"/>
          <w:sz w:val="20"/>
        </w:rPr>
        <w:t>(i) 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 and the Borrower may, in its sole discretion, at any later time divide, classify or reclassify such transaction (or any portion thereof) in any manner that complies with the available baskets and exceptions hereunder at such later time (</w:t>
      </w:r>
      <w:r>
        <w:rPr>
          <w:rFonts w:ascii="Times New Roman" w:hAnsi="Times New Roman"/>
          <w:i/>
          <w:sz w:val="20"/>
        </w:rPr>
        <w:t xml:space="preserve">provided </w:t>
      </w:r>
      <w:r>
        <w:rPr>
          <w:rFonts w:ascii="Times New Roman" w:hAnsi="Times New Roman"/>
          <w:sz w:val="20"/>
        </w:rPr>
        <w:t xml:space="preserve">that with respect to reclassification of Specified Debt and Liens, any such reclassification shall be subject to the parameters of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7.03</w:t>
      </w:r>
      <w:r>
        <w:rPr>
          <w:rFonts w:ascii="Times New Roman" w:hAnsi="Times New Roman"/>
          <w:sz w:val="20"/>
        </w:rPr>
        <w:t xml:space="preserv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unless the Borrower elects otherwise, if the Borrower or its Restricted Subsidiaries in connection with any transaction or series of related transactions (A) incurs Indebtedness, creates Liens, makes Dispositions, makes Investments, designates any Subsidiary as restricted or unrestricted or repays any Indebtedness or takes any other action under or as permitted by a ratio-based basket and (B) incurs Indebtedness, creates Liens, makes Dispositions, makes Investments, designates any Subsidiary as restricted or unrestricted or repays any Indebtedness or takes any other action under a non-ratio-based basket (which shall occur within five (5) Business Days of the events in </w:t>
      </w:r>
      <w:r>
        <w:rPr>
          <w:rFonts w:ascii="Times New Roman" w:hAnsi="Times New Roman"/>
          <w:sz w:val="20"/>
          <w:u w:val="single"/>
        </w:rPr>
        <w:t>clause (A)</w:t>
      </w:r>
      <w:r>
        <w:rPr>
          <w:rFonts w:ascii="Times New Roman" w:hAnsi="Times New Roman"/>
          <w:sz w:val="20"/>
        </w:rPr>
        <w:t xml:space="preserve"> above), then the applicable ratio will be calculated with respect to any such action under the applicable ratio-based basket without regard to any such action under such non-ratio-based basket made in connection with such transaction or series of related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the Borrower or its Restricted Subsidiaries enters into any revolving, delayed draw or other committed debt facility, the Borrower may elect by written notice to the Administrative Agent to determine compliance of such debt facility (including the incurrence of Indebtedness and Liens from time to time in connection therewith) with this Agreement and each other Loan Document on the date commitments with respect thereto are first received, assuming the full amount of such facility is incurred (and any applicable Liens are granted) on such date, in which case such committed amount may thereafter be borrowed or reborrowed, in whole or in part, from time to time, without further compliance with such applicable ratio-based basket hereunder, in lieu of determining such compliance on any subsequent date (including any date on which Indebtedness is incurred pursuant to such facility); </w:t>
      </w:r>
      <w:r>
        <w:rPr>
          <w:rFonts w:ascii="Times New Roman" w:hAnsi="Times New Roman"/>
          <w:i/>
          <w:sz w:val="20"/>
        </w:rPr>
        <w:t xml:space="preserve">provided </w:t>
      </w:r>
      <w:r>
        <w:rPr>
          <w:rFonts w:ascii="Times New Roman" w:hAnsi="Times New Roman"/>
          <w:sz w:val="20"/>
        </w:rPr>
        <w:t xml:space="preserve">that, in each case, any future calculation of such ratio-based basket shall only include amounts borrowed and outstanding as of such date of determination, and </w:t>
      </w:r>
    </w:p>
    <w:p>
      <w:pPr>
        <w:pStyle w:val="TextBody"/>
        <w:bidi w:val="0"/>
        <w:spacing w:before="120" w:after="0"/>
        <w:jc w:val="left"/>
        <w:rPr>
          <w:rFonts w:ascii="Times New Roman" w:hAnsi="Times New Roman"/>
          <w:sz w:val="20"/>
        </w:rPr>
      </w:pPr>
      <w:r>
        <w:rPr>
          <w:rFonts w:ascii="Times New Roman" w:hAnsi="Times New Roman"/>
          <w:sz w:val="20"/>
        </w:rPr>
        <w:t xml:space="preserve">(iv) if the Borrower or any Restricted Subsidiary incurs Indebtedness under a ratio-based basket, such ratio-based basket (together with any other ratio-based basket utilized in connection therewith, including in respect of other Indebtedness, Liens, Dispositions, Investments, Permitted Payments or other transactions permitted by </w:t>
      </w:r>
      <w:r>
        <w:rPr>
          <w:rFonts w:ascii="Times New Roman" w:hAnsi="Times New Roman"/>
          <w:sz w:val="20"/>
          <w:u w:val="single"/>
        </w:rPr>
        <w:t>Section 7.06</w:t>
      </w:r>
      <w:r>
        <w:rPr>
          <w:rFonts w:ascii="Times New Roman" w:hAnsi="Times New Roman"/>
          <w:sz w:val="20"/>
        </w:rPr>
        <w:t xml:space="preserve">) will be calculated excluding the cash proceeds of such Indebtedness for netting purposes (i.e., such cash proceeds shall not reduce the Borrower’s Consolidated Net Debt pursuant to </w:t>
      </w:r>
      <w:r>
        <w:rPr>
          <w:rFonts w:ascii="Times New Roman" w:hAnsi="Times New Roman"/>
          <w:sz w:val="20"/>
          <w:u w:val="single"/>
        </w:rPr>
        <w:t>clause (b)</w:t>
      </w:r>
      <w:r>
        <w:rPr>
          <w:rFonts w:ascii="Times New Roman" w:hAnsi="Times New Roman"/>
          <w:sz w:val="20"/>
        </w:rPr>
        <w:t xml:space="preserve"> of the definition of such term), </w:t>
      </w:r>
      <w:r>
        <w:rPr>
          <w:rFonts w:ascii="Times New Roman" w:hAnsi="Times New Roman"/>
          <w:i/>
          <w:sz w:val="20"/>
        </w:rPr>
        <w:t xml:space="preserve">provided </w:t>
      </w:r>
      <w:r>
        <w:rPr>
          <w:rFonts w:ascii="Times New Roman" w:hAnsi="Times New Roman"/>
          <w:sz w:val="20"/>
        </w:rPr>
        <w:t xml:space="preserve">that the actual application of such proceeds may reduce Indebtedness for purposes of determining compliance with any such applicable ratio-based basket. </w:t>
      </w:r>
    </w:p>
    <w:p>
      <w:pPr>
        <w:pStyle w:val="TextBody"/>
        <w:bidi w:val="0"/>
        <w:spacing w:before="120" w:after="0"/>
        <w:jc w:val="left"/>
        <w:rPr>
          <w:rFonts w:ascii="Times New Roman" w:hAnsi="Times New Roman"/>
          <w:sz w:val="20"/>
        </w:rPr>
      </w:pPr>
      <w:r>
        <w:rPr>
          <w:rFonts w:ascii="Times New Roman" w:hAnsi="Times New Roman"/>
          <w:sz w:val="20"/>
        </w:rPr>
        <w:t>(f) Notwithstanding anything in this Agreement or any Loan Document to the contrary, when calculating the availability under any basket or ratio under this Agreement or compliance with any provision of this Agreement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Dispositions), in each case, at the option of the Borrower (the Borrower’s election to exercise such option, an “</w:t>
      </w:r>
      <w:r>
        <w:rPr>
          <w:rFonts w:ascii="Times New Roman" w:hAnsi="Times New Roman"/>
          <w:b/>
          <w:sz w:val="20"/>
        </w:rPr>
        <w:t>LCT Election</w:t>
      </w:r>
      <w:r>
        <w:rPr>
          <w:rFonts w:ascii="Times New Roman" w:hAnsi="Times New Roman"/>
          <w:sz w:val="20"/>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Agreement shall be deemed to be the date (the “</w:t>
      </w:r>
      <w:r>
        <w:rPr>
          <w:rFonts w:ascii="Times New Roman" w:hAnsi="Times New Roman"/>
          <w:b/>
          <w:sz w:val="20"/>
        </w:rPr>
        <w:t>LCT Test Date</w:t>
      </w:r>
      <w:r>
        <w:rPr>
          <w:rFonts w:ascii="Times New Roman" w:hAnsi="Times New Roman"/>
          <w:sz w:val="20"/>
        </w:rPr>
        <w:t xml:space="preserve">”) the definitive agreement for such Limited Condition Transaction is entered into (or, if applicable, the date of delivery of an irrevocable declaration of a Restricted Payment or similar event)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Dispositions) and any related pro forma adjustments, the Borrower or any of its Restricted Subsidiaries would have been permitted to take such actions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Times New Roman" w:hAnsi="Times New Roman"/>
          <w:i/>
          <w:sz w:val="20"/>
        </w:rPr>
        <w:t>provided</w:t>
      </w:r>
      <w:r>
        <w:rPr>
          <w:rFonts w:ascii="Times New Roman" w:hAnsi="Times New Roman"/>
          <w:sz w:val="20"/>
        </w:rPr>
        <w:t xml:space="preserve">, that (a) if financial statements for one or more fiscal quarters shall have subsequently become available, the Borrower may elect, in its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w:t>
      </w:r>
      <w:r>
        <w:rPr>
          <w:rFonts w:ascii="Times New Roman" w:hAnsi="Times New Roman"/>
          <w:sz w:val="20"/>
          <w:u w:val="single"/>
        </w:rPr>
        <w:t>clause (a)</w:t>
      </w:r>
      <w:r>
        <w:rPr>
          <w:rFonts w:ascii="Times New Roman" w:hAnsi="Times New Roman"/>
          <w:sz w:val="20"/>
        </w:rPr>
        <w:t xml:space="preserve">,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Dispositions) and (c) Consolidated Interest Expense for purposes of the Fixed Charge Coverage Ratio will be calculated using an assumed interest rate as reasonably determined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(g) For purposes of determining the maturity date of any Indebtedness, customary bridge loans that are subject to customary conditions (including no payment or bankruptcy event of default) that would either automatically be extended as, converted into or required to be exchanged for permanent refinancing shall be deemed to have the maturity date as so extended, converted or exchanged.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1.09</w:t>
      </w:r>
      <w:r>
        <w:rPr>
          <w:rFonts w:ascii="Times New Roman" w:hAnsi="Times New Roman"/>
          <w:sz w:val="20"/>
        </w:rPr>
        <w:t xml:space="preserve"> </w:t>
      </w:r>
      <w:r>
        <w:rPr>
          <w:rFonts w:ascii="Times New Roman" w:hAnsi="Times New Roman"/>
          <w:b/>
          <w:sz w:val="20"/>
          <w:u w:val="single"/>
        </w:rPr>
        <w:t>Currency Equivalents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determining compliance with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7.03</w:t>
      </w:r>
      <w:r>
        <w:rPr>
          <w:rFonts w:ascii="Times New Roman" w:hAnsi="Times New Roman"/>
          <w:sz w:val="20"/>
        </w:rPr>
        <w:t xml:space="preserve"> with respect to any amount of Lien, Specified Debt or Investment in a currency other than Dollars, no Default or Event of Default shall be deemed to have occurred solely as a result of changes in rates of currency exchange occurring after the time such Lien, Specified Debt or Investment is incurred (so long as such Indebtedness or Investment, at the time incurred, made or acquired, was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(b) 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shall be based on the rate of exchange between the applicable currency and Dollars as reasonably determined by the Borrower, in each case in effect on the Business Day immediately preceding the date of such transaction or determination (subject to </w:t>
      </w:r>
      <w:r>
        <w:rPr>
          <w:rFonts w:ascii="Times New Roman" w:hAnsi="Times New Roman"/>
          <w:sz w:val="20"/>
          <w:u w:val="single"/>
        </w:rPr>
        <w:t>clauses (c)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below) and shall not be affected by subsequent fluctuations in exchange rates. For the avoidance of doubt, the Financial Covenants, the Total Net Leverage Ratio and the Fixed Charge Coverage Ratio, including Consolidated Adjusted EBITDA, shall not be recalculated following any such fluctuation in exchange rate to provide for additional Dollar-equivalent principal amount of Indebtedness to be incurred or otherwise affected by subsequent fluctuations in exchange rates to provide for additional basket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LCT Election, on the date of the applicable LCT Test Date); </w:t>
      </w:r>
      <w:r>
        <w:rPr>
          <w:rFonts w:ascii="Times New Roman" w:hAnsi="Times New Roman"/>
          <w:i/>
          <w:sz w:val="20"/>
        </w:rPr>
        <w:t xml:space="preserve">provided </w:t>
      </w:r>
      <w:r>
        <w:rPr>
          <w:rFonts w:ascii="Times New Roman" w:hAnsi="Times New Roman"/>
          <w:sz w:val="20"/>
        </w:rPr>
        <w:t xml:space="preserve">that, if such Indebtedness is incurred to refinance other Indebtedness 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 </w:t>
      </w:r>
    </w:p>
    <w:p>
      <w:pPr>
        <w:pStyle w:val="TextBody"/>
        <w:bidi w:val="0"/>
        <w:spacing w:before="120" w:after="0"/>
        <w:jc w:val="left"/>
        <w:rPr>
          <w:rFonts w:ascii="Times New Roman" w:hAnsi="Times New Roman"/>
          <w:sz w:val="20"/>
        </w:rPr>
      </w:pPr>
      <w:r>
        <w:rPr>
          <w:rFonts w:ascii="Times New Roman" w:hAnsi="Times New Roman"/>
          <w:sz w:val="20"/>
        </w:rPr>
        <w:t xml:space="preserve">(d) For purposes of determining the Total Net Leverage Ratio and the Fixed Charge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Borrower for the applicable Test Period for which such measurement is being made, and will reflect the currency translation effects, determined in accordance with GAAP, of Hedge Agreements permitted hereunder for currency exchange risks with respect to the applicable currency in effect on the date of determination of the Dollar equivalent of such Indebtedness.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THE COMMITMENTS AND LOANS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xml:space="preserve"> </w:t>
      </w:r>
      <w:r>
        <w:rPr>
          <w:rFonts w:ascii="Times New Roman" w:hAnsi="Times New Roman"/>
          <w:b/>
          <w:sz w:val="20"/>
          <w:u w:val="single"/>
        </w:rPr>
        <w:t>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 Loan Commitment</w:t>
      </w:r>
      <w:r>
        <w:rPr>
          <w:rFonts w:ascii="Times New Roman" w:hAnsi="Times New Roman"/>
          <w:sz w:val="20"/>
        </w:rPr>
        <w:t>. Subject to the terms and conditions hereof, each Lender severally agrees to make term loans to the Borrower on the Closing Date in Dollars (“</w:t>
      </w:r>
      <w:r>
        <w:rPr>
          <w:rFonts w:ascii="Times New Roman" w:hAnsi="Times New Roman"/>
          <w:b/>
          <w:sz w:val="20"/>
        </w:rPr>
        <w:t>Loans</w:t>
      </w:r>
      <w:r>
        <w:rPr>
          <w:rFonts w:ascii="Times New Roman" w:hAnsi="Times New Roman"/>
          <w:sz w:val="20"/>
        </w:rPr>
        <w:t xml:space="preserve">”) in an aggregate amount up to but not exceeding such Lender’s Commitment. The initial aggregate principal amount of the Loans deemed made on the Closing Date shall be equal to the aggregate amount of the Commitments set forth on </w:t>
      </w:r>
      <w:r>
        <w:rPr>
          <w:rFonts w:ascii="Times New Roman" w:hAnsi="Times New Roman"/>
          <w:sz w:val="20"/>
          <w:u w:val="single"/>
        </w:rPr>
        <w:t>Schedule 2.01</w:t>
      </w:r>
      <w:r>
        <w:rPr>
          <w:rFonts w:ascii="Times New Roman" w:hAnsi="Times New Roman"/>
          <w:sz w:val="20"/>
        </w:rPr>
        <w:t xml:space="preserve">. Upon the deemed making of the Loans pursuant to this </w:t>
      </w:r>
      <w:r>
        <w:rPr>
          <w:rFonts w:ascii="Times New Roman" w:hAnsi="Times New Roman"/>
          <w:sz w:val="20"/>
          <w:u w:val="single"/>
        </w:rPr>
        <w:t>Section 2.01(a)</w:t>
      </w:r>
      <w:r>
        <w:rPr>
          <w:rFonts w:ascii="Times New Roman" w:hAnsi="Times New Roman"/>
          <w:sz w:val="20"/>
        </w:rPr>
        <w:t xml:space="preserve">, the Commitments shall terminate in full. Any amounts paid or prepaid in respect of the Loans may not be reborrowed. </w:t>
      </w:r>
    </w:p>
    <w:p>
      <w:pPr>
        <w:pStyle w:val="TextBody"/>
        <w:bidi w:val="0"/>
        <w:spacing w:before="120" w:after="0"/>
        <w:jc w:val="left"/>
        <w:rPr>
          <w:rFonts w:ascii="Times New Roman" w:hAnsi="Times New Roman"/>
          <w:sz w:val="20"/>
        </w:rPr>
      </w:pPr>
      <w:r>
        <w:rPr>
          <w:rFonts w:ascii="Times New Roman" w:hAnsi="Times New Roman"/>
          <w:sz w:val="20"/>
        </w:rPr>
        <w:t xml:space="preserve">(b) Borrowing Mechanics for Loans. </w:t>
      </w:r>
    </w:p>
    <w:p>
      <w:pPr>
        <w:pStyle w:val="TextBody"/>
        <w:bidi w:val="0"/>
        <w:spacing w:before="120" w:after="0"/>
        <w:jc w:val="left"/>
        <w:rPr>
          <w:rFonts w:ascii="Times New Roman" w:hAnsi="Times New Roman"/>
          <w:sz w:val="20"/>
        </w:rPr>
      </w:pPr>
      <w:r>
        <w:rPr>
          <w:rFonts w:ascii="Times New Roman" w:hAnsi="Times New Roman"/>
          <w:sz w:val="20"/>
        </w:rPr>
        <w:t xml:space="preserve">(i) To request a Borrowing, the Borrower shall deliver to the Administrative Agent, for distribution to the Lenders, a written Borrowing Request signed by the Borrower, not later than 10:00 a.m., Eastern time, on the Closing Date (or such later time as agreed to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Lender may request that the Loans made by it be evidenced by a promissory note. In such event, the Borrower shall prepare, execute and deliver to such Lender a promissory note payable to such Lender or its registered assigns, substantially in the form of </w:t>
      </w:r>
      <w:r>
        <w:rPr>
          <w:rFonts w:ascii="Times New Roman" w:hAnsi="Times New Roman"/>
          <w:sz w:val="20"/>
          <w:u w:val="single"/>
        </w:rPr>
        <w:t>Exhibit B</w:t>
      </w:r>
      <w:r>
        <w:rPr>
          <w:rFonts w:ascii="Times New Roman" w:hAnsi="Times New Roman"/>
          <w:sz w:val="20"/>
        </w:rPr>
        <w:t xml:space="preserve"> (with a copy to the Administrative Agent) dated (i) the Closing Date or (ii) the effective date of an Assignment and Assumption pursuant to </w:t>
      </w:r>
      <w:r>
        <w:rPr>
          <w:rFonts w:ascii="Times New Roman" w:hAnsi="Times New Roman"/>
          <w:sz w:val="20"/>
          <w:u w:val="single"/>
        </w:rPr>
        <w:t>Section 10.06(b)</w:t>
      </w:r>
      <w:r>
        <w:rPr>
          <w:rFonts w:ascii="Times New Roman" w:hAnsi="Times New Roman"/>
          <w:sz w:val="20"/>
        </w:rPr>
        <w:t xml:space="preserve">, in a principal amount equal to its Commitment as originally in effect and otherwise duly completed and such substitute Term Loan Notes as required by </w:t>
      </w:r>
      <w:r>
        <w:rPr>
          <w:rFonts w:ascii="Times New Roman" w:hAnsi="Times New Roman"/>
          <w:sz w:val="20"/>
          <w:u w:val="single"/>
        </w:rPr>
        <w:t>Section 10.06(b)</w:t>
      </w:r>
      <w:r>
        <w:rPr>
          <w:rFonts w:ascii="Times New Roman" w:hAnsi="Times New Roman"/>
          <w:sz w:val="20"/>
        </w:rPr>
        <w:t xml:space="preserve">. The date, amount, and interest rate of each Loan made by each Lender and all payments made on account of the principal thereof, shall be recorded by such Lender on its books and maintained in accordance with its usual practice. Failure to make such recordation shall not affect any Lender’s or the Borrower’s rights or obligations in respect of such Loans. In the event that one or more Term Loan Notes shall be issued after the Closing Date, it shall not be necessary to tender or present any such Note to the Administrative Agent for any payment hereunder, including on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(iii) Each Loan made shall be made as part of a Borrowing consisting of Loans made by the Lenders ratably in accordance with their respective Commitments. The failure of any Lender to make any Loan required to be made by it shall not relieve any other Lender of its obligations hereunder, it being understood and agreed that the Commitments are several and no Lender shall be responsible for any other Lender’s failure to make Loans as required.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w:t>
      </w:r>
      <w:r>
        <w:rPr>
          <w:rFonts w:ascii="Times New Roman" w:hAnsi="Times New Roman"/>
          <w:b/>
          <w:sz w:val="20"/>
          <w:u w:val="single"/>
        </w:rPr>
        <w:t>Availability</w:t>
      </w:r>
      <w:r>
        <w:rPr>
          <w:rFonts w:ascii="Times New Roman" w:hAnsi="Times New Roman"/>
          <w:sz w:val="20"/>
        </w:rPr>
        <w:t xml:space="preserve">. Unless the Administrative Agent shall have received notice from a Lender prior to the Closing Date that such Lender will not make available to the Administrative Agent such Lender’s Pro Rata Share of the Loans, the Administrative Agent may, in its sole discretion, assume that such Lender has made such Pro Rata Share available to the Administrative Agent on the Closing Date, and the Administrative Agent may in its sole discretion,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such Loans and (b) in the case of such Lender, the Overnight Rate </w:t>
      </w:r>
      <w:r>
        <w:rPr>
          <w:rFonts w:ascii="Times New Roman" w:hAnsi="Times New Roman"/>
          <w:i/>
          <w:sz w:val="20"/>
        </w:rPr>
        <w:t>plus</w:t>
      </w:r>
      <w:r>
        <w:rPr>
          <w:rFonts w:ascii="Times New Roman" w:hAnsi="Times New Roman"/>
          <w:sz w:val="20"/>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hAnsi="Times New Roman"/>
          <w:sz w:val="20"/>
          <w:u w:val="single"/>
        </w:rPr>
        <w:t>Section 2.02</w:t>
      </w:r>
      <w:r>
        <w:rPr>
          <w:rFonts w:ascii="Times New Roman" w:hAnsi="Times New Roman"/>
          <w:sz w:val="20"/>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applicable Loan included in such Borrowing. Any payment by the Borrower shall be without prejudice to any claim the Borrower may have against a Lender that shall have failed to make such payment to the Administrative Agent. A notice of the Administrative Agent to any Lender or the Borrower with respect to any amount owing under this </w:t>
      </w:r>
      <w:r>
        <w:rPr>
          <w:rFonts w:ascii="Times New Roman" w:hAnsi="Times New Roman"/>
          <w:sz w:val="20"/>
          <w:u w:val="single"/>
        </w:rPr>
        <w:t>Section 2.02</w:t>
      </w:r>
      <w:r>
        <w:rPr>
          <w:rFonts w:ascii="Times New Roman" w:hAnsi="Times New Roman"/>
          <w:sz w:val="20"/>
        </w:rPr>
        <w:t xml:space="preserve">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w:t>
      </w:r>
      <w:r>
        <w:rPr>
          <w:rFonts w:ascii="Times New Roman" w:hAnsi="Times New Roman"/>
          <w:sz w:val="20"/>
        </w:rPr>
        <w:t xml:space="preserve"> </w:t>
      </w:r>
      <w:r>
        <w:rPr>
          <w:rFonts w:ascii="Times New Roman" w:hAnsi="Times New Roman"/>
          <w:b/>
          <w:sz w:val="20"/>
          <w:u w:val="single"/>
        </w:rPr>
        <w:t>Prepayments; Vessel Substitutions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Optional.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may, upon written notice to the Administrative Agent in the form of a Prepayment Notice, at any time or from time to time, voluntarily prepay the Loans in whole but not in part (except as expressly set forth below);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(A) such Prepayment Notice must be received by the Administrative Agent not later than 1:00 p.m. thirty (30) days prior to any date of prepayment; </w:t>
      </w:r>
    </w:p>
    <w:p>
      <w:pPr>
        <w:pStyle w:val="TextBody"/>
        <w:bidi w:val="0"/>
        <w:spacing w:before="120" w:after="0"/>
        <w:jc w:val="left"/>
        <w:rPr>
          <w:rFonts w:ascii="Times New Roman" w:hAnsi="Times New Roman"/>
          <w:sz w:val="20"/>
        </w:rPr>
      </w:pPr>
      <w:r>
        <w:rPr>
          <w:rFonts w:ascii="Times New Roman" w:hAnsi="Times New Roman"/>
          <w:sz w:val="20"/>
        </w:rPr>
        <w:t xml:space="preserve">(B) any prepayment shall be accompanied by the applicable Prepayment Fee; </w:t>
      </w:r>
    </w:p>
    <w:p>
      <w:pPr>
        <w:pStyle w:val="TextBody"/>
        <w:bidi w:val="0"/>
        <w:spacing w:before="120" w:after="0"/>
        <w:jc w:val="left"/>
        <w:rPr>
          <w:rFonts w:ascii="Times New Roman" w:hAnsi="Times New Roman"/>
          <w:sz w:val="20"/>
        </w:rPr>
      </w:pPr>
      <w:r>
        <w:rPr>
          <w:rFonts w:ascii="Times New Roman" w:hAnsi="Times New Roman"/>
          <w:sz w:val="20"/>
        </w:rPr>
        <w:t xml:space="preserve">(C) any prepayment shall be paid in Dollars and shall be paid on a Payment Date;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shall be permitted a one-time option prior to June 30, 2026, to prepay an amount between $50,000,000 and $100,000,000 in connection with an initial public offering (directly or indirectly) of the Borrower; and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shall be permitted to make additional prepayments not to exceed $100,000,000 in the aggregate during the term of the Loans. </w:t>
      </w:r>
    </w:p>
    <w:p>
      <w:pPr>
        <w:pStyle w:val="TextBody"/>
        <w:bidi w:val="0"/>
        <w:spacing w:before="240" w:after="0"/>
        <w:jc w:val="left"/>
        <w:rPr>
          <w:rFonts w:ascii="Times New Roman" w:hAnsi="Times New Roman"/>
          <w:sz w:val="20"/>
        </w:rPr>
      </w:pPr>
      <w:r>
        <w:rPr>
          <w:rFonts w:ascii="Times New Roman" w:hAnsi="Times New Roman"/>
          <w:sz w:val="20"/>
        </w:rPr>
        <w:t xml:space="preserve">Each Prepayment Notice shall specify the date and amount to be prepaid, and the payment amount specified in each Prepayment Notice and the applicable Prepayment Fee shall be due and payable on the date specified therein. The Administrative Agent will promptly notify each Lender of its receipt of a Prepayment Notice and of the amount of such Lender’s Pro Rata Share of such prepayment (including any Prepayment Fee). Any prepayment of Loans shall be subject to </w:t>
      </w:r>
      <w:r>
        <w:rPr>
          <w:rFonts w:ascii="Times New Roman" w:hAnsi="Times New Roman"/>
          <w:sz w:val="20"/>
          <w:u w:val="single"/>
        </w:rPr>
        <w:t>Section 2.03(c)</w:t>
      </w:r>
      <w:r>
        <w:rPr>
          <w:rFonts w:ascii="Times New Roman" w:hAnsi="Times New Roman"/>
          <w:sz w:val="20"/>
        </w:rPr>
        <w:t xml:space="preserve">. Loans prepaid pursuant to this subsection (a) may not be reborrowed.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contained in this Agreement, the Borrower may rescind, in whole or in part, any notice of prepayment under </w:t>
      </w:r>
      <w:r>
        <w:rPr>
          <w:rFonts w:ascii="Times New Roman" w:hAnsi="Times New Roman"/>
          <w:sz w:val="20"/>
          <w:u w:val="single"/>
        </w:rPr>
        <w:t>Section 2.03(a)(i)</w:t>
      </w:r>
      <w:r>
        <w:rPr>
          <w:rFonts w:ascii="Times New Roman" w:hAnsi="Times New Roman"/>
          <w:sz w:val="20"/>
        </w:rPr>
        <w:t xml:space="preserve">, if such prepayment would have resulted from a refinancing of all or a portion of the Term Loan Facility, which refinancing shall not be consummated or shall otherwise be delayed. </w:t>
      </w:r>
    </w:p>
    <w:p>
      <w:pPr>
        <w:pStyle w:val="TextBody"/>
        <w:bidi w:val="0"/>
        <w:spacing w:before="120" w:after="0"/>
        <w:jc w:val="left"/>
        <w:rPr>
          <w:rFonts w:ascii="Times New Roman" w:hAnsi="Times New Roman"/>
          <w:sz w:val="20"/>
        </w:rPr>
      </w:pPr>
      <w:r>
        <w:rPr>
          <w:rFonts w:ascii="Times New Roman" w:hAnsi="Times New Roman"/>
          <w:sz w:val="20"/>
        </w:rPr>
        <w:t xml:space="preserve">(iii) The principal amount of voluntary prepayments of Loans permitted hereunder shall be applied to future Loan payments in inverse order of maturity. Any Prepayment Fees shall be retained by the Lenders as liquidated damages as a result of such prepayment.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Upon the occurrence of any Total Loss, the Borrower shall promptly notify the Administrative Agent thereof, whether or not then covered by insurance. Upon the earlier to occur of (i) the date of receipt of insurance proceeds by the Borrower as a result of such Total Loss and (ii) the date that is 120 days following the date of such Total Loss, the Borrower or a Guarantor shall (x) designate a Substitute Vessel (or Substitute Vessels) with a Vessel Collateral Value Amount of equal or greater value to the Vessel Collateral Value Amount for such Vessel that suffers a Total Loss pursuant to the terms in </w:t>
      </w:r>
      <w:r>
        <w:rPr>
          <w:rFonts w:ascii="Times New Roman" w:hAnsi="Times New Roman"/>
          <w:sz w:val="20"/>
          <w:u w:val="single"/>
        </w:rPr>
        <w:t>Section 2.03(f)</w:t>
      </w:r>
      <w:r>
        <w:rPr>
          <w:rFonts w:ascii="Times New Roman" w:hAnsi="Times New Roman"/>
          <w:sz w:val="20"/>
        </w:rPr>
        <w:t xml:space="preserve"> hereof, (y) pay to the Administrative Agent (for the benefit of the Lenders) an amount equal to the Release Value of such Vessel that suffers a Total Loss, plus the applicable Prepayment Fee on the amount so paid to the Administrative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an Event of Default shall have occurred and be continuing, the Borrower shall pay to the Administrative Agent an amount equal to the greater of (A) the insurance proceeds received by the Borrower for such Vessel (only to the extent such insurance proceeds have been received by the Borrower) and (B) the Release Value of such Vessel, in each case, plus the applicable Prepayment Fee on the amount so paid to the Administrative Agent or (z) do a combination of clauses (y) and (x) such that the Payment Percentage and Substitution Percentage equal at least 100% (plus the applicable Prepayment Fee on the amount so paid to the Administrative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to the extent such Vessel that suffers a Total Loss is a Low-Spec Vessel, the Administrative Agent may waive (with email confirmation being sufficient) any prepayment or designation of a Substitute Vessel which would otherwise be required pursuant to the foregoing. Any amounts received by the Borrower pursuant to this </w:t>
      </w:r>
      <w:r>
        <w:rPr>
          <w:rFonts w:ascii="Times New Roman" w:hAnsi="Times New Roman"/>
          <w:sz w:val="20"/>
          <w:u w:val="single"/>
        </w:rPr>
        <w:t>Section 2.03(b)(i)</w:t>
      </w:r>
      <w:r>
        <w:rPr>
          <w:rFonts w:ascii="Times New Roman" w:hAnsi="Times New Roman"/>
          <w:sz w:val="20"/>
        </w:rPr>
        <w:t xml:space="preserve"> shall be promptly delivered to the Administrative Agent for application as set forth in </w:t>
      </w:r>
      <w:r>
        <w:rPr>
          <w:rFonts w:ascii="Times New Roman" w:hAnsi="Times New Roman"/>
          <w:sz w:val="20"/>
          <w:u w:val="single"/>
        </w:rPr>
        <w:t>Section 2.03(d)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Upon the reflagging, sale, transfer, conveyance, designation of an Unrestricted Subsidiary under </w:t>
      </w:r>
      <w:r>
        <w:rPr>
          <w:rFonts w:ascii="Times New Roman" w:hAnsi="Times New Roman"/>
          <w:sz w:val="20"/>
          <w:u w:val="single"/>
        </w:rPr>
        <w:t>Section 6.13</w:t>
      </w:r>
      <w:r>
        <w:rPr>
          <w:rFonts w:ascii="Times New Roman" w:hAnsi="Times New Roman"/>
          <w:sz w:val="20"/>
        </w:rPr>
        <w:t xml:space="preserve"> or other similar Disposition of a Vessel constituting Vessel Collateral (including any sale permitted under </w:t>
      </w:r>
      <w:r>
        <w:rPr>
          <w:rFonts w:ascii="Times New Roman" w:hAnsi="Times New Roman"/>
          <w:sz w:val="20"/>
          <w:u w:val="single"/>
        </w:rPr>
        <w:t>Section 7.05(c)</w:t>
      </w:r>
      <w:r>
        <w:rPr>
          <w:rFonts w:ascii="Times New Roman" w:hAnsi="Times New Roman"/>
          <w:sz w:val="20"/>
        </w:rPr>
        <w:t xml:space="preserve"> or any Permitted Reflagging Transaction) or upon a Guaranty Release Event involving the release of any Vessel Collateral from any Vessel Mortgage, the Borrower shall (x) designate a Substitute Vessel (or Substitute Vessels) with a Vessel Collateral Value Amount of equal or greater value to the Vessel Collateral Value Amount for such Vessel so reflagged, sold, transferred, conveyed, designated as owned by an Unrestricted Subsidiary or similarly Disposed or released, in each case, pursuant to the terms in </w:t>
      </w:r>
      <w:r>
        <w:rPr>
          <w:rFonts w:ascii="Times New Roman" w:hAnsi="Times New Roman"/>
          <w:sz w:val="20"/>
          <w:u w:val="single"/>
        </w:rPr>
        <w:t>Section 2.03(f)</w:t>
      </w:r>
      <w:r>
        <w:rPr>
          <w:rFonts w:ascii="Times New Roman" w:hAnsi="Times New Roman"/>
          <w:sz w:val="20"/>
        </w:rPr>
        <w:t xml:space="preserve"> hereof, (y) pay to the Administrative Agent (for the benefit of the Lenders) an amount equal to the Release Value of such Vessel so reflagged, sold, transferred, conveyed, designated as owned by an Unrestricted Subsidiary or similarly Disposed or released, in each case, plus the applicable Prepayment Fee on the amount so paid to the Administrative Agent or (z) do a combination of clauses (y) and (x) such that the Payment Percentage and Substitution Percentage equal at least 100% (plus the applicable Prepayment Fee on the amount so paid to the Administrative Agent); </w:t>
      </w:r>
      <w:r>
        <w:rPr>
          <w:rFonts w:ascii="Times New Roman" w:hAnsi="Times New Roman"/>
          <w:i/>
          <w:sz w:val="20"/>
        </w:rPr>
        <w:t>provided</w:t>
      </w:r>
      <w:r>
        <w:rPr>
          <w:rFonts w:ascii="Times New Roman" w:hAnsi="Times New Roman"/>
          <w:sz w:val="20"/>
        </w:rPr>
        <w:t xml:space="preserve">, that to the extent such Vessel reflagged, sold, transferred conveyed, designated as owned by an Unrestricted Subsidiary or similarly Disposed or released is a Low-Spec Vessel, the Administrative Agent may waive (with email confirmation being sufficient) any prepayment or designation of a Substitute Vessel which would otherwise be required pursuant to the foregoing. Any amounts received by the Borrower pursuant to this </w:t>
      </w:r>
      <w:r>
        <w:rPr>
          <w:rFonts w:ascii="Times New Roman" w:hAnsi="Times New Roman"/>
          <w:sz w:val="20"/>
          <w:u w:val="single"/>
        </w:rPr>
        <w:t>Section 2.03(b)(ii)</w:t>
      </w:r>
      <w:r>
        <w:rPr>
          <w:rFonts w:ascii="Times New Roman" w:hAnsi="Times New Roman"/>
          <w:sz w:val="20"/>
        </w:rPr>
        <w:t xml:space="preserve"> shall be promptly delivered to the Administrative Agent for application as set forth in </w:t>
      </w:r>
      <w:r>
        <w:rPr>
          <w:rFonts w:ascii="Times New Roman" w:hAnsi="Times New Roman"/>
          <w:sz w:val="20"/>
          <w:u w:val="single"/>
        </w:rPr>
        <w:t>Section 2.03(d)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The Administrative Agent may reappraise the Vessel Collateral, at Borrower’s expense, at any time prior to the payment in full of the Loans to determine the ratio of the outstanding principal balance of the Loans to the OLV of the Vessel Collateral (“</w:t>
      </w:r>
      <w:r>
        <w:rPr>
          <w:rFonts w:ascii="Times New Roman" w:hAnsi="Times New Roman"/>
          <w:b/>
          <w:sz w:val="20"/>
        </w:rPr>
        <w:t>LTV</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so long as no Event of Default has occurred and is continuing, (a) the Administrative Agent shall not conduct any reappraisal prior to the first anniversary of the Closing Date, (b) the Borrower shall not be obligated to pay for more than one reappraisal in any 12-month period and (c) the value of the Vessel Collateral shall be determined by VesselsValueTM or a Specified Qualified Appraiser. If the LTV is greater than 50%, the Borrower shall make a payment to the Administrative Agent promptly upon request, or otherwise increase the OLV by adding additional Vessels (which Vessels must be acceptable to the Administrative Agent in its reasonable discretion) to the Vessel Collateral, in order to reduce the outstanding principal balance of the Loans to an amount that would result in an LTV of 50% (it being agreed and understood that such additional Vessels can be added as Vessel Collateral within thirty (30) days thereafter (or by such later date as the Administrative Agent may agree)). Any prepayment made pursuant to the terms of this </w:t>
      </w:r>
      <w:r>
        <w:rPr>
          <w:rFonts w:ascii="Times New Roman" w:hAnsi="Times New Roman"/>
          <w:sz w:val="20"/>
          <w:u w:val="single"/>
        </w:rPr>
        <w:t>Section 2.03(b)(iii)</w:t>
      </w:r>
      <w:r>
        <w:rPr>
          <w:rFonts w:ascii="Times New Roman" w:hAnsi="Times New Roman"/>
          <w:sz w:val="20"/>
        </w:rPr>
        <w:t xml:space="preserve"> shall not require payment of a Prepayment Fee outlined above. All amounts received by the Administrative Agent pursuant to this </w:t>
      </w:r>
      <w:r>
        <w:rPr>
          <w:rFonts w:ascii="Times New Roman" w:hAnsi="Times New Roman"/>
          <w:sz w:val="20"/>
          <w:u w:val="single"/>
        </w:rPr>
        <w:t>Section 2.03(b)(iii)</w:t>
      </w:r>
      <w:r>
        <w:rPr>
          <w:rFonts w:ascii="Times New Roman" w:hAnsi="Times New Roman"/>
          <w:sz w:val="20"/>
        </w:rPr>
        <w:t xml:space="preserve"> shall be paid on a pro rata basis to the Lenders and applied as set forth in </w:t>
      </w:r>
      <w:r>
        <w:rPr>
          <w:rFonts w:ascii="Times New Roman" w:hAnsi="Times New Roman"/>
          <w:sz w:val="20"/>
          <w:u w:val="single"/>
        </w:rPr>
        <w:t>Section 2.03(d)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The Borrower shall give notice to the Administrative Agent of any mandatory prepayment of the Loans pursuant to </w:t>
      </w:r>
      <w:r>
        <w:rPr>
          <w:rFonts w:ascii="Times New Roman" w:hAnsi="Times New Roman"/>
          <w:sz w:val="20"/>
          <w:u w:val="single"/>
        </w:rPr>
        <w:t>Section 2.03(b)(i)</w:t>
      </w:r>
      <w:r>
        <w:rPr>
          <w:rFonts w:ascii="Times New Roman" w:hAnsi="Times New Roman"/>
          <w:sz w:val="20"/>
        </w:rPr>
        <w:t xml:space="preserve">, </w:t>
      </w:r>
      <w:r>
        <w:rPr>
          <w:rFonts w:ascii="Times New Roman" w:hAnsi="Times New Roman"/>
          <w:sz w:val="20"/>
          <w:u w:val="single"/>
        </w:rPr>
        <w:t>Section 2.03(b)(ii)</w:t>
      </w:r>
      <w:r>
        <w:rPr>
          <w:rFonts w:ascii="Times New Roman" w:hAnsi="Times New Roman"/>
          <w:sz w:val="20"/>
        </w:rPr>
        <w:t xml:space="preserve"> or </w:t>
      </w:r>
      <w:r>
        <w:rPr>
          <w:rFonts w:ascii="Times New Roman" w:hAnsi="Times New Roman"/>
          <w:sz w:val="20"/>
          <w:u w:val="single"/>
        </w:rPr>
        <w:t>Section 2.03(b)(iv)</w:t>
      </w:r>
      <w:r>
        <w:rPr>
          <w:rFonts w:ascii="Times New Roman" w:hAnsi="Times New Roman"/>
          <w:sz w:val="20"/>
        </w:rPr>
        <w:t xml:space="preserve"> by 11:00 a.m. at least ten (10) Business Days prior to the date on which such payment is due. Such notice shall state that the Borrower is offering to make or will make such mandatory prepayment on or before the date specified in </w:t>
      </w:r>
      <w:r>
        <w:rPr>
          <w:rFonts w:ascii="Times New Roman" w:hAnsi="Times New Roman"/>
          <w:sz w:val="20"/>
          <w:u w:val="single"/>
        </w:rPr>
        <w:t>Section 2.03(b)(i)</w:t>
      </w:r>
      <w:r>
        <w:rPr>
          <w:rFonts w:ascii="Times New Roman" w:hAnsi="Times New Roman"/>
          <w:sz w:val="20"/>
        </w:rPr>
        <w:t xml:space="preserve">, </w:t>
      </w:r>
      <w:r>
        <w:rPr>
          <w:rFonts w:ascii="Times New Roman" w:hAnsi="Times New Roman"/>
          <w:sz w:val="20"/>
          <w:u w:val="single"/>
        </w:rPr>
        <w:t>Section 2.03(b)(ii)</w:t>
      </w:r>
      <w:r>
        <w:rPr>
          <w:rFonts w:ascii="Times New Roman" w:hAnsi="Times New Roman"/>
          <w:sz w:val="20"/>
        </w:rPr>
        <w:t xml:space="preserve"> or </w:t>
      </w:r>
      <w:r>
        <w:rPr>
          <w:rFonts w:ascii="Times New Roman" w:hAnsi="Times New Roman"/>
          <w:sz w:val="20"/>
          <w:u w:val="single"/>
        </w:rPr>
        <w:t>Section 2.03(b)(iv)</w:t>
      </w:r>
      <w:r>
        <w:rPr>
          <w:rFonts w:ascii="Times New Roman" w:hAnsi="Times New Roman"/>
          <w:sz w:val="20"/>
        </w:rPr>
        <w:t xml:space="preserve"> (a “</w:t>
      </w:r>
      <w:r>
        <w:rPr>
          <w:rFonts w:ascii="Times New Roman" w:hAnsi="Times New Roman"/>
          <w:b/>
          <w:sz w:val="20"/>
        </w:rPr>
        <w:t>Prepayment Date</w:t>
      </w:r>
      <w:r>
        <w:rPr>
          <w:rFonts w:ascii="Times New Roman" w:hAnsi="Times New Roman"/>
          <w:sz w:val="20"/>
        </w:rPr>
        <w:t>”). Once given, such notice shall be irrevocable (</w:t>
      </w:r>
      <w:r>
        <w:rPr>
          <w:rFonts w:ascii="Times New Roman" w:hAnsi="Times New Roman"/>
          <w:i/>
          <w:sz w:val="20"/>
        </w:rPr>
        <w:t xml:space="preserve">provided </w:t>
      </w:r>
      <w:r>
        <w:rPr>
          <w:rFonts w:ascii="Times New Roman" w:hAnsi="Times New Roman"/>
          <w:sz w:val="20"/>
        </w:rPr>
        <w:t xml:space="preserve">that the Borrower may rescind any notice of prepayment if such prepayment would have resulted from a refinancing of all or any portion of the Loans or been made in connection with a Disposition, which refinancing or Disposition shall not be consummated or shall otherwise be delayed) and all amounts subject to such notice shall be due and payable on the Prepayment Date (except as otherwise provided in the last sentence of this </w:t>
      </w:r>
      <w:r>
        <w:rPr>
          <w:rFonts w:ascii="Times New Roman" w:hAnsi="Times New Roman"/>
          <w:sz w:val="20"/>
          <w:u w:val="single"/>
        </w:rPr>
        <w:t>Section 2.03(b)(v)</w:t>
      </w:r>
      <w:r>
        <w:rPr>
          <w:rFonts w:ascii="Times New Roman" w:hAnsi="Times New Roman"/>
          <w:sz w:val="20"/>
        </w:rPr>
        <w:t xml:space="preserve">). Upon receipt by the Administrative Agent of such notice, the Administrative Agent shall immediately give notice to each Lender of the prepayment, the Prepayment Date and of such Lender’s Pro Rata Share of the prepayment. Each Lender may elect (in its sole discretion) to decline all (but not less than all) of its Pro Rata Share of any mandatory prepayment by giving notice of such election in writing to the Administrative Agent by 11:00 a.m., on the date that is one Business Day prior to such prepayment. If a Lender fails to deliver a notice of election declining receipt of its Pro Rata Share of such mandatory prepayment to the Administrative Agent within the time frame specified above, any such failure will be deemed to constitute an acceptance of such Lender’s Pro Rata Share of the total amount of such mandatory prepayment of Loans. Upon receipt by the Administrative Agent of such notice, the Administrative Agent shall immediately notify the Borrower of such election. Any amount so declined by any Lender shall be retained by the Borrower and the Restricted Subsidiaries and/or applied by the Borrower or any of the Restricted Subsidiaries in any manner not inconsistent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Interest; Prepayment Fees</w:t>
      </w:r>
      <w:r>
        <w:rPr>
          <w:rFonts w:ascii="Times New Roman" w:hAnsi="Times New Roman"/>
          <w:sz w:val="20"/>
        </w:rPr>
        <w:t xml:space="preserve">. All prepayments under this </w:t>
      </w:r>
      <w:r>
        <w:rPr>
          <w:rFonts w:ascii="Times New Roman" w:hAnsi="Times New Roman"/>
          <w:sz w:val="20"/>
          <w:u w:val="single"/>
        </w:rPr>
        <w:t>Section 2.03</w:t>
      </w:r>
      <w:r>
        <w:rPr>
          <w:rFonts w:ascii="Times New Roman" w:hAnsi="Times New Roman"/>
          <w:sz w:val="20"/>
        </w:rPr>
        <w:t xml:space="preserve"> shall be accompanied by all accrued interest thereon plus any applicable Prepayment Fee.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Application of Prepayment Amounts</w:t>
      </w:r>
      <w:r>
        <w:rPr>
          <w:rFonts w:ascii="Times New Roman" w:hAnsi="Times New Roman"/>
          <w:sz w:val="20"/>
        </w:rPr>
        <w:t xml:space="preserve">. In the event that the Borrower elects to prepay the Loans pursuant to </w:t>
      </w:r>
      <w:r>
        <w:rPr>
          <w:rFonts w:ascii="Times New Roman" w:hAnsi="Times New Roman"/>
          <w:sz w:val="20"/>
          <w:u w:val="single"/>
        </w:rPr>
        <w:t>subsection (a)</w:t>
      </w:r>
      <w:r>
        <w:rPr>
          <w:rFonts w:ascii="Times New Roman" w:hAnsi="Times New Roman"/>
          <w:sz w:val="20"/>
        </w:rPr>
        <w:t xml:space="preserve"> above or the obligations of the Borrower to prepay the Loans arise pursuant to </w:t>
      </w:r>
      <w:r>
        <w:rPr>
          <w:rFonts w:ascii="Times New Roman" w:hAnsi="Times New Roman"/>
          <w:sz w:val="20"/>
          <w:u w:val="single"/>
        </w:rPr>
        <w:t>subsection (b)</w:t>
      </w:r>
      <w:r>
        <w:rPr>
          <w:rFonts w:ascii="Times New Roman" w:hAnsi="Times New Roman"/>
          <w:sz w:val="20"/>
        </w:rPr>
        <w:t xml:space="preserve"> above the Borrower shall prepay the outstanding principal amount of the Loans in the inverse order of maturity. Each payment or prepayment pursuant to the provisions of this </w:t>
      </w:r>
      <w:r>
        <w:rPr>
          <w:rFonts w:ascii="Times New Roman" w:hAnsi="Times New Roman"/>
          <w:sz w:val="20"/>
          <w:u w:val="single"/>
        </w:rPr>
        <w:t>Section 2.03(d)</w:t>
      </w:r>
      <w:r>
        <w:rPr>
          <w:rFonts w:ascii="Times New Roman" w:hAnsi="Times New Roman"/>
          <w:sz w:val="20"/>
        </w:rPr>
        <w:t xml:space="preserve"> shall be applied ratably among the Lenders being prepaid, in proportion to the principal amount held by each. Any Prepayment Fees payable in connection with any such prepayment shall be retained by the Lenders as liquidated damages as a result of such prepayment.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Recalculation of Loan Payments</w:t>
      </w:r>
      <w:r>
        <w:rPr>
          <w:rFonts w:ascii="Times New Roman" w:hAnsi="Times New Roman"/>
          <w:sz w:val="20"/>
        </w:rPr>
        <w:t xml:space="preserve">. On any Payment Date upon thirty (30) days prior written notice to the Administrative Agent, the Borrower shall have the right to request that the Administrative Agent recalculate the Loan payments to maintain the initial amortization profile of the Loan, </w:t>
      </w:r>
      <w:r>
        <w:rPr>
          <w:rFonts w:ascii="Times New Roman" w:hAnsi="Times New Roman"/>
          <w:i/>
          <w:sz w:val="20"/>
        </w:rPr>
        <w:t>provided, however</w:t>
      </w:r>
      <w:r>
        <w:rPr>
          <w:rFonts w:ascii="Times New Roman" w:hAnsi="Times New Roman"/>
          <w:sz w:val="20"/>
        </w:rPr>
        <w:t xml:space="preserve">, that any such recalculation may not be requested more than twice during the term of the Loans and the Borrower shall pay the Administrative Agent a fee of $250,000 in connection with any recalculation.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Vessel Substitutions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Provided that no Event of Default shall have occurred and be continuing, the Borrower may replace one or more Vessels (a “</w:t>
      </w:r>
      <w:r>
        <w:rPr>
          <w:rFonts w:ascii="Times New Roman" w:hAnsi="Times New Roman"/>
          <w:b/>
          <w:sz w:val="20"/>
        </w:rPr>
        <w:t>Vessel Substitution</w:t>
      </w:r>
      <w:r>
        <w:rPr>
          <w:rFonts w:ascii="Times New Roman" w:hAnsi="Times New Roman"/>
          <w:sz w:val="20"/>
        </w:rPr>
        <w:t>”) constituting Vessel Collateral for another/other substitute vessel(s) (each, a “</w:t>
      </w:r>
      <w:r>
        <w:rPr>
          <w:rFonts w:ascii="Times New Roman" w:hAnsi="Times New Roman"/>
          <w:b/>
          <w:sz w:val="20"/>
        </w:rPr>
        <w:t>Substitute Vessel</w:t>
      </w:r>
      <w:r>
        <w:rPr>
          <w:rFonts w:ascii="Times New Roman" w:hAnsi="Times New Roman"/>
          <w:sz w:val="20"/>
        </w:rPr>
        <w:t>”) by delivering a written notice to the Administrative Agent (the “</w:t>
      </w:r>
      <w:r>
        <w:rPr>
          <w:rFonts w:ascii="Times New Roman" w:hAnsi="Times New Roman"/>
          <w:b/>
          <w:sz w:val="20"/>
        </w:rPr>
        <w:t>Substitution Notice</w:t>
      </w:r>
      <w:r>
        <w:rPr>
          <w:rFonts w:ascii="Times New Roman" w:hAnsi="Times New Roman"/>
          <w:sz w:val="20"/>
        </w:rPr>
        <w:t xml:space="preserve">”). Each Substitution Notice shall be accompanied by (i) such information as the Administrative Agent may reasonably request, (ii) a statement whether the addition of the Substitute Vessel (or Substitute Vessels) will occur simultaneously with the release of the substituted Vessel(s) and, if not, the proposed date on which the Substitute Vessel (or Substitute Vessels) will be added as Vessel Collateral, which shall be a date which is not more than thirty (30) days after the proposed date of the release of the substituted Vessel(s) and (iii) a non-refundable $25,000 administrative fee per Substitution Notice, payable to the Administrative Agent. In addition, the Borrower shall pay the Administrative Agent upon demand for all of the Administrative Agent’s reasonable and documented out-of-pocket fees, costs and expenses incurred in connection with such Substitution Notice.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 Total Loss of a Vessel or the simultaneous release of a Vessel constituting Vessel Collateral and the substitution of a Substitute Vessel (or Substitute Vessels) therefor, such Substitute Vessel (or Substitute Vessels) shall (i) be duly documented in the name of the Borrower or a Guarantor under the laws and flag of the United States and, where eligible to be so, properly endorsed for use in the United States’ coastwise trade or another Approved Flag Jurisdiction, (ii) be subject to a Vessel Mortgage (or equivalent under local law), (iii) be free and clear of all Liens and other encumbrances (other than the Vessel Mortgage) and any Permitted Maritime Liens, (iv) (A) have a Vessel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Value Amount as determined by a Specified Qualified Appraiser selected by the Administrative Agent (so long as such Specified Qualified Appraiser shall not cause an unreasonable delay in such substitution and, if such Specified Qualified Appraiser shall cause an unreasonable delay, the Borrower shall be permitted to rely on the Vessel Collateral Value Amount as determined by VesselsValue and, if the Vessel Collateral Value Amount as subsequently determined by such other Specified Qualified Appraiser is lower than VesselsValue, the Borrower shall promptly make a mandatory prepayment in the amount that would have been required based on the determination of such other Specified Qualified Appraiser, after giving effect to any prepayments or substitutions previously made in connection therewith in accordance with this clause (ii)) at least equal to the Vessel Collateral Value Amount of such Vessel subject to such Total Loss or otherwise released or (B) have a Vessel Collateral Value Amount less than the Vessel Collateral Value Amount of such Vessel subject to such Total Loss or otherwise released, so long as the Borrower causes a prepayment of the Loans to the Administrative Agent in accordance with </w:t>
      </w:r>
      <w:r>
        <w:rPr>
          <w:rFonts w:ascii="Times New Roman" w:hAnsi="Times New Roman"/>
          <w:sz w:val="20"/>
          <w:u w:val="single"/>
        </w:rPr>
        <w:t>Section 2.03(b)(ii)</w:t>
      </w:r>
      <w:r>
        <w:rPr>
          <w:rFonts w:ascii="Times New Roman" w:hAnsi="Times New Roman"/>
          <w:sz w:val="20"/>
        </w:rPr>
        <w:t xml:space="preserve"> such that the Payment Percentage and Substitution Percentage equal at least 100% (plus the applicable Prepayment Fee on the amount so paid to the Administrative Agent) and (v) be reasonably acceptable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(iii) If the substitution of the Substitute Vessel (or Substitute Vessels) is not to occur simultaneously with the release of the Collateral Trustee’s Lien on the substituted Vessel, concurrently with the Collateral Trustee’s release of its Lien on the substituted Vessel (or, in the case of a Total Loss, within 120 days after the occurrence of the Total Loss), the Administrative Agent shall have received an amount equal to the Release Value, </w:t>
      </w:r>
      <w:r>
        <w:rPr>
          <w:rFonts w:ascii="Times New Roman" w:hAnsi="Times New Roman"/>
          <w:sz w:val="20"/>
          <w:u w:val="single"/>
        </w:rPr>
        <w:t>plus</w:t>
      </w:r>
      <w:r>
        <w:rPr>
          <w:rFonts w:ascii="Times New Roman" w:hAnsi="Times New Roman"/>
          <w:sz w:val="20"/>
        </w:rPr>
        <w:t xml:space="preserve"> (A) all accrued interest then due thereon, and (B) the applicable Prepayment Fee, if any (hereinafter, collectively the “</w:t>
      </w:r>
      <w:r>
        <w:rPr>
          <w:rFonts w:ascii="Times New Roman" w:hAnsi="Times New Roman"/>
          <w:b/>
          <w:sz w:val="20"/>
        </w:rPr>
        <w:t>Release Fee</w:t>
      </w:r>
      <w:r>
        <w:rPr>
          <w:rFonts w:ascii="Times New Roman" w:hAnsi="Times New Roman"/>
          <w:sz w:val="20"/>
        </w:rPr>
        <w:t xml:space="preserve">”). The Administrative Agent shall deposit the Release Fee in a non-interest-bearing account maintained by the Administrative Agent and the Administrative Agent shall hold such Release Fee until the date on which a Substitute Vessel (or Substitute Vessels) becomes subject to a Vessel Mortgage, at which time the Administrative Agent shall return the Release Fee to the Borrower.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w:t>
      </w:r>
      <w:r>
        <w:rPr>
          <w:rFonts w:ascii="Times New Roman" w:hAnsi="Times New Roman"/>
          <w:sz w:val="20"/>
        </w:rPr>
        <w:t xml:space="preserve"> </w:t>
      </w:r>
      <w:r>
        <w:rPr>
          <w:rFonts w:ascii="Times New Roman" w:hAnsi="Times New Roman"/>
          <w:b/>
          <w:sz w:val="20"/>
          <w:u w:val="single"/>
        </w:rPr>
        <w:t>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Loans shall be repaid (i) in twelve (12) consecutive equal monthly installments of interest, each payable on the first day of each month commencing on January 1, 2025 and continuing on the same day of each consecutive month thereafter (each a “</w:t>
      </w:r>
      <w:r>
        <w:rPr>
          <w:rFonts w:ascii="Times New Roman" w:hAnsi="Times New Roman"/>
          <w:b/>
          <w:sz w:val="20"/>
        </w:rPr>
        <w:t>Payment Date</w:t>
      </w:r>
      <w:r>
        <w:rPr>
          <w:rFonts w:ascii="Times New Roman" w:hAnsi="Times New Roman"/>
          <w:sz w:val="20"/>
        </w:rPr>
        <w:t xml:space="preserve">”), (ii) followed by eighty-four (84) consecutive equal monthly installments of principal and interest each payable on the first day of each consecutive month, and (iii) together with the ninety-sixth (96th) payment, a final balloon payment in the amount of all unpaid principal, accrued but unpaid interest and other amounts due hereunder on the Maturity Date. The repayment terms of the Loans shall be as further set forth in the Term Loan Notes.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repay to the Administrative Agent, for the ratable account of the Lenders, the remaining outstanding principal amount of the Loans, all accrued but unpaid interest then due thereon and all other amounts then due and payable hereunder or under the other Loan Documents on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w:t>
      </w:r>
      <w:r>
        <w:rPr>
          <w:rFonts w:ascii="Times New Roman" w:hAnsi="Times New Roman"/>
          <w:sz w:val="20"/>
        </w:rPr>
        <w:t xml:space="preserve"> </w:t>
      </w:r>
      <w:r>
        <w:rPr>
          <w:rFonts w:ascii="Times New Roman" w:hAnsi="Times New Roman"/>
          <w:b/>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w:t>
      </w:r>
      <w:r>
        <w:rPr>
          <w:rFonts w:ascii="Times New Roman" w:hAnsi="Times New Roman"/>
          <w:sz w:val="20"/>
          <w:u w:val="single"/>
        </w:rPr>
        <w:t>Section 2.05(b)</w:t>
      </w:r>
      <w:r>
        <w:rPr>
          <w:rFonts w:ascii="Times New Roman" w:hAnsi="Times New Roman"/>
          <w:sz w:val="20"/>
        </w:rPr>
        <w:t xml:space="preserve">, each Loan shall bear interest on the outstanding principal amount thereof at a rate </w:t>
      </w:r>
      <w:r>
        <w:rPr>
          <w:rFonts w:ascii="Times New Roman" w:hAnsi="Times New Roman"/>
          <w:i/>
          <w:sz w:val="20"/>
        </w:rPr>
        <w:t xml:space="preserve">per annum </w:t>
      </w:r>
      <w:r>
        <w:rPr>
          <w:rFonts w:ascii="Times New Roman" w:hAnsi="Times New Roman"/>
          <w:sz w:val="20"/>
        </w:rPr>
        <w:t xml:space="preserve">equal to 9.25%. </w:t>
      </w:r>
    </w:p>
    <w:p>
      <w:pPr>
        <w:pStyle w:val="TextBody"/>
        <w:bidi w:val="0"/>
        <w:spacing w:before="120" w:after="0"/>
        <w:jc w:val="left"/>
        <w:rPr>
          <w:rFonts w:ascii="Times New Roman" w:hAnsi="Times New Roman"/>
          <w:sz w:val="20"/>
        </w:rPr>
      </w:pPr>
      <w:r>
        <w:rPr>
          <w:rFonts w:ascii="Times New Roman" w:hAnsi="Times New Roman"/>
          <w:sz w:val="20"/>
        </w:rPr>
        <w:t xml:space="preserve">(b) If any amount of principal of any Loan is not paid when due (without regard to any applicable grace periods), whether at stated maturity, by acceleration or otherwise, such amount shall thereafter bear interest at an interest rate </w:t>
      </w:r>
      <w:r>
        <w:rPr>
          <w:rFonts w:ascii="Times New Roman" w:hAnsi="Times New Roman"/>
          <w:i/>
          <w:sz w:val="20"/>
        </w:rPr>
        <w:t xml:space="preserve">per annum </w:t>
      </w:r>
      <w:r>
        <w:rPr>
          <w:rFonts w:ascii="Times New Roman" w:hAnsi="Times New Roman"/>
          <w:sz w:val="20"/>
        </w:rPr>
        <w:t xml:space="preserve">at all times equal to the Default Rate to the fullest extent permitted by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(c) If any amount (other than principal of any Loan) payable by the Borrower under any Loan Document is not paid when due (without regard to any applicable grace periods), whether at stated maturity, by acceleration or otherwise, then upon the request of the Required Lenders (or, after the occurrence of an actual or deemed entry of an order for relief with respect to the Borrower under any Debtor Relief Law, automatically and without further action by the Administrative Agent or any Lender) such amount shall thereafter bear interest at a fluctuating interest rate </w:t>
      </w:r>
      <w:r>
        <w:rPr>
          <w:rFonts w:ascii="Times New Roman" w:hAnsi="Times New Roman"/>
          <w:i/>
          <w:sz w:val="20"/>
        </w:rPr>
        <w:t xml:space="preserve">per annum </w:t>
      </w:r>
      <w:r>
        <w:rPr>
          <w:rFonts w:ascii="Times New Roman" w:hAnsi="Times New Roman"/>
          <w:sz w:val="20"/>
        </w:rPr>
        <w:t xml:space="preserve">at all times equal to the Default Rate to the fullest extent permitted by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(d) Accrued and unpaid interest on the principal amount of all outstanding past due Obligations (including interest on past due interest) shall be due and payable upon demand (or, after the occurrence of an actual or deemed entry of an order for relief with respect to the Borrower under any Debtor Relief Law, automatically and without further action by the Administrative Agent or any Lender).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w:t>
      </w:r>
      <w:r>
        <w:rPr>
          <w:rFonts w:ascii="Times New Roman" w:hAnsi="Times New Roman"/>
          <w:sz w:val="20"/>
        </w:rPr>
        <w:t xml:space="preserve"> </w:t>
      </w:r>
      <w:r>
        <w:rPr>
          <w:rFonts w:ascii="Times New Roman" w:hAnsi="Times New Roman"/>
          <w:b/>
          <w:sz w:val="20"/>
          <w:u w:val="single"/>
        </w:rPr>
        <w:t>Fees</w:t>
      </w:r>
      <w:r>
        <w:rPr>
          <w:rFonts w:ascii="Times New Roman" w:hAnsi="Times New Roman"/>
          <w:sz w:val="20"/>
        </w:rPr>
        <w:t xml:space="preserve">. The Borrower shall pay to the Agents such fees as shall have been separately agreed upon in writing (including pursuant to the Fee Letter) in the amounts and at the times so specified. Such fees shall be fully earned when paid and shall not be refundable for any reason whatsoever (except as expressly agreed between the Borrower and the applicable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w:t>
      </w:r>
      <w:r>
        <w:rPr>
          <w:rFonts w:ascii="Times New Roman" w:hAnsi="Times New Roman"/>
          <w:sz w:val="20"/>
        </w:rPr>
        <w:t xml:space="preserve"> </w:t>
      </w:r>
      <w:r>
        <w:rPr>
          <w:rFonts w:ascii="Times New Roman" w:hAnsi="Times New Roman"/>
          <w:b/>
          <w:sz w:val="20"/>
          <w:u w:val="single"/>
        </w:rPr>
        <w:t>Computation of Interest and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2.08</w:t>
      </w:r>
      <w:r>
        <w:rPr>
          <w:rFonts w:ascii="Times New Roman" w:hAnsi="Times New Roman"/>
          <w:sz w:val="20"/>
        </w:rPr>
        <w:t xml:space="preserve"> </w:t>
      </w:r>
      <w:r>
        <w:rPr>
          <w:rFonts w:ascii="Times New Roman" w:hAnsi="Times New Roman"/>
          <w:b/>
          <w:sz w:val="20"/>
          <w:u w:val="single"/>
        </w:rPr>
        <w:t>Evidence of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Loans made by each Lender shall be evidenced by one or more accounts or records maintained by such Lender and evidenced by one or more entries in the Register maintained by the Administrative Agent, acting solely for purposes of Treasury Regulation Section 5f.103-1(c), as non-fiduciary agent for the Borrower, in each case in the ordinary course of business. The accounts or records maintained by the Administrative Agent and each Lender shall be </w:t>
      </w:r>
      <w:r>
        <w:rPr>
          <w:rFonts w:ascii="Times New Roman" w:hAnsi="Times New Roman"/>
          <w:i/>
          <w:sz w:val="20"/>
        </w:rPr>
        <w:t xml:space="preserve">prima facie </w:t>
      </w:r>
      <w:r>
        <w:rPr>
          <w:rFonts w:ascii="Times New Roman" w:hAnsi="Times New Roman"/>
          <w:sz w:val="20"/>
        </w:rPr>
        <w:t xml:space="preserve">evidence absent manifest error of the amount of the Loans made by the Lenders to the Borrower and the interest and payments thereon. Any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any Lender, the Borrower shall execute and deliver to such Lender (through the Administrative Agent) a Term Loan Note payable to such Lender, which shall evidence such Lender’s Loans in addition to such accounts or records. Each Lender may attach schedules to its Term Loan Note and endorse thereon the date, amount and maturity of its Loans and payments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(b) Entries made in good faith by the Administrative Agent in the Register pursuant to </w:t>
      </w:r>
      <w:r>
        <w:rPr>
          <w:rFonts w:ascii="Times New Roman" w:hAnsi="Times New Roman"/>
          <w:sz w:val="20"/>
          <w:u w:val="single"/>
        </w:rPr>
        <w:t>Section 2.8(a)</w:t>
      </w:r>
      <w:r>
        <w:rPr>
          <w:rFonts w:ascii="Times New Roman" w:hAnsi="Times New Roman"/>
          <w:sz w:val="20"/>
        </w:rPr>
        <w:t xml:space="preserve">, and by each Lender in its account or accounts pursuant to </w:t>
      </w:r>
      <w:r>
        <w:rPr>
          <w:rFonts w:ascii="Times New Roman" w:hAnsi="Times New Roman"/>
          <w:sz w:val="20"/>
          <w:u w:val="single"/>
        </w:rPr>
        <w:t>Section 2.8(a)</w:t>
      </w:r>
      <w:r>
        <w:rPr>
          <w:rFonts w:ascii="Times New Roman" w:hAnsi="Times New Roman"/>
          <w:sz w:val="20"/>
        </w:rPr>
        <w:t xml:space="preserve">, shall be </w:t>
      </w:r>
      <w:r>
        <w:rPr>
          <w:rFonts w:ascii="Times New Roman" w:hAnsi="Times New Roman"/>
          <w:i/>
          <w:sz w:val="20"/>
        </w:rPr>
        <w:t xml:space="preserve">prima facie </w:t>
      </w:r>
      <w:r>
        <w:rPr>
          <w:rFonts w:ascii="Times New Roman" w:hAnsi="Times New Roman"/>
          <w:sz w:val="20"/>
        </w:rPr>
        <w:t xml:space="preserve">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hAnsi="Times New Roman"/>
          <w:i/>
          <w:sz w:val="20"/>
        </w:rPr>
        <w:t xml:space="preserve">provided </w:t>
      </w:r>
      <w:r>
        <w:rPr>
          <w:rFonts w:ascii="Times New Roman" w:hAnsi="Times New Roman"/>
          <w:sz w:val="20"/>
        </w:rPr>
        <w:t xml:space="preserve">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r>
        <w:rPr>
          <w:rFonts w:ascii="Times New Roman" w:hAnsi="Times New Roman"/>
          <w:b/>
          <w:sz w:val="20"/>
          <w:u w:val="single"/>
        </w:rPr>
        <w:t>Payments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payments to be made by the Borrower shall be made on the date when due, in immediately available funds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Day Funds not later than 1:00 p.m. (unless otherwise agreed by the Administrative Agent) on the date specified herein. The Administrative Agent will promptly distribute to each Lender its Pro Rata Share (or other applicable share as provided herein) of such payment in like funds as received by wire transfer to such Lender’s Lending Office. All payments received by the Administrative Agent after 1:00 p.m. (or such other time as agreed by the Administrative Agent) may in each case be deemed received on the next succeeding Business Day and any applicable interest or fee shall continue to accrue. </w:t>
      </w:r>
    </w:p>
    <w:p>
      <w:pPr>
        <w:pStyle w:val="TextBody"/>
        <w:bidi w:val="0"/>
        <w:spacing w:before="120" w:after="0"/>
        <w:jc w:val="left"/>
        <w:rPr>
          <w:rFonts w:ascii="Times New Roman" w:hAnsi="Times New Roman"/>
          <w:sz w:val="20"/>
        </w:rPr>
      </w:pPr>
      <w:r>
        <w:rPr>
          <w:rFonts w:ascii="Times New Roman" w:hAnsi="Times New Roman"/>
          <w:sz w:val="20"/>
        </w:rPr>
        <w:t xml:space="preserve">(b) If any payment to be made by the Borrower shall come due on a day other than a Business Day, payment shall be made on the next following Business Day, and such extension of time shall be reflected in computing interest or fees,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the Borrower has notified the Administrative Agent, prior to the date any payment is required to be made by the Borrower to the Administrative Agent hereunder for the account of any Lender, that the Borrower will not make such payment, the Administrative Agent may assume that the Borrower has timely made such payment and may (but shall not be so required to), in reliance thereon, make available a corresponding amount to such Lender. If and to the extent that such payment was not in fact made to the Administrative Agent in Same Day Funds, then such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applicable Overnight Rate from time to time in effect. </w:t>
      </w:r>
    </w:p>
    <w:p>
      <w:pPr>
        <w:pStyle w:val="TextBody"/>
        <w:bidi w:val="0"/>
        <w:spacing w:before="120" w:after="0"/>
        <w:jc w:val="left"/>
        <w:rPr>
          <w:rFonts w:ascii="Times New Roman" w:hAnsi="Times New Roman"/>
          <w:sz w:val="20"/>
        </w:rPr>
      </w:pPr>
      <w:r>
        <w:rPr>
          <w:rFonts w:ascii="Times New Roman" w:hAnsi="Times New Roman"/>
          <w:sz w:val="20"/>
        </w:rPr>
        <w:t xml:space="preserve">(d) If any Lender makes available to the Administrative Agent funds for any Loan to be made by such Lender as provided in the foregoing provisions of this </w:t>
      </w:r>
      <w:r>
        <w:rPr>
          <w:rFonts w:ascii="Times New Roman" w:hAnsi="Times New Roman"/>
          <w:sz w:val="20"/>
          <w:u w:val="single"/>
        </w:rPr>
        <w:t>Article II</w:t>
      </w:r>
      <w:r>
        <w:rPr>
          <w:rFonts w:ascii="Times New Roman" w:hAnsi="Times New Roman"/>
          <w:sz w:val="20"/>
        </w:rPr>
        <w:t xml:space="preserve">, and such funds are not made available to the Borrower by the Administrative Agent because the conditions to the Loans set forth in </w:t>
      </w:r>
      <w:r>
        <w:rPr>
          <w:rFonts w:ascii="Times New Roman" w:hAnsi="Times New Roman"/>
          <w:sz w:val="20"/>
          <w:u w:val="single"/>
        </w:rPr>
        <w:t>Article IV</w:t>
      </w:r>
      <w:r>
        <w:rPr>
          <w:rFonts w:ascii="Times New Roman" w:hAnsi="Times New Roman"/>
          <w:sz w:val="20"/>
        </w:rPr>
        <w:t xml:space="preserve"> are not satisfied or waived in accordance with the terms hereof, the Administrative Agent shall return such funds (in like funds as received from such Lender) to such Lender,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(e) The obligations of the Lenders hereunder to make Loans and to make payments pursuant to </w:t>
      </w:r>
      <w:r>
        <w:rPr>
          <w:rFonts w:ascii="Times New Roman" w:hAnsi="Times New Roman"/>
          <w:sz w:val="20"/>
          <w:u w:val="single"/>
        </w:rPr>
        <w:t>Section 10.07</w:t>
      </w:r>
      <w:r>
        <w:rPr>
          <w:rFonts w:ascii="Times New Roman" w:hAnsi="Times New Roman"/>
          <w:sz w:val="20"/>
        </w:rPr>
        <w:t xml:space="preserve">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 </w:t>
      </w:r>
    </w:p>
    <w:p>
      <w:pPr>
        <w:pStyle w:val="TextBody"/>
        <w:bidi w:val="0"/>
        <w:spacing w:before="120" w:after="0"/>
        <w:jc w:val="left"/>
        <w:rPr>
          <w:rFonts w:ascii="Times New Roman" w:hAnsi="Times New Roman"/>
          <w:sz w:val="20"/>
        </w:rPr>
      </w:pPr>
      <w:r>
        <w:rPr>
          <w:rFonts w:ascii="Times New Roman" w:hAnsi="Times New Roman"/>
          <w:sz w:val="20"/>
        </w:rPr>
        <w:t xml:space="preserve">(f) Nothing herein shall be deemed to obligate any Lender to obtain the funds for any Loan in any particular place or manner or to constitute a representation by any Lender that it has obtained or will obtain the funds for any Loan in any particular place or manner. </w:t>
      </w:r>
    </w:p>
    <w:p>
      <w:pPr>
        <w:pStyle w:val="TextBody"/>
        <w:bidi w:val="0"/>
        <w:spacing w:before="120" w:after="0"/>
        <w:jc w:val="left"/>
        <w:rPr>
          <w:rFonts w:ascii="Times New Roman" w:hAnsi="Times New Roman"/>
          <w:sz w:val="20"/>
        </w:rPr>
      </w:pPr>
      <w:r>
        <w:rPr>
          <w:rFonts w:ascii="Times New Roman" w:hAnsi="Times New Roman"/>
          <w:sz w:val="20"/>
        </w:rPr>
        <w:t xml:space="preserve">(g)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hAnsi="Times New Roman"/>
          <w:sz w:val="20"/>
          <w:u w:val="single"/>
        </w:rPr>
        <w:t>Section 9.03</w:t>
      </w:r>
      <w:r>
        <w:rPr>
          <w:rFonts w:ascii="Times New Roman" w:hAnsi="Times New Roman"/>
          <w:sz w:val="20"/>
        </w:rPr>
        <w:t xml:space="preserve">.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 </w:t>
      </w:r>
    </w:p>
    <w:p>
      <w:pPr>
        <w:pStyle w:val="TextBody"/>
        <w:bidi w:val="0"/>
        <w:spacing w:before="120" w:after="0"/>
        <w:jc w:val="left"/>
        <w:rPr>
          <w:rFonts w:ascii="Times New Roman" w:hAnsi="Times New Roman"/>
          <w:sz w:val="20"/>
        </w:rPr>
      </w:pPr>
      <w:r>
        <w:rPr>
          <w:rFonts w:ascii="Times New Roman" w:hAnsi="Times New Roman"/>
          <w:sz w:val="20"/>
        </w:rPr>
        <w:t xml:space="preserve">(h) If any Lender shall fail to make any payment required to be made by it pursuant to </w:t>
      </w:r>
      <w:r>
        <w:rPr>
          <w:rFonts w:ascii="Times New Roman" w:hAnsi="Times New Roman"/>
          <w:sz w:val="20"/>
          <w:u w:val="single"/>
        </w:rPr>
        <w:t>Section 2.02</w:t>
      </w:r>
      <w:r>
        <w:rPr>
          <w:rFonts w:ascii="Times New Roman" w:hAnsi="Times New Roman"/>
          <w:sz w:val="20"/>
        </w:rPr>
        <w:t xml:space="preserve">, </w:t>
      </w:r>
      <w:r>
        <w:rPr>
          <w:rFonts w:ascii="Times New Roman" w:hAnsi="Times New Roman"/>
          <w:sz w:val="20"/>
          <w:u w:val="single"/>
        </w:rPr>
        <w:t>2.10</w:t>
      </w:r>
      <w:r>
        <w:rPr>
          <w:rFonts w:ascii="Times New Roman" w:hAnsi="Times New Roman"/>
          <w:sz w:val="20"/>
        </w:rPr>
        <w:t xml:space="preserve"> or </w:t>
      </w:r>
      <w:r>
        <w:rPr>
          <w:rFonts w:ascii="Times New Roman" w:hAnsi="Times New Roman"/>
          <w:sz w:val="20"/>
          <w:u w:val="single"/>
        </w:rPr>
        <w:t>10.07</w:t>
      </w:r>
      <w:r>
        <w:rPr>
          <w:rFonts w:ascii="Times New Roman" w:hAnsi="Times New Roman"/>
          <w:sz w:val="20"/>
        </w:rPr>
        <w:t xml:space="preserve">, then the Administrative Agent may, in its discretion and notwithstanding any contrary provision hereof, (i) apply any amounts thereafter received by the Administrative Agent for the account of such Lender for the benefit of the Administrative Agent to satisfy such Lender’s obligations to the Administrative Agent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in any order as determined by the Administrative Agent in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b/>
          <w:sz w:val="20"/>
          <w:u w:val="single"/>
        </w:rPr>
        <w:t>Sharing of Payments, Etc.</w:t>
      </w:r>
      <w:r>
        <w:rPr>
          <w:rFonts w:ascii="Times New Roman" w:hAnsi="Times New Roman"/>
          <w:sz w:val="20"/>
        </w:rPr>
        <w:t xml:space="preserve">. If, other than as expressly provided elsewhere herein, any Lender shall obtain payment in respect of any principal of or interest on account of the Loans made by it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as shall be necessary to cause such purchasing Lender to share the excess payment in respect of such Loans, pro rata with each of them; </w:t>
      </w:r>
      <w:r>
        <w:rPr>
          <w:rFonts w:ascii="Times New Roman" w:hAnsi="Times New Roman"/>
          <w:i/>
          <w:sz w:val="20"/>
        </w:rPr>
        <w:t xml:space="preserve">provided </w:t>
      </w:r>
      <w:r>
        <w:rPr>
          <w:rFonts w:ascii="Times New Roman" w:hAnsi="Times New Roman"/>
          <w:sz w:val="20"/>
        </w:rPr>
        <w:t xml:space="preserve">that if all or any portion of such excess payment is thereafter recovered from the purchasing Lender under any of the circumstances described in </w:t>
      </w:r>
      <w:r>
        <w:rPr>
          <w:rFonts w:ascii="Times New Roman" w:hAnsi="Times New Roman"/>
          <w:sz w:val="20"/>
          <w:u w:val="single"/>
        </w:rPr>
        <w:t>Section 11.06</w:t>
      </w:r>
      <w:r>
        <w:rPr>
          <w:rFonts w:ascii="Times New Roman" w:hAnsi="Times New Roman"/>
          <w:sz w:val="20"/>
        </w:rPr>
        <w:t xml:space="preserve"> (including pursuant to any settlement entered into by the purchasing Lender in its discretion), such purchase shall to that extent be rescinded and each relevant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provisions of this paragraph shall not be construed to apply to (A) any payment made by the Borrower pursuant to and in accordance with the express terms of this Agreement as in effect from time to time (including 11.07), (B) any payment obtained by a Lender as consideration for the assignment of or sale of a participation in any of its Loans to any assignee or participant permitted hereunder or (C) any payment received by such Lender not in its capacity as a Lender. The Borrower agrees that any Lender so purchasing a participation from another Lender may, to the fullest extent permitted by applicable Law, exercise all its rights of payment (including the right of setoff, but subject to </w:t>
      </w:r>
      <w:r>
        <w:rPr>
          <w:rFonts w:ascii="Times New Roman" w:hAnsi="Times New Roman"/>
          <w:sz w:val="20"/>
          <w:u w:val="single"/>
        </w:rPr>
        <w:t>Section 11.09</w:t>
      </w:r>
      <w:r>
        <w:rPr>
          <w:rFonts w:ascii="Times New Roman" w:hAnsi="Times New Roman"/>
          <w:sz w:val="20"/>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hAnsi="Times New Roman"/>
          <w:sz w:val="20"/>
          <w:u w:val="single"/>
        </w:rPr>
        <w:t>Section 2.10</w:t>
      </w:r>
      <w:r>
        <w:rPr>
          <w:rFonts w:ascii="Times New Roman" w:hAnsi="Times New Roman"/>
          <w:sz w:val="20"/>
        </w:rPr>
        <w:t xml:space="preserve"> and will in each case notify the Lenders following any such purchases or repayments. Each Lender that purchases a participation pursuant to this </w:t>
      </w:r>
      <w:r>
        <w:rPr>
          <w:rFonts w:ascii="Times New Roman" w:hAnsi="Times New Roman"/>
          <w:sz w:val="20"/>
          <w:u w:val="single"/>
        </w:rPr>
        <w:t>Section 2.10</w:t>
      </w:r>
      <w:r>
        <w:rPr>
          <w:rFonts w:ascii="Times New Roman" w:hAnsi="Times New Roman"/>
          <w:sz w:val="20"/>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Defaulting Lender Adjustments</w:t>
      </w:r>
      <w:r>
        <w:rPr>
          <w:rFonts w:ascii="Times New Roman" w:hAnsi="Times New Roman"/>
          <w:sz w:val="20"/>
        </w:rPr>
        <w:t xml:space="preserve">. 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Article IX</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11.09</w:t>
      </w:r>
      <w:r>
        <w:rPr>
          <w:rFonts w:ascii="Times New Roman" w:hAnsi="Times New Roman"/>
          <w:sz w:val="20"/>
        </w:rPr>
        <w:t xml:space="preserve">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i/>
          <w:sz w:val="20"/>
        </w:rPr>
        <w:t>second</w:t>
      </w:r>
      <w:r>
        <w:rPr>
          <w:rFonts w:ascii="Times New Roman" w:hAnsi="Times New Roman"/>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sz w:val="20"/>
        </w:rPr>
        <w:t>third</w:t>
      </w:r>
      <w:r>
        <w:rPr>
          <w:rFonts w:ascii="Times New Roman" w:hAnsi="Times New Roman"/>
          <w:sz w:val="20"/>
        </w:rPr>
        <w:t xml:space="preserve">, if so determined by the Administrative Agent and the Borrower, to be held in a deposit account and released pro rata in order to satisfy such Defaulting Lender’s potential future funding obligations with respect to Loans under this Agreement (solely to the extent any such obligation exists); </w:t>
      </w:r>
      <w:r>
        <w:rPr>
          <w:rFonts w:ascii="Times New Roman" w:hAnsi="Times New Roman"/>
          <w:i/>
          <w:sz w:val="20"/>
        </w:rPr>
        <w:t>fourth</w:t>
      </w:r>
      <w:r>
        <w:rPr>
          <w:rFonts w:ascii="Times New Roman" w:hAnsi="Times New Roman"/>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i/>
          <w:sz w:val="20"/>
        </w:rPr>
        <w:t>fifth</w:t>
      </w:r>
      <w:r>
        <w:rPr>
          <w:rFonts w:ascii="Times New Roman" w:hAnsi="Times New Roman"/>
          <w:sz w:val="20"/>
        </w:rPr>
        <w:t xml:space="preserve">, so long as no Event of Default shall have occurred and be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sz w:val="20"/>
        </w:rPr>
        <w:t>sixth</w:t>
      </w:r>
      <w:r>
        <w:rPr>
          <w:rFonts w:ascii="Times New Roman" w:hAnsi="Times New Roman"/>
          <w:sz w:val="20"/>
        </w:rPr>
        <w:t xml:space="preserve">, to such Defaulting Lender or as otherwise directed by a court of competent jurisdiction; </w:t>
      </w:r>
      <w:r>
        <w:rPr>
          <w:rFonts w:ascii="Times New Roman" w:hAnsi="Times New Roman"/>
          <w:i/>
          <w:sz w:val="20"/>
        </w:rPr>
        <w:t xml:space="preserve">provided </w:t>
      </w:r>
      <w:r>
        <w:rPr>
          <w:rFonts w:ascii="Times New Roman" w:hAnsi="Times New Roman"/>
          <w:sz w:val="20"/>
        </w:rPr>
        <w:t xml:space="preserve">that if (1) such payment is a payment of the principal amount of any Loans in respect of which such Defaulting Lender has not fully funded its appropriate share, and (2) such Loans were made at a time when the conditions set forth in </w:t>
      </w:r>
      <w:r>
        <w:rPr>
          <w:rFonts w:ascii="Times New Roman" w:hAnsi="Times New Roman"/>
          <w:sz w:val="20"/>
          <w:u w:val="single"/>
        </w:rPr>
        <w:t>Sections 4.01</w:t>
      </w:r>
      <w:r>
        <w:rPr>
          <w:rFonts w:ascii="Times New Roman" w:hAnsi="Times New Roman"/>
          <w:sz w:val="20"/>
        </w:rPr>
        <w:t xml:space="preserve"> and </w:t>
      </w:r>
      <w:r>
        <w:rPr>
          <w:rFonts w:ascii="Times New Roman" w:hAnsi="Times New Roman"/>
          <w:sz w:val="20"/>
          <w:u w:val="single"/>
        </w:rPr>
        <w:t>4.02</w:t>
      </w:r>
      <w:r>
        <w:rPr>
          <w:rFonts w:ascii="Times New Roman" w:hAnsi="Times New Roman"/>
          <w:sz w:val="20"/>
        </w:rPr>
        <w:t xml:space="preserve"> were satisfied or waived, such payment shall be applied solely to pay the Loans of all Non-Defaulting Lenders on a </w:t>
      </w:r>
      <w:r>
        <w:rPr>
          <w:rFonts w:ascii="Times New Roman" w:hAnsi="Times New Roman"/>
          <w:i/>
          <w:sz w:val="20"/>
        </w:rPr>
        <w:t xml:space="preserve">pro rata </w:t>
      </w:r>
      <w:r>
        <w:rPr>
          <w:rFonts w:ascii="Times New Roman" w:hAnsi="Times New Roman"/>
          <w:sz w:val="20"/>
        </w:rPr>
        <w:t xml:space="preserve">basis prior to being applied to the payment of any Loans of such Defaulting Lender until such time as all Loans are held by the Lenders pro rata in accordance with the applicable Commitments. Any payments, prepayments or other amounts paid or payable to a Defaulting Lender that are applied (or held) to pay amounts owed by a Defaulting Lender pursuant to this </w:t>
      </w:r>
      <w:r>
        <w:rPr>
          <w:rFonts w:ascii="Times New Roman" w:hAnsi="Times New Roman"/>
          <w:sz w:val="20"/>
          <w:u w:val="single"/>
        </w:rPr>
        <w:t>Section 2.11(a)(i)</w:t>
      </w:r>
      <w:r>
        <w:rPr>
          <w:rFonts w:ascii="Times New Roman" w:hAnsi="Times New Roman"/>
          <w:sz w:val="20"/>
        </w:rPr>
        <w:t xml:space="preserve"> shall be deemed paid to and redirected by such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[Reserved].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to be held pro rata by the Lenders in accordance with the applicable Commitments whereupon such Lender will cease to be a Defaulting Lender; </w:t>
      </w:r>
      <w:r>
        <w:rPr>
          <w:rFonts w:ascii="Times New Roman" w:hAnsi="Times New Roman"/>
          <w:i/>
          <w:sz w:val="20"/>
        </w:rPr>
        <w:t xml:space="preserve">provided </w:t>
      </w:r>
      <w:r>
        <w:rPr>
          <w:rFonts w:ascii="Times New Roman" w:hAnsi="Times New Roman"/>
          <w:sz w:val="20"/>
        </w:rPr>
        <w:t xml:space="preserve">that except to the extent otherwise expressly agreed by the affected parties, no change hereunder from Defaulting Lender to Lender will constitute a waiver or release of any claim of any party hereunder arising from that Lender having been a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r>
        <w:rPr>
          <w:rFonts w:ascii="Times New Roman" w:hAnsi="Times New Roman"/>
          <w:b/>
          <w:sz w:val="20"/>
          <w:u w:val="single"/>
        </w:rPr>
        <w:t>Judgment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 </w:t>
      </w:r>
    </w:p>
    <w:p>
      <w:pPr>
        <w:pStyle w:val="TextBody"/>
        <w:bidi w:val="0"/>
        <w:spacing w:before="120" w:after="0"/>
        <w:jc w:val="left"/>
        <w:rPr>
          <w:rFonts w:ascii="Times New Roman" w:hAnsi="Times New Roman"/>
          <w:sz w:val="20"/>
        </w:rPr>
      </w:pPr>
      <w:r>
        <w:rPr>
          <w:rFonts w:ascii="Times New Roman" w:hAnsi="Times New Roman"/>
          <w:sz w:val="20"/>
        </w:rPr>
        <w:t>(b) The obligations of the Borrower in respect of any sum due to any party hereto or any holder of the obligations owing hereunder (the “</w:t>
      </w:r>
      <w:r>
        <w:rPr>
          <w:rFonts w:ascii="Times New Roman" w:hAnsi="Times New Roman"/>
          <w:b/>
          <w:sz w:val="20"/>
        </w:rPr>
        <w:t>Applicable Creditor</w:t>
      </w:r>
      <w:r>
        <w:rPr>
          <w:rFonts w:ascii="Times New Roman" w:hAnsi="Times New Roman"/>
          <w:sz w:val="20"/>
        </w:rPr>
        <w:t>”) shall, notwithstanding any judgment in a currency (the “</w:t>
      </w:r>
      <w:r>
        <w:rPr>
          <w:rFonts w:ascii="Times New Roman" w:hAnsi="Times New Roman"/>
          <w:b/>
          <w:sz w:val="20"/>
        </w:rPr>
        <w:t>Judgment Currency</w:t>
      </w:r>
      <w:r>
        <w:rPr>
          <w:rFonts w:ascii="Times New Roman" w:hAnsi="Times New Roman"/>
          <w:sz w:val="20"/>
        </w:rPr>
        <w:t>”) other than the currency in which such sum is stated to be due hereunder (the “</w:t>
      </w:r>
      <w:r>
        <w:rPr>
          <w:rFonts w:ascii="Times New Roman" w:hAnsi="Times New Roman"/>
          <w:b/>
          <w:sz w:val="20"/>
        </w:rPr>
        <w:t>Agreement Currency</w:t>
      </w:r>
      <w:r>
        <w:rPr>
          <w:rFonts w:ascii="Times New Roman" w:hAnsi="Times New Roman"/>
          <w:sz w:val="20"/>
        </w:rPr>
        <w:t xml:space="preserve">”),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as a separate obligation and notwithstanding any such judgment, agree to indemnify the Applicable Creditor against such loss. The obligations of the Borrower contained in this Section shall survive the termination of this Agreement and the payment of all other amounts owing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TAXES, INCREASED COSTS PROTECTION AND ILLEGALITY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as required by applicable Law, any and all payments by the Borrower or any Guarantor to or for the account of any Agent or Lender under any Loan Document shall be made free and clear of and without deduction for any and all present or future taxes, duties, levies, imposts, deductions, assessments, fees, withholdings or similar charges imposed by any Governmental Authority, and all additions to tax, penalties and interest with respect thereto (“</w:t>
      </w:r>
      <w:r>
        <w:rPr>
          <w:rFonts w:ascii="Times New Roman" w:hAnsi="Times New Roman"/>
          <w:b/>
          <w:sz w:val="20"/>
        </w:rPr>
        <w:t>Taxes</w:t>
      </w:r>
      <w:r>
        <w:rPr>
          <w:rFonts w:ascii="Times New Roman" w:hAnsi="Times New Roman"/>
          <w:sz w:val="20"/>
        </w:rPr>
        <w:t xml:space="preserve">”). If an applicable Withholding Agent is required to deduct any Taxes from or in respect of any sum payable under any Loan Document to any Agent or Lender, (i) if such Taxes are Indemnified Taxes, the sum payable shall be increased as necessary so that after making all required deductions (including deductions applicable to additional sums payable under this </w:t>
      </w:r>
      <w:r>
        <w:rPr>
          <w:rFonts w:ascii="Times New Roman" w:hAnsi="Times New Roman"/>
          <w:sz w:val="20"/>
          <w:u w:val="single"/>
        </w:rPr>
        <w:t>Section 3.01(a)(i)</w:t>
      </w:r>
      <w:r>
        <w:rPr>
          <w:rFonts w:ascii="Times New Roman" w:hAnsi="Times New Roman"/>
          <w:sz w:val="20"/>
        </w:rPr>
        <w:t xml:space="preserve">), each of such Agent or Lender receives an amount equal to the sum it would have received had no such deductions for Indemnified Taxes been made, (ii) the applicable Withholding Agent shall make such deductions, (iii) the applicable Withholding Agent shall pay the full amount deducted to the relevant taxing authority, and (iv) as soon as practicable after any such payment by the Borrower or any Guarantor, the Borrower or applicable Guarantor shall furnish to such Agent or Lender (as the case may be) the original or a facsimile copy of a receipt evidencing payment thereof to the extent such a receipt has been made available to the Borrower or applicable Guarantor (or other evidence of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Agent or Lender (including an Eligible Assignee to which a Lender assigns its interest in accordance with </w:t>
      </w:r>
      <w:r>
        <w:rPr>
          <w:rFonts w:ascii="Times New Roman" w:hAnsi="Times New Roman"/>
          <w:sz w:val="20"/>
          <w:u w:val="single"/>
        </w:rPr>
        <w:t>Section 11.07</w:t>
      </w:r>
      <w:r>
        <w:rPr>
          <w:rFonts w:ascii="Times New Roman" w:hAnsi="Times New Roman"/>
          <w:sz w:val="20"/>
        </w:rPr>
        <w:t xml:space="preserve">, unless such Eligible Assignee is already a Lender hereunder) that is entitled to an exemption from or reduction of withholding Tax with respect to payments made under any Loan Document shall deliver to the Borrower and Administrative Agent, at the time or times reasonably requested by the Borrower and Administrative Agent, such properly completed and executed documentation reasonably requested by the Borrower and Administrative Agent as will permit such payments to be made without withholding or at a reduced rate of withholding. In addition, any such Agent, Lender or Eligible Assignee, if reasonably requested by the Borrower and Administrative Agent, shall deliver such other documentation prescribed by applicable law or reasonably requested by the Borrower and Administrative Agent as will enable the Borrower and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Sections 3.01(b)(i)</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below) shall not be required if in such Lender’s, Agent’s or Eligible Assignee’s reasonable judgment such completion, execution or submission would subject such Agent, Lender or Eligible Assignee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 Without limiting the generality of the foregoing, to the extent it is legally able to do so, each Agent or Lender (including an Eligible Assignee to which a Lender assigns its interest in accordance with </w:t>
      </w:r>
      <w:r>
        <w:rPr>
          <w:rFonts w:ascii="Times New Roman" w:hAnsi="Times New Roman"/>
          <w:sz w:val="20"/>
          <w:u w:val="single"/>
        </w:rPr>
        <w:t>Section 11.07</w:t>
      </w:r>
      <w:r>
        <w:rPr>
          <w:rFonts w:ascii="Times New Roman" w:hAnsi="Times New Roman"/>
          <w:sz w:val="20"/>
        </w:rPr>
        <w:t>, unless such Eligible Assignee is already a Lender hereunder) that is not a “United States person” within the meaning of Section 7701(a)(30) of the Code (each, a “</w:t>
      </w:r>
      <w:r>
        <w:rPr>
          <w:rFonts w:ascii="Times New Roman" w:hAnsi="Times New Roman"/>
          <w:b/>
          <w:sz w:val="20"/>
        </w:rPr>
        <w:t>Foreign Lender</w:t>
      </w:r>
      <w:r>
        <w:rPr>
          <w:rFonts w:ascii="Times New Roman" w:hAnsi="Times New Roman"/>
          <w:sz w:val="20"/>
        </w:rPr>
        <w:t xml:space="preserve">”) agrees to complete and deliver to the Borrower and the Administrative Agent on or prior to the date on which the Foreign Lender becomes a party hereto (and from time to time thereafter upon the reasonable request of the Borrower or the Administrative Agent), two accurate, complete and duly executed copies of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Foreign Lender claiming the benefits of an income tax treaty to which the United States is a party, (1) with respect to the payments of interest under any Loan Document, IRS Form W-8BEN or Form W-8BEN-E establishing an exemption from, or reduction of, U.S. federal withholding Tax pursuant to the “interest” article of such tax treaty, and (2) with respect to any other applicable payments under any Loan Document, IRS Form W-8BEN or IRS Form W-8BEN-E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(B) IRS Form W-8ECI certifying that the income receivable pursuant to any Loan Document is effectively connected with the conduct of a trade or business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in the case of a Foreign Lender claiming the benefits of the exemption for portfolio interest under Section 881(c) of the Code, (1) a certificate substantially in the form of Exhibit G-1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hAnsi="Times New Roman"/>
          <w:b/>
          <w:sz w:val="20"/>
        </w:rPr>
        <w:t>U.S. Tax Compliance Certificate</w:t>
      </w:r>
      <w:r>
        <w:rPr>
          <w:rFonts w:ascii="Times New Roman" w:hAnsi="Times New Roman"/>
          <w:sz w:val="20"/>
        </w:rPr>
        <w:t xml:space="preserve">”) and (2) an IRS Form W-8BEN or Form W-8BEN-E, certifying that the Foreign Lender is not a United States person;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a Foreign Lender is not the beneficial owner for U.S. federal income tax purposes, IRS Form W-8IMY (or any successor forms) of the Foreign Lender, accompanied by, as and to the extent applicable, an IRS Form W-8BEN, Form W-8BEN-E, Form W-8ECI, a U.S. Tax Compliance Certificate substantially in the form of Exhibit G-2 or Exhibit G-3, Form W-9, Form W-8IMY (or other successor forms) and any other required supporting information from each beneficial owner;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any Foreign Lender shall, to the extent it is legally entitled to do so, deliver to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accurate, complete and duly executed copies of any other form prescribed by applicable requirements of applicable Law as a basis for claiming exemption from or a reduction in U.S. federal withholding Tax, together with such supplementary documentation as may be prescribed by applicable requirements of law to permit the Borrower and the Administrative Agent to determine the withholding or deduction required to be made. </w:t>
      </w:r>
    </w:p>
    <w:p>
      <w:pPr>
        <w:pStyle w:val="TextBody"/>
        <w:bidi w:val="0"/>
        <w:spacing w:before="120" w:after="0"/>
        <w:jc w:val="left"/>
        <w:rPr>
          <w:rFonts w:ascii="Times New Roman" w:hAnsi="Times New Roman"/>
          <w:sz w:val="20"/>
        </w:rPr>
      </w:pPr>
      <w:r>
        <w:rPr>
          <w:rFonts w:ascii="Times New Roman" w:hAnsi="Times New Roman"/>
          <w:sz w:val="20"/>
        </w:rPr>
        <w:t xml:space="preserve">(c) In addition, each Agent, Lender or Eligible Assignee shall, to the extent it is legally entitled to do so, (i) promptly submit to the Borrower and the Administrative Agent two accurate, complete and duly executed copies of such other or additional forms or certificates (or such successor forms or certificates as shall be adopted from time to time by the relevant taxing authorities) as may then be applicable or available to secure an exemption from or reduction in the rate of withholding Tax (1) on or before the date that such Agent’s, Lender’s or Eligible Assignee’s most recently delivered form, certificate or other evidence expires or becomes obsolete or inaccurate in any material respect, (2) after the occurrence of a change in such Agent’s, Lender’s or Eligible Assignee’s circumstances requiring a change in the most recent form, certificate or evidence previously delivered by it to the Borrower and the Administrative Agent, and (3) from time to time thereafter if reasonably requested by the Borrower or the Administrative Agent, and (ii) promptly notify the Borrower and the Administrative Agent of any change in such Agent’s, Lender’s or Eligible Assignee’s circumstances that would modify or render invalid any claimed exemption or reduction. This </w:t>
      </w:r>
      <w:r>
        <w:rPr>
          <w:rFonts w:ascii="Times New Roman" w:hAnsi="Times New Roman"/>
          <w:sz w:val="20"/>
          <w:u w:val="single"/>
        </w:rPr>
        <w:t>Section 3.01(c)</w:t>
      </w:r>
      <w:r>
        <w:rPr>
          <w:rFonts w:ascii="Times New Roman" w:hAnsi="Times New Roman"/>
          <w:sz w:val="20"/>
        </w:rPr>
        <w:t xml:space="preserve"> shall not apply to any reporting requirements under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to deduct and withhold from such payment. Solely for purposes of this </w:t>
      </w:r>
      <w:r>
        <w:rPr>
          <w:rFonts w:ascii="Times New Roman" w:hAnsi="Times New Roman"/>
          <w:sz w:val="20"/>
          <w:u w:val="single"/>
        </w:rPr>
        <w:t>Section 3.01(d)</w:t>
      </w:r>
      <w:r>
        <w:rPr>
          <w:rFonts w:ascii="Times New Roman" w:hAnsi="Times New Roman"/>
          <w:sz w:val="20"/>
        </w:rPr>
        <w:t xml:space="preserve">, “FATCA” shall include any amendments made to FATCA after the date of this Agreement. Each Lender agrees that if any form or certification it previously delivered expires or becomes obsolete or inaccurate in any respect, it shall update such form or certification or promptly notify Borrower and Administrative Agent in writing of its legal inability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(e) Without limiting the generality of </w:t>
      </w:r>
      <w:r>
        <w:rPr>
          <w:rFonts w:ascii="Times New Roman" w:hAnsi="Times New Roman"/>
          <w:sz w:val="20"/>
          <w:u w:val="single"/>
        </w:rPr>
        <w:t>Section 3.01(b)</w:t>
      </w:r>
      <w:r>
        <w:rPr>
          <w:rFonts w:ascii="Times New Roman" w:hAnsi="Times New Roman"/>
          <w:sz w:val="20"/>
        </w:rPr>
        <w:t>, each Agent and Lender that is a “United States person” (within the meaning of Section 7701(a)(30) of the Code) (each, a “</w:t>
      </w:r>
      <w:r>
        <w:rPr>
          <w:rFonts w:ascii="Times New Roman" w:hAnsi="Times New Roman"/>
          <w:b/>
          <w:sz w:val="20"/>
        </w:rPr>
        <w:t>U.S. Lender</w:t>
      </w:r>
      <w:r>
        <w:rPr>
          <w:rFonts w:ascii="Times New Roman" w:hAnsi="Times New Roman"/>
          <w:sz w:val="20"/>
        </w:rPr>
        <w:t xml:space="preserve">”) agrees to complete and deliver to the Borrower and the Administrative Agent two copies of accurate, complete and duly executed IRS Form W-9 or successor form certifying that such U.S. Lender is not subject to U.S. federal backup withholding Tax (i) on or prior to the Closing Date (or on or prior to the date it becomes a party to this Agreement), (ii) on or before the date that such form expires or becomes obsolete or inaccurate in any material respect, (iii) after the occurrence of a change in the U.S. Lender’s circumstances requiring a change in the most recent form previously delivered by it to the Borrower and the Administrative Agent, and (iv) from time to time thereafter if reasonably requested by the Borrower or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(f) Without duplication of any amounts payable under </w:t>
      </w:r>
      <w:r>
        <w:rPr>
          <w:rFonts w:ascii="Times New Roman" w:hAnsi="Times New Roman"/>
          <w:sz w:val="20"/>
          <w:u w:val="single"/>
        </w:rPr>
        <w:t>Sections 3.01(a)</w:t>
      </w:r>
      <w:r>
        <w:rPr>
          <w:rFonts w:ascii="Times New Roman" w:hAnsi="Times New Roman"/>
          <w:sz w:val="20"/>
        </w:rPr>
        <w:t xml:space="preserve"> or </w:t>
      </w:r>
      <w:r>
        <w:rPr>
          <w:rFonts w:ascii="Times New Roman" w:hAnsi="Times New Roman"/>
          <w:sz w:val="20"/>
          <w:u w:val="single"/>
        </w:rPr>
        <w:t>3.01(g)</w:t>
      </w:r>
      <w:r>
        <w:rPr>
          <w:rFonts w:ascii="Times New Roman" w:hAnsi="Times New Roman"/>
          <w:sz w:val="20"/>
        </w:rPr>
        <w:t xml:space="preserve">, the Borrower agrees to pay any and all present or future stamp, court or documentary intangible, recording, filing, mortgage recording or similar Taxes that arise from any payment made under any Loan Document or from the execution, delivery, performance, enforcement or registration of, or otherwise with respect to, any Loan Document excluding, in each case, such amounts that are Other Connection Taxes imposed in connection with an Assignment and Assumption, grant of a participation, transfer or assignment to or designation of a new applicable Lending Office or other office for receiving payments under any Loan Document, except to the extent that any such change is requested in writing by the Borrower (all such Taxes described in this </w:t>
      </w:r>
      <w:r>
        <w:rPr>
          <w:rFonts w:ascii="Times New Roman" w:hAnsi="Times New Roman"/>
          <w:sz w:val="20"/>
          <w:u w:val="single"/>
        </w:rPr>
        <w:t>Section 3.01(f)</w:t>
      </w:r>
      <w:r>
        <w:rPr>
          <w:rFonts w:ascii="Times New Roman" w:hAnsi="Times New Roman"/>
          <w:sz w:val="20"/>
        </w:rPr>
        <w:t>, other than Excluded Taxes, being hereinafter referred to as “</w:t>
      </w:r>
      <w:r>
        <w:rPr>
          <w:rFonts w:ascii="Times New Roman" w:hAnsi="Times New Roman"/>
          <w:b/>
          <w:sz w:val="20"/>
        </w:rPr>
        <w:t>Other Taxes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Without duplication of any amounts payable under </w:t>
      </w:r>
      <w:r>
        <w:rPr>
          <w:rFonts w:ascii="Times New Roman" w:hAnsi="Times New Roman"/>
          <w:sz w:val="20"/>
          <w:u w:val="single"/>
        </w:rPr>
        <w:t>Sections 3.01(a)</w:t>
      </w:r>
      <w:r>
        <w:rPr>
          <w:rFonts w:ascii="Times New Roman" w:hAnsi="Times New Roman"/>
          <w:sz w:val="20"/>
        </w:rPr>
        <w:t xml:space="preserve"> or </w:t>
      </w:r>
      <w:r>
        <w:rPr>
          <w:rFonts w:ascii="Times New Roman" w:hAnsi="Times New Roman"/>
          <w:sz w:val="20"/>
          <w:u w:val="single"/>
        </w:rPr>
        <w:t>3.01(f)</w:t>
      </w:r>
      <w:r>
        <w:rPr>
          <w:rFonts w:ascii="Times New Roman" w:hAnsi="Times New Roman"/>
          <w:sz w:val="20"/>
        </w:rPr>
        <w:t xml:space="preserve">, if any Indemnified Taxes are directly asserted against any Agent or Lender with respect to any payment received by such Agent or Lender in respect of any Loan Document, such Agent or Lender may pay such Indemnified Taxes and the Borrower will promptly indemnify and hold harmless such Agent or Lender for the full amount of such Indemnified Taxes imposed on amounts payable under this </w:t>
      </w:r>
      <w:r>
        <w:rPr>
          <w:rFonts w:ascii="Times New Roman" w:hAnsi="Times New Roman"/>
          <w:sz w:val="20"/>
          <w:u w:val="single"/>
        </w:rPr>
        <w:t>Section 3.01</w:t>
      </w:r>
      <w:r>
        <w:rPr>
          <w:rFonts w:ascii="Times New Roman" w:hAnsi="Times New Roman"/>
          <w:sz w:val="20"/>
        </w:rPr>
        <w:t xml:space="preserve">), and any reasonable expenses arising therefrom or with respect thereto (other than any expenses or penalties determined by a court of competent jurisdiction by a final and nonappealable judgment to have resulted from the gross negligence or willful misconduct of such Recipient), whether or not such Indemnified Taxes were correctly or legally imposed or asserted. Payments under this </w:t>
      </w:r>
      <w:r>
        <w:rPr>
          <w:rFonts w:ascii="Times New Roman" w:hAnsi="Times New Roman"/>
          <w:sz w:val="20"/>
          <w:u w:val="single"/>
        </w:rPr>
        <w:t>Section 3.01(g)</w:t>
      </w:r>
      <w:r>
        <w:rPr>
          <w:rFonts w:ascii="Times New Roman" w:hAnsi="Times New Roman"/>
          <w:sz w:val="20"/>
        </w:rPr>
        <w:t xml:space="preserve"> shall be made within ten (10) days after the date the Borrower receive written demand for payment from such Agent or Lender. </w:t>
      </w:r>
    </w:p>
    <w:p>
      <w:pPr>
        <w:pStyle w:val="TextBody"/>
        <w:bidi w:val="0"/>
        <w:spacing w:before="120" w:after="0"/>
        <w:jc w:val="left"/>
        <w:rPr>
          <w:rFonts w:ascii="Times New Roman" w:hAnsi="Times New Roman"/>
          <w:sz w:val="20"/>
        </w:rPr>
      </w:pPr>
      <w:r>
        <w:rPr>
          <w:rFonts w:ascii="Times New Roman" w:hAnsi="Times New Roman"/>
          <w:sz w:val="20"/>
        </w:rPr>
        <w:t>(h) A Participant shall comply with the provisions of Sections</w:t>
      </w:r>
      <w:r>
        <w:rPr>
          <w:rFonts w:ascii="Times New Roman" w:hAnsi="Times New Roman"/>
          <w:sz w:val="20"/>
          <w:u w:val="single"/>
        </w:rPr>
        <w:t> 3.01(b)</w:t>
      </w:r>
      <w:r>
        <w:rPr>
          <w:rFonts w:ascii="Times New Roman" w:hAnsi="Times New Roman"/>
          <w:sz w:val="20"/>
        </w:rPr>
        <w:t xml:space="preserve">, </w:t>
      </w:r>
      <w:r>
        <w:rPr>
          <w:rFonts w:ascii="Times New Roman" w:hAnsi="Times New Roman"/>
          <w:sz w:val="20"/>
          <w:u w:val="single"/>
        </w:rPr>
        <w:t>3.01(c)</w:t>
      </w:r>
      <w:r>
        <w:rPr>
          <w:rFonts w:ascii="Times New Roman" w:hAnsi="Times New Roman"/>
          <w:sz w:val="20"/>
        </w:rPr>
        <w:t xml:space="preserve">, </w:t>
      </w:r>
      <w:r>
        <w:rPr>
          <w:rFonts w:ascii="Times New Roman" w:hAnsi="Times New Roman"/>
          <w:sz w:val="20"/>
          <w:u w:val="single"/>
        </w:rPr>
        <w:t>3.01(d)</w:t>
      </w:r>
      <w:r>
        <w:rPr>
          <w:rFonts w:ascii="Times New Roman" w:hAnsi="Times New Roman"/>
          <w:sz w:val="20"/>
        </w:rPr>
        <w:t xml:space="preserve"> and 3.01(e) hereof and shall not be entitled to receive any greater payment under this </w:t>
      </w:r>
      <w:r>
        <w:rPr>
          <w:rFonts w:ascii="Times New Roman" w:hAnsi="Times New Roman"/>
          <w:sz w:val="20"/>
          <w:u w:val="single"/>
        </w:rPr>
        <w:t>Section 3.01</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the Borrower’s prior written consent or such entitlement to a greater payment results from a Change in Law that occurs after the Participant acquired the participation. </w:t>
      </w:r>
    </w:p>
    <w:p>
      <w:pPr>
        <w:pStyle w:val="TextBody"/>
        <w:bidi w:val="0"/>
        <w:spacing w:before="120" w:after="0"/>
        <w:jc w:val="left"/>
        <w:rPr>
          <w:rFonts w:ascii="Times New Roman" w:hAnsi="Times New Roman"/>
          <w:sz w:val="20"/>
        </w:rPr>
      </w:pPr>
      <w:r>
        <w:rPr>
          <w:rFonts w:ascii="Times New Roman" w:hAnsi="Times New Roman"/>
          <w:sz w:val="20"/>
        </w:rPr>
        <w:t xml:space="preserve">(i) If any Agent, Lender or Participant determines, in its sole discretion, exercised in good faith, that it has received a refund in respect of any Taxes as to which it has been indemnified by the Borrower or any Guarantor, as the case may be, or with respect to which the Borrower or any Guarantor, as the case may be, has paid additional amounts pursuant to this </w:t>
      </w:r>
      <w:r>
        <w:rPr>
          <w:rFonts w:ascii="Times New Roman" w:hAnsi="Times New Roman"/>
          <w:sz w:val="20"/>
          <w:u w:val="single"/>
        </w:rPr>
        <w:t>Section 3.01</w:t>
      </w:r>
      <w:r>
        <w:rPr>
          <w:rFonts w:ascii="Times New Roman" w:hAnsi="Times New Roman"/>
          <w:sz w:val="20"/>
        </w:rPr>
        <w:t xml:space="preserve">, it shall promptly pay to the indemnifying party an amount equal to such refund (but only to the extent of indemnity payments made, or additional amounts paid, by the indemnifying party under this </w:t>
      </w:r>
      <w:r>
        <w:rPr>
          <w:rFonts w:ascii="Times New Roman" w:hAnsi="Times New Roman"/>
          <w:sz w:val="20"/>
          <w:u w:val="single"/>
        </w:rPr>
        <w:t>Section 3.01</w:t>
      </w:r>
      <w:r>
        <w:rPr>
          <w:rFonts w:ascii="Times New Roman" w:hAnsi="Times New Roman"/>
          <w:sz w:val="20"/>
        </w:rPr>
        <w:t xml:space="preserve"> with respect to the Taxes giving rise to such refund), net of all reasonable out-of-pocket expenses incurred by such indemnified party and without interest (other than any interest paid by the relevant Governmental Authority with respect to such refund), </w:t>
      </w:r>
      <w:r>
        <w:rPr>
          <w:rFonts w:ascii="Times New Roman" w:hAnsi="Times New Roman"/>
          <w:i/>
          <w:sz w:val="20"/>
        </w:rPr>
        <w:t xml:space="preserve">provided </w:t>
      </w:r>
      <w:r>
        <w:rPr>
          <w:rFonts w:ascii="Times New Roman" w:hAnsi="Times New Roman"/>
          <w:sz w:val="20"/>
        </w:rPr>
        <w:t>that the Borrower or applicable Guarantor, as the case may be, upon the request of such indemnified party, agrees to repay the amount paid over to the Borrower or applicable Guarantor, as the case may be (</w:t>
      </w:r>
      <w:r>
        <w:rPr>
          <w:rFonts w:ascii="Times New Roman" w:hAnsi="Times New Roman"/>
          <w:i/>
          <w:sz w:val="20"/>
          <w:u w:val="single"/>
        </w:rPr>
        <w:t>plus</w:t>
      </w:r>
      <w:r>
        <w:rPr>
          <w:rFonts w:ascii="Times New Roman" w:hAnsi="Times New Roman"/>
          <w:sz w:val="20"/>
        </w:rPr>
        <w:t xml:space="preserve"> any penalties, interest or other charges imposed by the relevant Governmental Authority) to such indemnified party in the event such indemnified party is required to repay such refund to such Governmental Authority. Notwithstanding anything to the contrary in this </w:t>
      </w:r>
      <w:r>
        <w:rPr>
          <w:rFonts w:ascii="Times New Roman" w:hAnsi="Times New Roman"/>
          <w:sz w:val="20"/>
          <w:u w:val="single"/>
        </w:rPr>
        <w:t>Section 3.01(i)</w:t>
      </w:r>
      <w:r>
        <w:rPr>
          <w:rFonts w:ascii="Times New Roman" w:hAnsi="Times New Roman"/>
          <w:sz w:val="20"/>
        </w:rPr>
        <w:t xml:space="preserve">, in no event will such indemnified party be required to pay any amount to the Borrower or applicable Guarantor pursuant to this </w:t>
      </w:r>
      <w:r>
        <w:rPr>
          <w:rFonts w:ascii="Times New Roman" w:hAnsi="Times New Roman"/>
          <w:sz w:val="20"/>
          <w:u w:val="single"/>
        </w:rPr>
        <w:t>Section 3.01(i)</w:t>
      </w:r>
      <w:r>
        <w:rPr>
          <w:rFonts w:ascii="Times New Roman" w:hAnsi="Times New Roman"/>
          <w:sz w:val="20"/>
        </w:rPr>
        <w:t xml:space="preserve"> the payment of which would place such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Such Agent or Lender, as the case may be, shall provide the Borrower upon request with a copy of any notice of assessment or other evidence reasonably available of the requirement to repay such refund received from the relevant Governmental Authority (</w:t>
      </w:r>
      <w:r>
        <w:rPr>
          <w:rFonts w:ascii="Times New Roman" w:hAnsi="Times New Roman"/>
          <w:i/>
          <w:sz w:val="20"/>
        </w:rPr>
        <w:t xml:space="preserve">provided </w:t>
      </w:r>
      <w:r>
        <w:rPr>
          <w:rFonts w:ascii="Times New Roman" w:hAnsi="Times New Roman"/>
          <w:sz w:val="20"/>
        </w:rPr>
        <w:t xml:space="preserve">that such Lender or Agent may delete any information therein that such Lender or Agent deems confidential or not relevant to such refund in its reasonable discretion). This subsection shall not be construed to require any indemnified party to make available its tax returns (or any other information relating to its Taxes that it reasonably deems confidential) to the Borrower, any Guarantor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Each Lender agrees that, upon the occurrence of any event giving rise to the operation of </w:t>
      </w:r>
      <w:r>
        <w:rPr>
          <w:rFonts w:ascii="Times New Roman" w:hAnsi="Times New Roman"/>
          <w:sz w:val="20"/>
          <w:u w:val="single"/>
        </w:rPr>
        <w:t>Section 3.01(a)</w:t>
      </w:r>
      <w:r>
        <w:rPr>
          <w:rFonts w:ascii="Times New Roman" w:hAnsi="Times New Roman"/>
          <w:sz w:val="20"/>
        </w:rPr>
        <w:t xml:space="preserve"> or (g) with respect to such Lender, it will, if requested by the Borrower in writing, use reasonable efforts to mitigate the effect of any such event, including by designating another Lending Office for any Loan affected by such event and by completing and delivering or filing any Tax-related forms that such Lender is legally able to deliver and that would reduce or eliminate any amount of Indemnified Taxes required to be deducted or withheld or paid by the Borrower; </w:t>
      </w:r>
      <w:r>
        <w:rPr>
          <w:rFonts w:ascii="Times New Roman" w:hAnsi="Times New Roman"/>
          <w:i/>
          <w:sz w:val="20"/>
        </w:rPr>
        <w:t xml:space="preserve">provided </w:t>
      </w:r>
      <w:r>
        <w:rPr>
          <w:rFonts w:ascii="Times New Roman" w:hAnsi="Times New Roman"/>
          <w:sz w:val="20"/>
        </w:rPr>
        <w:t xml:space="preserve">that such efforts are made at the Borrower’s expense and are on terms that, in the reasonable judgment of such Lender, do not cause such Lender or any of its Lending Offices to suffer any economic, legal or regulatory disadvantage, and </w:t>
      </w:r>
      <w:r>
        <w:rPr>
          <w:rFonts w:ascii="Times New Roman" w:hAnsi="Times New Roman"/>
          <w:i/>
          <w:sz w:val="20"/>
        </w:rPr>
        <w:t xml:space="preserve">provided further </w:t>
      </w:r>
      <w:r>
        <w:rPr>
          <w:rFonts w:ascii="Times New Roman" w:hAnsi="Times New Roman"/>
          <w:sz w:val="20"/>
        </w:rPr>
        <w:t xml:space="preserve">that nothing in this </w:t>
      </w:r>
      <w:r>
        <w:rPr>
          <w:rFonts w:ascii="Times New Roman" w:hAnsi="Times New Roman"/>
          <w:sz w:val="20"/>
          <w:u w:val="single"/>
        </w:rPr>
        <w:t>Section 3.01(j)</w:t>
      </w:r>
      <w:r>
        <w:rPr>
          <w:rFonts w:ascii="Times New Roman" w:hAnsi="Times New Roman"/>
          <w:sz w:val="20"/>
        </w:rPr>
        <w:t xml:space="preserve"> shall affect or postpone any of the Obligations of the Borrower or the rights of such Lender pursuant to </w:t>
      </w:r>
      <w:r>
        <w:rPr>
          <w:rFonts w:ascii="Times New Roman" w:hAnsi="Times New Roman"/>
          <w:sz w:val="20"/>
          <w:u w:val="single"/>
        </w:rPr>
        <w:t>Section 3.01(a)</w:t>
      </w:r>
      <w:r>
        <w:rPr>
          <w:rFonts w:ascii="Times New Roman" w:hAnsi="Times New Roman"/>
          <w:sz w:val="20"/>
        </w:rPr>
        <w:t xml:space="preserve"> or (g). </w:t>
      </w:r>
    </w:p>
    <w:p>
      <w:pPr>
        <w:pStyle w:val="TextBody"/>
        <w:bidi w:val="0"/>
        <w:spacing w:before="120" w:after="0"/>
        <w:jc w:val="left"/>
        <w:rPr>
          <w:rFonts w:ascii="Times New Roman" w:hAnsi="Times New Roman"/>
          <w:sz w:val="20"/>
        </w:rPr>
      </w:pPr>
      <w:r>
        <w:rPr>
          <w:rFonts w:ascii="Times New Roman" w:hAnsi="Times New Roman"/>
          <w:sz w:val="20"/>
        </w:rPr>
        <w:t xml:space="preserve">(k) Notwithstanding any other provision of this Agreement, the Borrower and the Administrative Agent may deduct and withhold any Taxes required by any applicable Law to be deducted and withheld from any payment under any of the Loan Documents, subject to the provisions of this </w:t>
      </w:r>
      <w:r>
        <w:rPr>
          <w:rFonts w:ascii="Times New Roman" w:hAnsi="Times New Roman"/>
          <w:sz w:val="20"/>
          <w:u w:val="single"/>
        </w:rPr>
        <w:t>Section 3.01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Each Agent or Lender, as applicable, shall severally indemnify the Administrative Agent, within ten (10) days after demand therefor, for (i) any Taxes attributable to such Agent or Lender (but only to the extent that the Borrower have not already indemnified the Administrative Agent for such Taxes and without limiting the obligation of the Borrower to do so), (ii) any Taxes attributable to such Lender’s failure to comply with the provisions of </w:t>
      </w:r>
      <w:r>
        <w:rPr>
          <w:rFonts w:ascii="Times New Roman" w:hAnsi="Times New Roman"/>
          <w:sz w:val="20"/>
          <w:u w:val="single"/>
        </w:rPr>
        <w:t>Section 11.07(e)</w:t>
      </w:r>
      <w:r>
        <w:rPr>
          <w:rFonts w:ascii="Times New Roman" w:hAnsi="Times New Roman"/>
          <w:sz w:val="20"/>
        </w:rPr>
        <w:t xml:space="preserve"> relating to the maintenance of a Participant Register and (iii) any Excluded Taxes attributable to such Agent or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Agent or Lender by the Administrative Agent shall be conclusive absent manifest error. Each Agent and Lender hereby authorizes the Administrative Agent to set off and apply any and all amounts at any time owing to such Agent or Lender under any Loan Document or otherwise payable by the Administrative Agent to such Agent or Lender from any other source against any amount due to the Administrative Agent under this </w:t>
      </w:r>
      <w:r>
        <w:rPr>
          <w:rFonts w:ascii="Times New Roman" w:hAnsi="Times New Roman"/>
          <w:sz w:val="20"/>
          <w:u w:val="single"/>
        </w:rPr>
        <w:t>Section 3.01(l)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The agreements in this </w:t>
      </w:r>
      <w:r>
        <w:rPr>
          <w:rFonts w:ascii="Times New Roman" w:hAnsi="Times New Roman"/>
          <w:sz w:val="20"/>
          <w:u w:val="single"/>
        </w:rPr>
        <w:t>Section 3.01</w:t>
      </w:r>
      <w:r>
        <w:rPr>
          <w:rFonts w:ascii="Times New Roman" w:hAnsi="Times New Roman"/>
          <w:sz w:val="20"/>
        </w:rPr>
        <w:t xml:space="preserve"> shall survive the resignation or replacement of the Administrative Agent, termination of this Agreement and the payment of the Loans and all other amounts payable hereunder and any assignment of rights by, or replacement of, any Lender. </w:t>
      </w:r>
    </w:p>
    <w:p>
      <w:pPr>
        <w:pStyle w:val="TextBody"/>
        <w:bidi w:val="0"/>
        <w:spacing w:before="120" w:after="0"/>
        <w:jc w:val="left"/>
        <w:rPr>
          <w:rFonts w:ascii="Times New Roman" w:hAnsi="Times New Roman"/>
          <w:sz w:val="20"/>
        </w:rPr>
      </w:pPr>
      <w:r>
        <w:rPr>
          <w:rFonts w:ascii="Times New Roman" w:hAnsi="Times New Roman"/>
          <w:sz w:val="20"/>
        </w:rPr>
        <w:t xml:space="preserve">(n) For purposes of this Section, the term “applicable Law” includes FATCA.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w:t>
      </w:r>
      <w:r>
        <w:rPr>
          <w:rFonts w:ascii="Times New Roman" w:hAnsi="Times New Roman"/>
          <w:b/>
          <w:sz w:val="20"/>
          <w:u w:val="single"/>
        </w:rPr>
        <w:t>Increased Cost and Reduced Return; Capital Adequacy; Reserves on S Rate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Lender to any tax of any kind whatsoever with respect to this Agreement or any Loan made by it, or change the basis of taxation of payments to such Lender in respect thereof (except, in each case, for (A) Indemnified Taxes, (B) Taxes described in </w:t>
      </w:r>
      <w:r>
        <w:rPr>
          <w:rFonts w:ascii="Times New Roman" w:hAnsi="Times New Roman"/>
          <w:sz w:val="20"/>
          <w:u w:val="single"/>
        </w:rPr>
        <w:t>clauses (ii)</w:t>
      </w:r>
      <w:r>
        <w:rPr>
          <w:rFonts w:ascii="Times New Roman" w:hAnsi="Times New Roman"/>
          <w:sz w:val="20"/>
        </w:rPr>
        <w:t xml:space="preserve"> through </w:t>
      </w:r>
      <w:r>
        <w:rPr>
          <w:rFonts w:ascii="Times New Roman" w:hAnsi="Times New Roman"/>
          <w:sz w:val="20"/>
          <w:u w:val="single"/>
        </w:rPr>
        <w:t>(v)</w:t>
      </w:r>
      <w:r>
        <w:rPr>
          <w:rFonts w:ascii="Times New Roman" w:hAnsi="Times New Roman"/>
          <w:sz w:val="20"/>
        </w:rPr>
        <w:t xml:space="preserve"> of the definition of Excluded Taxes, and (C) Connection Income Taxes);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any other condition, cost or expense affecting this Agreement or any Loans made by such Lender (other than with respect to Taxes) that is not otherwise accounted for in this </w:t>
      </w:r>
      <w:r>
        <w:rPr>
          <w:rFonts w:ascii="Times New Roman" w:hAnsi="Times New Roman"/>
          <w:sz w:val="20"/>
          <w:u w:val="single"/>
        </w:rPr>
        <w:t>clause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with respect to Taxes, making or maintaining any Loan (or of maintaining its obligation to make any such Loan), or to increase the cost to such Lender, or to reduce the amount of any sum received or receivable by such Lender (whether of principal, interest or any other amount) then, from time to time within ten (10) days after demand by such Lender setting forth in reasonable detail such increased costs or reduced amounts (with a copy of such demand to the Administrative Agent) (provided that such calculation will not in an way require disclosure of confidential or price-sensitive information or any other information the disclosure of which is prohibited by law), the Borrower will pay to such Lender such additional amount or amounts as will compensate such Lender for such additional costs incurred or reduction suffered. No Lender shall request that the Borrower pay any additional amount pursuant to this </w:t>
      </w:r>
      <w:r>
        <w:rPr>
          <w:rFonts w:ascii="Times New Roman" w:hAnsi="Times New Roman"/>
          <w:sz w:val="20"/>
          <w:u w:val="single"/>
        </w:rPr>
        <w:t>Section 3.04(a)</w:t>
      </w:r>
      <w:r>
        <w:rPr>
          <w:rFonts w:ascii="Times New Roman" w:hAnsi="Times New Roman"/>
          <w:sz w:val="20"/>
        </w:rPr>
        <w:t xml:space="preserve"> unless it shall concurrently make similar requests to other borrowers similarly situated and affected by such Change in Law and from whom such Lender is entitled to seek similar amounts.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reasonably determines that any Change in Law affecting such Lender or any Lending Office of such Lender or such Lender’s holding company, if any, regarding liquidity or capital requirements has or would have the effect of reducing the rate of return on such Lender’s capital or on the capital of such Lender’s holding company, if any, as a consequence of this Agreement, the Commitments of such Lender or the Loans made by it to a level below that which such Lender or such Lender’s holding company could have achieved but for such Change in Law (taking into consideration such Lender’s policies and the policies of such Lender’s holding company with respect to liquidity or capital adequacy), then from time to time upon demand of such Lender setting forth in reasonable detail the charge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calculation of such reduced rate of return (with a copy of such demand to the Administrative Agent) (provided that such calculation will not in an way require disclosure of confidential or price-sensitive information or any other information the disclosure of which is prohibited by law), the Borrower will pay to such Lender such additional amount or amounts as will compensate such Lender or such Lender’s holding company for any such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setting forth the amount or amounts necessary to compensate such Lender or its holding company, as the case may be, as specified in subsection (a) or (b) of this </w:t>
      </w:r>
      <w:r>
        <w:rPr>
          <w:rFonts w:ascii="Times New Roman" w:hAnsi="Times New Roman"/>
          <w:sz w:val="20"/>
          <w:u w:val="single"/>
        </w:rPr>
        <w:t>Section 3.04</w:t>
      </w:r>
      <w:r>
        <w:rPr>
          <w:rFonts w:ascii="Times New Roman" w:hAnsi="Times New Roman"/>
          <w:sz w:val="20"/>
        </w:rPr>
        <w:t xml:space="preserve"> and delivered to the Borrower shall be conclusive absent manifest error. The Borrower shall pay such Lender the amount shown as due on any such certificate within ten (10) days after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to demand compensation pursuant to the foregoing provisions of this </w:t>
      </w:r>
      <w:r>
        <w:rPr>
          <w:rFonts w:ascii="Times New Roman" w:hAnsi="Times New Roman"/>
          <w:sz w:val="20"/>
          <w:u w:val="single"/>
        </w:rPr>
        <w:t>Section 3.04</w:t>
      </w:r>
      <w:r>
        <w:rPr>
          <w:rFonts w:ascii="Times New Roman" w:hAnsi="Times New Roman"/>
          <w:sz w:val="20"/>
        </w:rPr>
        <w:t xml:space="preserve"> shall not constitute a waiver of such Lender’s right to demand such compensation, </w:t>
      </w:r>
      <w:r>
        <w:rPr>
          <w:rFonts w:ascii="Times New Roman" w:hAnsi="Times New Roman"/>
          <w:i/>
          <w:sz w:val="20"/>
        </w:rPr>
        <w:t xml:space="preserve">provided </w:t>
      </w:r>
      <w:r>
        <w:rPr>
          <w:rFonts w:ascii="Times New Roman" w:hAnsi="Times New Roman"/>
          <w:sz w:val="20"/>
        </w:rPr>
        <w:t xml:space="preserve">that the Borrower shall not be required to compensate a Lender pursuant to the foregoing provisions of this </w:t>
      </w:r>
      <w:r>
        <w:rPr>
          <w:rFonts w:ascii="Times New Roman" w:hAnsi="Times New Roman"/>
          <w:sz w:val="20"/>
          <w:u w:val="single"/>
        </w:rPr>
        <w:t>Section 3.04</w:t>
      </w:r>
      <w:r>
        <w:rPr>
          <w:rFonts w:ascii="Times New Roman" w:hAnsi="Times New Roman"/>
          <w:sz w:val="20"/>
        </w:rPr>
        <w:t xml:space="preserve"> for any increased costs incurred or reductions suffered more than one hundred and eighty (180)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180-day period referred to above shall be extended to include the period of retroactive effect thereof). </w:t>
      </w:r>
    </w:p>
    <w:p>
      <w:pPr>
        <w:pStyle w:val="TextBody"/>
        <w:bidi w:val="0"/>
        <w:spacing w:before="120" w:after="0"/>
        <w:jc w:val="left"/>
        <w:rPr>
          <w:rFonts w:ascii="Times New Roman" w:hAnsi="Times New Roman"/>
          <w:sz w:val="20"/>
        </w:rPr>
      </w:pPr>
      <w:r>
        <w:rPr>
          <w:rFonts w:ascii="Times New Roman" w:hAnsi="Times New Roman"/>
          <w:sz w:val="20"/>
        </w:rPr>
        <w:t xml:space="preserve">(e) [Reserved].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3.05</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xml:space="preserve"> </w:t>
      </w:r>
      <w:r>
        <w:rPr>
          <w:rFonts w:ascii="Times New Roman" w:hAnsi="Times New Roman"/>
          <w:b/>
          <w:sz w:val="20"/>
          <w:u w:val="single"/>
        </w:rPr>
        <w:t>Matters Applicable to All Requests for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 of a Different Lending Office</w:t>
      </w:r>
      <w:r>
        <w:rPr>
          <w:rFonts w:ascii="Times New Roman" w:hAnsi="Times New Roman"/>
          <w:sz w:val="20"/>
        </w:rPr>
        <w:t xml:space="preserve">. If any Lender requests compensation under </w:t>
      </w:r>
      <w:r>
        <w:rPr>
          <w:rFonts w:ascii="Times New Roman" w:hAnsi="Times New Roman"/>
          <w:sz w:val="20"/>
          <w:u w:val="single"/>
        </w:rPr>
        <w:t>Section 3.04</w:t>
      </w:r>
      <w:r>
        <w:rPr>
          <w:rFonts w:ascii="Times New Roman" w:hAnsi="Times New Roman"/>
          <w:sz w:val="20"/>
        </w:rPr>
        <w:t xml:space="preserve">, or the Borrower are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or if any Lender gives a notice pursuant to </w:t>
      </w:r>
      <w:r>
        <w:rPr>
          <w:rFonts w:ascii="Times New Roman" w:hAnsi="Times New Roman"/>
          <w:sz w:val="20"/>
          <w:u w:val="single"/>
        </w:rPr>
        <w:t>Section 3.02</w:t>
      </w:r>
      <w:r>
        <w:rPr>
          <w:rFonts w:ascii="Times New Roman" w:hAnsi="Times New Roman"/>
          <w:sz w:val="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20"/>
          <w:u w:val="single"/>
        </w:rPr>
        <w:t>Section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as the case may be, in the future, or eliminate the need for the notice pursuant to </w:t>
      </w:r>
      <w:r>
        <w:rPr>
          <w:rFonts w:ascii="Times New Roman" w:hAnsi="Times New Roman"/>
          <w:sz w:val="20"/>
          <w:u w:val="single"/>
        </w:rPr>
        <w:t>Section 3.02</w:t>
      </w:r>
      <w:r>
        <w:rPr>
          <w:rFonts w:ascii="Times New Roman" w:hAnsi="Times New Roman"/>
          <w:sz w:val="20"/>
        </w:rPr>
        <w:t xml:space="preserve">, as applicable, and (ii) in each case, would not subject such Lender to any unreimbursed cost or expense and would not otherwise be disadvantageous to such Lender in any material economic, legal or regulatory respect.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3.07</w:t>
      </w:r>
      <w:r>
        <w:rPr>
          <w:rFonts w:ascii="Times New Roman" w:hAnsi="Times New Roman"/>
          <w:sz w:val="20"/>
        </w:rPr>
        <w:t xml:space="preserve"> </w:t>
      </w:r>
      <w:r>
        <w:rPr>
          <w:rFonts w:ascii="Times New Roman" w:hAnsi="Times New Roman"/>
          <w:b/>
          <w:sz w:val="20"/>
          <w:u w:val="single"/>
        </w:rPr>
        <w:t>Replacement of Lenders Under Certain Circumstances</w:t>
      </w:r>
      <w:r>
        <w:rPr>
          <w:rFonts w:ascii="Times New Roman" w:hAnsi="Times New Roman"/>
          <w:sz w:val="20"/>
        </w:rPr>
        <w:t xml:space="preserve">. If (i) any Lender requests compensation under </w:t>
      </w:r>
      <w:r>
        <w:rPr>
          <w:rFonts w:ascii="Times New Roman" w:hAnsi="Times New Roman"/>
          <w:sz w:val="20"/>
          <w:u w:val="single"/>
        </w:rPr>
        <w:t>Section 3.04</w:t>
      </w:r>
      <w:r>
        <w:rPr>
          <w:rFonts w:ascii="Times New Roman" w:hAnsi="Times New Roman"/>
          <w:sz w:val="20"/>
        </w:rPr>
        <w:t xml:space="preserve">, (ii) the Borrower is required to pay any Taxes or additional amounts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and such Lender has declined or is unable to designate a different Lending Office in accordance with </w:t>
      </w:r>
      <w:r>
        <w:rPr>
          <w:rFonts w:ascii="Times New Roman" w:hAnsi="Times New Roman"/>
          <w:sz w:val="20"/>
          <w:u w:val="single"/>
        </w:rPr>
        <w:t>Section 3.01(j)</w:t>
      </w:r>
      <w:r>
        <w:rPr>
          <w:rFonts w:ascii="Times New Roman" w:hAnsi="Times New Roman"/>
          <w:sz w:val="20"/>
        </w:rPr>
        <w:t xml:space="preserve">, (iii) any Lender is a Non-Consenting Lender, (iv) [reserved], (v) [reserved], or (vi) (A) any Lender shall become and continue to be a Defaulting Lender and (B) such Defaulting Lender shall fail to cure the default pursuant to </w:t>
      </w:r>
      <w:r>
        <w:rPr>
          <w:rFonts w:ascii="Times New Roman" w:hAnsi="Times New Roman"/>
          <w:sz w:val="20"/>
          <w:u w:val="single"/>
        </w:rPr>
        <w:t>Section 2.11(b)</w:t>
      </w:r>
      <w:r>
        <w:rPr>
          <w:rFonts w:ascii="Times New Roman" w:hAnsi="Times New Roman"/>
          <w:sz w:val="20"/>
        </w:rPr>
        <w:t xml:space="preserve"> within five (5) Business Days after the Borrower’s request that it cure such default, or (vi) any other circumstance exists hereunder that gives the Borrower the right to replace a Lender (other than a Disqualified Lender) as a party hereto, then the Borrower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sz w:val="20"/>
          <w:u w:val="single"/>
        </w:rPr>
        <w:t>Section 11.07</w:t>
      </w:r>
      <w:r>
        <w:rPr>
          <w:rFonts w:ascii="Times New Roman" w:hAnsi="Times New Roman"/>
          <w:sz w:val="20"/>
        </w:rPr>
        <w:t xml:space="preserve">), all of its interests, rights and obligations under this Agreement and the related Loan Documents (other than its existing rights to payments pursuant to </w:t>
      </w:r>
      <w:r>
        <w:rPr>
          <w:rFonts w:ascii="Times New Roman" w:hAnsi="Times New Roman"/>
          <w:sz w:val="20"/>
          <w:u w:val="single"/>
        </w:rPr>
        <w:t>Section 3.01</w:t>
      </w:r>
      <w:r>
        <w:rPr>
          <w:rFonts w:ascii="Times New Roman" w:hAnsi="Times New Roman"/>
          <w:sz w:val="20"/>
        </w:rPr>
        <w:t xml:space="preserve"> or </w:t>
      </w:r>
      <w:r>
        <w:rPr>
          <w:rFonts w:ascii="Times New Roman" w:hAnsi="Times New Roman"/>
          <w:sz w:val="20"/>
          <w:u w:val="single"/>
        </w:rPr>
        <w:t>Section 3.04</w:t>
      </w:r>
      <w:r>
        <w:rPr>
          <w:rFonts w:ascii="Times New Roman" w:hAnsi="Times New Roman"/>
          <w:sz w:val="20"/>
        </w:rPr>
        <w:t xml:space="preserve">) to one or more Eligible Assignees that shall assume such obligations (any of which assignee may be another Lender, if a Lender accepts such assignment),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have paid to the Administrative Agent the assignment fee specified in </w:t>
      </w:r>
      <w:r>
        <w:rPr>
          <w:rFonts w:ascii="Times New Roman" w:hAnsi="Times New Roman"/>
          <w:sz w:val="20"/>
          <w:u w:val="single"/>
        </w:rPr>
        <w:t>Section 11.07(b)(iv)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such Lender shall have received payment of an amount equal to the outstanding principal of its Loans, accrued interest thereon, accrued fees and all other amounts payable to it hereunder and under the other Loan Documents (including any amounts payable under </w:t>
      </w:r>
      <w:r>
        <w:rPr>
          <w:rFonts w:ascii="Times New Roman" w:hAnsi="Times New Roman"/>
          <w:sz w:val="20"/>
          <w:u w:val="single"/>
        </w:rPr>
        <w:t>Section 3.05</w:t>
      </w:r>
      <w:r>
        <w:rPr>
          <w:rFonts w:ascii="Times New Roman" w:hAnsi="Times New Roman"/>
          <w:sz w:val="20"/>
        </w:rPr>
        <w:t xml:space="preserve">) from the assignee (to the extent of such outstanding principal and accrued interest and fees) or the Borrower (in the case of all other amounts); </w:t>
      </w:r>
    </w:p>
    <w:p>
      <w:pPr>
        <w:pStyle w:val="TextBody"/>
        <w:bidi w:val="0"/>
        <w:spacing w:before="120" w:after="0"/>
        <w:jc w:val="left"/>
        <w:rPr>
          <w:rFonts w:ascii="Times New Roman" w:hAnsi="Times New Roman"/>
          <w:sz w:val="20"/>
        </w:rPr>
      </w:pPr>
      <w:r>
        <w:rPr>
          <w:rFonts w:ascii="Times New Roman" w:hAnsi="Times New Roman"/>
          <w:sz w:val="20"/>
        </w:rPr>
        <w:t xml:space="preserve">(c) such Lender being replaced pursuant to this </w:t>
      </w:r>
      <w:r>
        <w:rPr>
          <w:rFonts w:ascii="Times New Roman" w:hAnsi="Times New Roman"/>
          <w:sz w:val="20"/>
          <w:u w:val="single"/>
        </w:rPr>
        <w:t>Section 3.07</w:t>
      </w:r>
      <w:r>
        <w:rPr>
          <w:rFonts w:ascii="Times New Roman" w:hAnsi="Times New Roman"/>
          <w:sz w:val="20"/>
        </w:rPr>
        <w:t xml:space="preserve"> shall (i) execute and deliver an Assignment and Assumption with respect to such Lender’s Commitment and outstanding Loans and participations in Letters of Credit, and (ii) deliver any Term Loan Notes evidencing such Loans to the Borrower or Administrative Agent (or a lost or destroyed note indemnity in lieu thereof); </w:t>
      </w:r>
      <w:r>
        <w:rPr>
          <w:rFonts w:ascii="Times New Roman" w:hAnsi="Times New Roman"/>
          <w:i/>
          <w:sz w:val="20"/>
        </w:rPr>
        <w:t xml:space="preserve">provided </w:t>
      </w:r>
      <w:r>
        <w:rPr>
          <w:rFonts w:ascii="Times New Roman" w:hAnsi="Times New Roman"/>
          <w:sz w:val="20"/>
        </w:rPr>
        <w:t xml:space="preserve">that the failure of any such Lender to execute an Assignment and Assumption or deliver such Term Loan Notes evidencing such Loans shall not render such sale and purchase (and the corresponding assignment) invalid and such assignment shall be recorded in the Register and the Term Loan Notes evidencing such Loans shall be deemed to be canceled upon such failure; </w:t>
      </w:r>
    </w:p>
    <w:p>
      <w:pPr>
        <w:pStyle w:val="TextBody"/>
        <w:bidi w:val="0"/>
        <w:spacing w:before="120" w:after="0"/>
        <w:jc w:val="left"/>
        <w:rPr>
          <w:rFonts w:ascii="Times New Roman" w:hAnsi="Times New Roman"/>
          <w:sz w:val="20"/>
        </w:rPr>
      </w:pPr>
      <w:r>
        <w:rPr>
          <w:rFonts w:ascii="Times New Roman" w:hAnsi="Times New Roman"/>
          <w:sz w:val="20"/>
        </w:rPr>
        <w:t xml:space="preserve">(d) 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w:t>
      </w:r>
    </w:p>
    <w:p>
      <w:pPr>
        <w:pStyle w:val="TextBody"/>
        <w:bidi w:val="0"/>
        <w:spacing w:before="120" w:after="0"/>
        <w:jc w:val="left"/>
        <w:rPr>
          <w:rFonts w:ascii="Times New Roman" w:hAnsi="Times New Roman"/>
          <w:sz w:val="20"/>
        </w:rPr>
      </w:pPr>
      <w:r>
        <w:rPr>
          <w:rFonts w:ascii="Times New Roman" w:hAnsi="Times New Roman"/>
          <w:sz w:val="20"/>
        </w:rPr>
        <w:t xml:space="preserve">(e) in the case of any such assignment resulting from a claim for compensation under </w:t>
      </w:r>
      <w:r>
        <w:rPr>
          <w:rFonts w:ascii="Times New Roman" w:hAnsi="Times New Roman"/>
          <w:sz w:val="20"/>
          <w:u w:val="single"/>
        </w:rPr>
        <w:t>Section 3.04</w:t>
      </w:r>
      <w:r>
        <w:rPr>
          <w:rFonts w:ascii="Times New Roman" w:hAnsi="Times New Roman"/>
          <w:sz w:val="20"/>
        </w:rPr>
        <w:t xml:space="preserve"> or payments required to be made pursuant to </w:t>
      </w:r>
      <w:r>
        <w:rPr>
          <w:rFonts w:ascii="Times New Roman" w:hAnsi="Times New Roman"/>
          <w:sz w:val="20"/>
          <w:u w:val="single"/>
        </w:rPr>
        <w:t>Section 3.01</w:t>
      </w:r>
      <w:r>
        <w:rPr>
          <w:rFonts w:ascii="Times New Roman" w:hAnsi="Times New Roman"/>
          <w:sz w:val="20"/>
        </w:rPr>
        <w:t xml:space="preserve">, such assignment will result in a reduction in such compensation or payments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 the case of any such assignment resulting from a Lender being a Non-Consenting Lender, the Eligible Assignee shall consent, at the time of such assignment, to each matter in respect of which such Lender being replaced was a Non-Consenting Lender; and </w:t>
      </w:r>
    </w:p>
    <w:p>
      <w:pPr>
        <w:pStyle w:val="TextBody"/>
        <w:bidi w:val="0"/>
        <w:spacing w:before="120" w:after="0"/>
        <w:jc w:val="left"/>
        <w:rPr>
          <w:rFonts w:ascii="Times New Roman" w:hAnsi="Times New Roman"/>
          <w:sz w:val="20"/>
        </w:rPr>
      </w:pPr>
      <w:r>
        <w:rPr>
          <w:rFonts w:ascii="Times New Roman" w:hAnsi="Times New Roman"/>
          <w:sz w:val="20"/>
        </w:rPr>
        <w:t xml:space="preserve">(g) such assignment does not conflict with applicable Laws. </w:t>
      </w:r>
    </w:p>
    <w:p>
      <w:pPr>
        <w:pStyle w:val="TextBody"/>
        <w:bidi w:val="0"/>
        <w:spacing w:before="240" w:after="0"/>
        <w:jc w:val="left"/>
        <w:rPr>
          <w:rFonts w:ascii="Times New Roman" w:hAnsi="Times New Roman"/>
          <w:sz w:val="20"/>
        </w:rPr>
      </w:pPr>
      <w:r>
        <w:rPr>
          <w:rFonts w:ascii="Times New Roman" w:hAnsi="Times New Roman"/>
          <w:sz w:val="20"/>
        </w:rPr>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and (iii) the Required Lenders have agreed to such consent, waiver or amendment, then any Lender who does not agree to such consent, waiver or amendment shall be deemed a “</w:t>
      </w:r>
      <w:r>
        <w:rPr>
          <w:rFonts w:ascii="Times New Roman" w:hAnsi="Times New Roman"/>
          <w:b/>
          <w:sz w:val="20"/>
        </w:rPr>
        <w:t>Non-Consenting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Lender shall not be required to make any such assignment or delegation if, prior thereto, as a result of a waiver by such Lender or otherwise, the circumstances entitling the Borrower to require such assignment and delegation cease to apply.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3.08</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xml:space="preserve">. All of the Borrower’s obligations under this Article III shall survive termination of the Aggregate Commitments, repayment of all other Obligations hereunder and resignation of the Administrative Agent or the Collateral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CONDITIONS PRECEDENT TO THE CLOSING DATE AND LOANS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w:t>
      </w:r>
      <w:r>
        <w:rPr>
          <w:rFonts w:ascii="Times New Roman" w:hAnsi="Times New Roman"/>
          <w:b/>
          <w:sz w:val="20"/>
          <w:u w:val="single"/>
        </w:rPr>
        <w:t>Conditions to the Closing Date</w:t>
      </w:r>
      <w:r>
        <w:rPr>
          <w:rFonts w:ascii="Times New Roman" w:hAnsi="Times New Roman"/>
          <w:sz w:val="20"/>
        </w:rPr>
        <w:t xml:space="preserve">. This Agreement shall become effective on the date on which each of the following conditions is satisfied or waived in accordance with </w:t>
      </w:r>
      <w:r>
        <w:rPr>
          <w:rFonts w:ascii="Times New Roman" w:hAnsi="Times New Roman"/>
          <w:sz w:val="20"/>
          <w:u w:val="single"/>
        </w:rPr>
        <w:t>Section 11.01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receipt of the following, each of which shall be originals or copies in .pdf format, unless otherwise specified: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Trust Agreement duly executed by the Borrower, the Guarantors, DNB Bank ASA, New York Branch, as administrative agent under the First Lien RCF Credit Agreement, Stonebriar Commercial Finance LLC, as Administrative Agent under this Agreement and Wilmington Trust, National Association, as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duly executed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(iii) the Collateral Agreement (pursuant to which the Administrative Agent is authorized to file customary “all asset” UCC-1 financing statements) duly executed by the Borrower and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 certificates of good standing from the secretary of state or other applicable office of the state of organization or formation or provincial or territorial corporate registry of the Borrower and each other Loan Party, (B) organizational documents of each Loan Party, certified by the secretary (or equivalent officer) of such Loan Party, (C) resolutions or other applicable action of each Loan Party, as certified by the secretary (or equivalent officer) of such Loan Party, (D) an incumbency certificate and/or other certificate of Responsible Officers of each Loan Party, in each case evidencing the identity, authority and capacity of each Responsible Officer thereof authorized to act as a Responsible Officer in connection with this Agreement and the other Loan Documents to which it is a party or is to be a party on the Closing Date, and (E) a certificate of a Responsible Officer of the Borrower that the conditions specified in </w:t>
      </w:r>
      <w:r>
        <w:rPr>
          <w:rFonts w:ascii="Times New Roman" w:hAnsi="Times New Roman"/>
          <w:sz w:val="20"/>
          <w:u w:val="single"/>
        </w:rPr>
        <w:t>clause (c)</w:t>
      </w:r>
      <w:r>
        <w:rPr>
          <w:rFonts w:ascii="Times New Roman" w:hAnsi="Times New Roman"/>
          <w:sz w:val="20"/>
        </w:rPr>
        <w:t xml:space="preserve">, below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(vi) an opinion from Kirkland &amp; Ellis LLP, counsel to the Loan Parties, with respect to matters of New York law and certain aspects of Delaware law; and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from the chief financial officer or other officer with equivalent duties of the Borrower as to the Solvency (after giving effect to the Transactions on the Closing Date) of the Borrower and their Subsidiaries substantially in the form attached hereto as </w:t>
      </w:r>
      <w:r>
        <w:rPr>
          <w:rFonts w:ascii="Times New Roman" w:hAnsi="Times New Roman"/>
          <w:sz w:val="20"/>
          <w:u w:val="single"/>
        </w:rPr>
        <w:t>Exhibit I</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(viii) the following Loan Documents required to be entered into pursuant to the terms of this Agreement: (A) the Junior Lien Intercreditor Agreement by and among the Administrative Agent, the First Lien Agent, the Collateral Trustee and the Borrower, (B) the Term Loan Notes (which shall be originals), (C) [reserved], (D) the Collateral Trustee Fee Letter, and (E) the Fee Letter.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Agent’s receipt of certificates or abstracts of title, as applicable, in .pdf format, issued by the relevant Approved Flag Jurisdiction demonstrating that Vessel Collateral is registered in the name of the relevant Loan Party under the relevant Approved Flag Jurisdiction, free of Liens other than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(e) The Lenders shall have received at least three (3) Business Days prior to the Closing Date (i) all documentation and other information about the Loan Parties in order to comply with applicable “know your customer” and anti-money laundering rules and regulations, including the USA PATRIOT Act, and (ii) to the extent the Borrower qualifies as a “legal entity customer” a customary FinCEN beneficial ownership certificate, that in each case has been requested in writing at least ten (10)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The Administrative Agent shall have received appraisals evidencing the Vessel Collateral Value Amount, as determined by VesselsValueTM, such valuations to be dated within thirty (30) days of the Closing Date (or such earlier or later date as agreed by the Administrative Agent in its reasonable discretion), which evidence demonstrates that on a pro forma basis that upon the Closing Date (giving effect to the amount of the then outstanding obligations under the First Lien RCF Credit Agreement and any Loans under this Agreement requested on the Closing Date), the Collateral Coverage Ratio shall not be less than 2.00:1.00.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Administrative Agent shall have received financing statement searches under the Uniform Commercial Code in such jurisdictions as it may reasonably require relating to the Borrower and the Restricted Subsidiaries, demonstrating that the Collateral is (or will be on the Closing Date) free of Liens other than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(h) The Administrative Agent and the Lenders shall have received (i) an audited balance sheet and related statements of income (or operations) and cash flows of the Borrower and its Subsidiaries as of and for the year ended December 31, 2023, (ii) the unaudited financial statements of the Borrower and its Subsidiaries for the fiscal quarter ended September 30, 2024, (iii) consolidated forecast of the Borrower and its Subsidiaries for the fiscal year ending December 31, 2025 in form and substance consistent with the forecast customarily prepared by management for internal use and (iv) a duly completed compliance certificate in form and substance satisfactory to the Administrative Agent and the Lenders demonstrating compliance with the Financial Covenants on a proforma basis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provisions of the last paragraph of </w:t>
      </w:r>
      <w:r>
        <w:rPr>
          <w:rFonts w:ascii="Times New Roman" w:hAnsi="Times New Roman"/>
          <w:sz w:val="20"/>
          <w:u w:val="single"/>
        </w:rPr>
        <w:t>Section 11.01</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4.01</w:t>
      </w:r>
      <w:r>
        <w:rPr>
          <w:rFonts w:ascii="Times New Roman" w:hAnsi="Times New Roman"/>
          <w:sz w:val="20"/>
        </w:rPr>
        <w:t xml:space="preserve">, each Lender that has signed this Agreement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Closing Date specifying its objection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r>
        <w:rPr>
          <w:rFonts w:ascii="Times New Roman" w:hAnsi="Times New Roman"/>
          <w:b/>
          <w:sz w:val="20"/>
          <w:u w:val="single"/>
        </w:rPr>
        <w:t>Conditions to the Extension of the Loans</w:t>
      </w:r>
      <w:r>
        <w:rPr>
          <w:rFonts w:ascii="Times New Roman" w:hAnsi="Times New Roman"/>
          <w:sz w:val="20"/>
        </w:rPr>
        <w:t xml:space="preserve">. The obligation of each Lender to extend the Loans to the Borrower hereunder on the Closing Date is subject to the satisfaction, or waiver in accordance with </w:t>
      </w:r>
      <w:r>
        <w:rPr>
          <w:rFonts w:ascii="Times New Roman" w:hAnsi="Times New Roman"/>
          <w:sz w:val="20"/>
          <w:u w:val="single"/>
        </w:rPr>
        <w:t>Section 11.01</w:t>
      </w:r>
      <w:r>
        <w:rPr>
          <w:rFonts w:ascii="Times New Roman" w:hAnsi="Times New Roman"/>
          <w:sz w:val="20"/>
        </w:rPr>
        <w:t xml:space="preserve">, of each of the following conditions precedent, except as otherwise agreed between the Borrower and the Required Lenders or as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receipt of the following, each of which shall be originals or copies in .pdf format, unless otherwise specified: </w:t>
      </w:r>
    </w:p>
    <w:p>
      <w:pPr>
        <w:pStyle w:val="TextBody"/>
        <w:bidi w:val="0"/>
        <w:spacing w:before="120" w:after="0"/>
        <w:jc w:val="left"/>
        <w:rPr>
          <w:rFonts w:ascii="Times New Roman" w:hAnsi="Times New Roman"/>
          <w:sz w:val="20"/>
        </w:rPr>
      </w:pPr>
      <w:r>
        <w:rPr>
          <w:rFonts w:ascii="Times New Roman" w:hAnsi="Times New Roman"/>
          <w:sz w:val="20"/>
        </w:rPr>
        <w:t xml:space="preserve">(i) a Borrowing Request duly executed by the Borrower, in accordance with the requirements hereof;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each Vessel Mortgage in recordable form, together with documentary evidence that each such Vessel Mortgage has been duly filed for recordation as a valid amendment to each such Vessel Mortgage with respect to each Vessel constituting Vessel Collateral as of the Closing Date, in accordance with the laws of the Approved Flag Jurisdiction on which the Vessel Collateral is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 certificate from the chief financial officer or other officer with equivalent duties of the Borrower as to the Solvency (after giving effect to the Transactions on the Closing Date) of the Borrower and its Subsidiaries substantially in the form attached hereto as </w:t>
      </w:r>
      <w:r>
        <w:rPr>
          <w:rFonts w:ascii="Times New Roman" w:hAnsi="Times New Roman"/>
          <w:sz w:val="20"/>
          <w:u w:val="single"/>
        </w:rPr>
        <w:t>Exhibit 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[reserved]; </w:t>
      </w:r>
    </w:p>
    <w:p>
      <w:pPr>
        <w:pStyle w:val="TextBody"/>
        <w:bidi w:val="0"/>
        <w:spacing w:before="120" w:after="0"/>
        <w:jc w:val="left"/>
        <w:rPr>
          <w:rFonts w:ascii="Times New Roman" w:hAnsi="Times New Roman"/>
          <w:sz w:val="20"/>
        </w:rPr>
      </w:pPr>
      <w:r>
        <w:rPr>
          <w:rFonts w:ascii="Times New Roman" w:hAnsi="Times New Roman"/>
          <w:sz w:val="20"/>
        </w:rPr>
        <w:t xml:space="preserve">(vi) evidence that each Vessel constituting Vessel Collateral (excluding any Stacked Vessels) maintains the highest class for a vessel of its type with its classification society, free of any overdue recommendations or conditions affecting class, which status shall be established by a confirmation of class certificate or functional equivalent printout issued by the classification society and dated a date no earlier than thirty (30) days prior to the Closing Date (or such longer period as the Administrative Agent may agree); </w:t>
      </w:r>
    </w:p>
    <w:p>
      <w:pPr>
        <w:pStyle w:val="TextBody"/>
        <w:bidi w:val="0"/>
        <w:spacing w:before="120" w:after="0"/>
        <w:jc w:val="left"/>
        <w:rPr>
          <w:rFonts w:ascii="Times New Roman" w:hAnsi="Times New Roman"/>
          <w:sz w:val="20"/>
        </w:rPr>
      </w:pPr>
      <w:r>
        <w:rPr>
          <w:rFonts w:ascii="Times New Roman" w:hAnsi="Times New Roman"/>
          <w:sz w:val="20"/>
        </w:rPr>
        <w:t xml:space="preserve">(vii) [reserved]; </w:t>
      </w:r>
    </w:p>
    <w:p>
      <w:pPr>
        <w:pStyle w:val="TextBody"/>
        <w:bidi w:val="0"/>
        <w:spacing w:before="120" w:after="0"/>
        <w:jc w:val="left"/>
        <w:rPr>
          <w:rFonts w:ascii="Times New Roman" w:hAnsi="Times New Roman"/>
          <w:sz w:val="20"/>
        </w:rPr>
      </w:pPr>
      <w:r>
        <w:rPr>
          <w:rFonts w:ascii="Times New Roman" w:hAnsi="Times New Roman"/>
          <w:sz w:val="20"/>
        </w:rPr>
        <w:t xml:space="preserve">(viii) to the extent applicable to any Vessel constituting Vessel Collateral, a copy of a valid United States Coast Guard Certificate of Financial Responsibility (or such other state equivalent); </w:t>
      </w:r>
    </w:p>
    <w:p>
      <w:pPr>
        <w:pStyle w:val="TextBody"/>
        <w:bidi w:val="0"/>
        <w:spacing w:before="120" w:after="0"/>
        <w:jc w:val="left"/>
        <w:rPr>
          <w:rFonts w:ascii="Times New Roman" w:hAnsi="Times New Roman"/>
          <w:sz w:val="20"/>
        </w:rPr>
      </w:pPr>
      <w:r>
        <w:rPr>
          <w:rFonts w:ascii="Times New Roman" w:hAnsi="Times New Roman"/>
          <w:sz w:val="20"/>
        </w:rPr>
        <w:t xml:space="preserve">(ix) with respect to any Vessel constituting Vessel Collateral that is subject to a bareboat, demise or other similar charter (other than time charters) or any similar agreement, a copy of such charter and such subordination agreements as the Administrative Agent may require; </w:t>
      </w:r>
    </w:p>
    <w:p>
      <w:pPr>
        <w:pStyle w:val="TextBody"/>
        <w:bidi w:val="0"/>
        <w:spacing w:before="120" w:after="0"/>
        <w:jc w:val="left"/>
        <w:rPr>
          <w:rFonts w:ascii="Times New Roman" w:hAnsi="Times New Roman"/>
          <w:sz w:val="20"/>
        </w:rPr>
      </w:pPr>
      <w:r>
        <w:rPr>
          <w:rFonts w:ascii="Times New Roman" w:hAnsi="Times New Roman"/>
          <w:sz w:val="20"/>
        </w:rPr>
        <w:t xml:space="preserve">(x) a copy of the current Certificate of Documentation for each Vessel constituting Vessel Collateral (including for Stacked Vessels) and, to the extent applicable, a copy of the current Certificate of Inspection for each such Vessel (other than any Stacked Vessels); </w:t>
      </w:r>
    </w:p>
    <w:p>
      <w:pPr>
        <w:pStyle w:val="TextBody"/>
        <w:bidi w:val="0"/>
        <w:spacing w:before="120" w:after="0"/>
        <w:jc w:val="left"/>
        <w:rPr>
          <w:rFonts w:ascii="Times New Roman" w:hAnsi="Times New Roman"/>
          <w:sz w:val="20"/>
        </w:rPr>
      </w:pPr>
      <w:r>
        <w:rPr>
          <w:rFonts w:ascii="Times New Roman" w:hAnsi="Times New Roman"/>
          <w:sz w:val="20"/>
        </w:rPr>
        <w:t xml:space="preserve">(xi) for each Vessel (other than for Stacked Vessels) constituting Vessel Collateral, to the extent applicable, a copy of the Load Line Certificate(s) for such Vessel and the ISM Code Documentation and ISPS Code Documentation for such Vessel; </w:t>
      </w:r>
    </w:p>
    <w:p>
      <w:pPr>
        <w:pStyle w:val="TextBody"/>
        <w:bidi w:val="0"/>
        <w:spacing w:before="120" w:after="0"/>
        <w:jc w:val="left"/>
        <w:rPr>
          <w:rFonts w:ascii="Times New Roman" w:hAnsi="Times New Roman"/>
          <w:sz w:val="20"/>
        </w:rPr>
      </w:pPr>
      <w:r>
        <w:rPr>
          <w:rFonts w:ascii="Times New Roman" w:hAnsi="Times New Roman"/>
          <w:sz w:val="20"/>
        </w:rPr>
        <w:t xml:space="preserve">(xii) [reserved]; </w:t>
      </w:r>
    </w:p>
    <w:p>
      <w:pPr>
        <w:pStyle w:val="TextBody"/>
        <w:bidi w:val="0"/>
        <w:spacing w:before="120" w:after="0"/>
        <w:jc w:val="left"/>
        <w:rPr>
          <w:rFonts w:ascii="Times New Roman" w:hAnsi="Times New Roman"/>
          <w:sz w:val="20"/>
        </w:rPr>
      </w:pPr>
      <w:r>
        <w:rPr>
          <w:rFonts w:ascii="Times New Roman" w:hAnsi="Times New Roman"/>
          <w:sz w:val="20"/>
        </w:rPr>
        <w:t xml:space="preserve">(xiii) [reserved]; and </w:t>
      </w:r>
    </w:p>
    <w:p>
      <w:pPr>
        <w:pStyle w:val="TextBody"/>
        <w:bidi w:val="0"/>
        <w:spacing w:before="120" w:after="0"/>
        <w:jc w:val="left"/>
        <w:rPr>
          <w:rFonts w:ascii="Times New Roman" w:hAnsi="Times New Roman"/>
          <w:sz w:val="20"/>
        </w:rPr>
      </w:pPr>
      <w:r>
        <w:rPr>
          <w:rFonts w:ascii="Times New Roman" w:hAnsi="Times New Roman"/>
          <w:sz w:val="20"/>
        </w:rPr>
        <w:t xml:space="preserve">(xiv) satisfactory payoff letters evidencing that all obligations under the Existing Second Lien Term Loan Agreement have been or concurrently with the Closing Date are being terminated and all Liens securing the obligations under the Existing Second Lien Term Loan Agreement are being released, together with all Lien releases, UCC-3 termination or partial release statements, account control agreement terminations, satisfactions of mortgages and all other termination statements and Lien releases and mortgage satisfactions reasonably required by the Administrative Agent.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any specific time periods described in this clause (a) may be modified as consented to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fees and expenses required to be paid hereunder on the Closing Date (and all fees and expenses required to be paid under the Fee Letter on the Closing Date) and, with respect to expenses and legal fees, to the extent invoiced in reasonable detail at least two (2) Business Days before the Closing Date (except as otherwise reasonably agreed to by the Borrower) shall have been paid in full in cash (or, with respect to amounts due on the Closing Date, will have been paid on the Closing Date from the proceeds of the Loans). </w:t>
      </w:r>
    </w:p>
    <w:p>
      <w:pPr>
        <w:pStyle w:val="TextBody"/>
        <w:bidi w:val="0"/>
        <w:spacing w:before="120" w:after="0"/>
        <w:jc w:val="left"/>
        <w:rPr>
          <w:rFonts w:ascii="Times New Roman" w:hAnsi="Times New Roman"/>
          <w:sz w:val="20"/>
        </w:rPr>
      </w:pPr>
      <w:r>
        <w:rPr>
          <w:rFonts w:ascii="Times New Roman" w:hAnsi="Times New Roman"/>
          <w:sz w:val="20"/>
        </w:rPr>
        <w:t xml:space="preserve">(c) The representations and warranties of the Borrower and the Guarantors set forth in this Agreement and in the other Loan Documents shall be true and correct in all material respects on and as of the Closing Date, except to the extent any such representations and warranties are expressly limited to an earlier date (in which case such representations and warranties shall be true and correct on and as of such earlier date); </w:t>
      </w:r>
      <w:r>
        <w:rPr>
          <w:rFonts w:ascii="Times New Roman" w:hAnsi="Times New Roman"/>
          <w:i/>
          <w:sz w:val="20"/>
        </w:rPr>
        <w:t>provided</w:t>
      </w:r>
      <w:r>
        <w:rPr>
          <w:rFonts w:ascii="Times New Roman" w:hAnsi="Times New Roman"/>
          <w:sz w:val="20"/>
        </w:rPr>
        <w:t xml:space="preserve">, that any representation and warranty that is qualified as to “materiality,” “Material Adverse Effect” or similar language shall be true and correct in all respects on such respective dates.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have received such other certificates, assignments, documents and instruments relating to the transactions contemplated by this Agreement as may have been reasonably requested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provisions of the last paragraph of </w:t>
      </w:r>
      <w:r>
        <w:rPr>
          <w:rFonts w:ascii="Times New Roman" w:hAnsi="Times New Roman"/>
          <w:sz w:val="20"/>
          <w:u w:val="single"/>
        </w:rPr>
        <w:t>Section 11.01</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4.02</w:t>
      </w:r>
      <w:r>
        <w:rPr>
          <w:rFonts w:ascii="Times New Roman" w:hAnsi="Times New Roman"/>
          <w:sz w:val="20"/>
        </w:rPr>
        <w:t xml:space="preserve">, each Lender that has funded Loans hereunder on the Closing Date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Closing Date specifying its objection thereto.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Borrower represents and warrants with respect to each of the following to the Lenders, the Administrative Agent and the Collateral Trustee, in each case, to the extent and, unless otherwise specifically agreed by the Borrower, only on the dates required by </w:t>
      </w:r>
      <w:r>
        <w:rPr>
          <w:rFonts w:ascii="Times New Roman" w:hAnsi="Times New Roman"/>
          <w:sz w:val="20"/>
          <w:u w:val="single"/>
        </w:rPr>
        <w:t>Section 4.01</w:t>
      </w:r>
      <w:r>
        <w:rPr>
          <w:rFonts w:ascii="Times New Roman" w:hAnsi="Times New Roman"/>
          <w:sz w:val="20"/>
        </w:rPr>
        <w:t xml:space="preserve"> or </w:t>
      </w:r>
      <w:r>
        <w:rPr>
          <w:rFonts w:ascii="Times New Roman" w:hAnsi="Times New Roman"/>
          <w:sz w:val="20"/>
          <w:u w:val="single"/>
        </w:rPr>
        <w:t>4.02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w:t>
      </w:r>
      <w:r>
        <w:rPr>
          <w:rFonts w:ascii="Times New Roman" w:hAnsi="Times New Roman"/>
          <w:b/>
          <w:sz w:val="20"/>
          <w:u w:val="single"/>
        </w:rPr>
        <w:t>Existence, Qualification and Power; Compliance with Laws</w:t>
      </w:r>
      <w:r>
        <w:rPr>
          <w:rFonts w:ascii="Times New Roman" w:hAnsi="Times New Roman"/>
          <w:sz w:val="20"/>
        </w:rPr>
        <w:t xml:space="preserve">. Each Loan Party and each Restricted Subsidiary that is not an Immaterial Subsidiary, </w:t>
      </w:r>
    </w:p>
    <w:p>
      <w:pPr>
        <w:pStyle w:val="TextBody"/>
        <w:bidi w:val="0"/>
        <w:spacing w:before="120" w:after="0"/>
        <w:jc w:val="left"/>
        <w:rPr>
          <w:rFonts w:ascii="Times New Roman" w:hAnsi="Times New Roman"/>
          <w:sz w:val="20"/>
        </w:rPr>
      </w:pPr>
      <w:r>
        <w:rPr>
          <w:rFonts w:ascii="Times New Roman" w:hAnsi="Times New Roman"/>
          <w:sz w:val="20"/>
        </w:rPr>
        <w:t xml:space="preserve">(a) is duly organized or formed, validly existing and in good standing under the Laws of the jurisdiction of its incorporation or organization (to the extent such concepts exist in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has all corporate or other organizational power and authority to (i) own its assets and carry on its business as currently conducted and (ii) in the case of the Loan Parties, execute, deliver and perform its obligations under the Loan Documents to which it is a party and consummate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is duly qualified and in good standing (to the extent such concepts exist in such jurisdiction) under the Laws of each jurisdiction where its ownership, lease or operation of properties or the conduct of its business requires such qualification; </w:t>
      </w:r>
    </w:p>
    <w:p>
      <w:pPr>
        <w:pStyle w:val="TextBody"/>
        <w:bidi w:val="0"/>
        <w:spacing w:before="120" w:after="0"/>
        <w:jc w:val="left"/>
        <w:rPr>
          <w:rFonts w:ascii="Times New Roman" w:hAnsi="Times New Roman"/>
          <w:sz w:val="20"/>
        </w:rPr>
      </w:pPr>
      <w:r>
        <w:rPr>
          <w:rFonts w:ascii="Times New Roman" w:hAnsi="Times New Roman"/>
          <w:sz w:val="20"/>
        </w:rPr>
        <w:t xml:space="preserve">(d) is in compliance with all applicable Laws; and </w:t>
      </w:r>
    </w:p>
    <w:p>
      <w:pPr>
        <w:pStyle w:val="TextBody"/>
        <w:bidi w:val="0"/>
        <w:spacing w:before="120" w:after="0"/>
        <w:jc w:val="left"/>
        <w:rPr>
          <w:rFonts w:ascii="Times New Roman" w:hAnsi="Times New Roman"/>
          <w:sz w:val="20"/>
        </w:rPr>
      </w:pPr>
      <w:r>
        <w:rPr>
          <w:rFonts w:ascii="Times New Roman" w:hAnsi="Times New Roman"/>
          <w:sz w:val="20"/>
        </w:rPr>
        <w:t xml:space="preserve">(e) has all requisite governmental licenses, authorizations, consents and approvals to operate its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except in each case referred to in </w:t>
      </w:r>
      <w:r>
        <w:rPr>
          <w:rFonts w:ascii="Times New Roman" w:hAnsi="Times New Roman"/>
          <w:sz w:val="20"/>
          <w:u w:val="single"/>
        </w:rPr>
        <w:t>clauses (a)</w:t>
      </w:r>
      <w:r>
        <w:rPr>
          <w:rFonts w:ascii="Times New Roman" w:hAnsi="Times New Roman"/>
          <w:sz w:val="20"/>
        </w:rPr>
        <w:t xml:space="preserve"> (other than with respect to the Borrower),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to the extent that failure to do so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xml:space="preserve"> </w:t>
      </w:r>
      <w:r>
        <w:rPr>
          <w:rFonts w:ascii="Times New Roman" w:hAnsi="Times New Roman"/>
          <w:b/>
          <w:sz w:val="20"/>
          <w:u w:val="single"/>
        </w:rPr>
        <w:t>Authorization; No Contravention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execution, delivery and performance by each Loan Party of each Loan Document to which it is a party has been duly authorized by all necessary corporate or other organizational action. </w:t>
      </w:r>
    </w:p>
    <w:p>
      <w:pPr>
        <w:pStyle w:val="TextBody"/>
        <w:bidi w:val="0"/>
        <w:spacing w:before="120" w:after="0"/>
        <w:jc w:val="left"/>
        <w:rPr>
          <w:rFonts w:ascii="Times New Roman" w:hAnsi="Times New Roman"/>
          <w:sz w:val="20"/>
        </w:rPr>
      </w:pPr>
      <w:r>
        <w:rPr>
          <w:rFonts w:ascii="Times New Roman" w:hAnsi="Times New Roman"/>
          <w:sz w:val="20"/>
        </w:rPr>
        <w:t xml:space="preserve">(b) Neither the execution, delivery and performance by each Loan Party of each Loan Document to which it is a party nor the consummation of the Transactions will, </w:t>
      </w:r>
    </w:p>
    <w:p>
      <w:pPr>
        <w:pStyle w:val="TextBody"/>
        <w:bidi w:val="0"/>
        <w:spacing w:before="120" w:after="0"/>
        <w:jc w:val="left"/>
        <w:rPr>
          <w:rFonts w:ascii="Times New Roman" w:hAnsi="Times New Roman"/>
          <w:sz w:val="20"/>
        </w:rPr>
      </w:pPr>
      <w:r>
        <w:rPr>
          <w:rFonts w:ascii="Times New Roman" w:hAnsi="Times New Roman"/>
          <w:sz w:val="20"/>
        </w:rPr>
        <w:t xml:space="preserve">(i) contravene the terms of any of its Organization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(ii) result in any breach or contravention of, or the creation of any Lien (other than a Permitted Lien) upon any of the property or assets of such Loan Party or any of the Restricted Subsidiaries under (A) any contractual obligation relating to Material Indebtedness or (B) any order, injunction, writ or decree of any Governmental Authority or any arbitral award to which such Loan Party or its property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violate any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(iv) require any approval of stockholders, members or partners or any approval or consent of any Person under any contractual obligation relating to Material Indebtedness, except for such approvals or consents which will be obtained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except with respect to any breach, contravention or violation (but not creation of Liens) referred to in </w:t>
      </w:r>
      <w:r>
        <w:rPr>
          <w:rFonts w:ascii="Times New Roman" w:hAnsi="Times New Roman"/>
          <w:sz w:val="20"/>
          <w:u w:val="single"/>
        </w:rPr>
        <w:t>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to the extent that such breach, contravention or violation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w:t>
      </w:r>
      <w:r>
        <w:rPr>
          <w:rFonts w:ascii="Times New Roman" w:hAnsi="Times New Roman"/>
          <w:b/>
          <w:sz w:val="20"/>
          <w:u w:val="single"/>
        </w:rPr>
        <w:t>Governmental Authorization</w:t>
      </w:r>
      <w:r>
        <w:rPr>
          <w:rFonts w:ascii="Times New Roman" w:hAnsi="Times New Roman"/>
          <w:sz w:val="20"/>
        </w:rPr>
        <w:t xml:space="preserve">. No material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except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filings necessary to perfect the Liens on the Collateral granted by the Loan Parties in favor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(b) 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 </w:t>
      </w:r>
    </w:p>
    <w:p>
      <w:pPr>
        <w:pStyle w:val="TextBody"/>
        <w:bidi w:val="0"/>
        <w:spacing w:before="120" w:after="0"/>
        <w:jc w:val="left"/>
        <w:rPr>
          <w:rFonts w:ascii="Times New Roman" w:hAnsi="Times New Roman"/>
          <w:sz w:val="20"/>
        </w:rPr>
      </w:pPr>
      <w:r>
        <w:rPr>
          <w:rFonts w:ascii="Times New Roman" w:hAnsi="Times New Roman"/>
          <w:sz w:val="20"/>
        </w:rPr>
        <w:t xml:space="preserve">(c) those approvals, consents, exemptions, authorizations or other actions, notices or filings, the failure of which to obtain or make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w:t>
      </w:r>
      <w:r>
        <w:rPr>
          <w:rFonts w:ascii="Times New Roman" w:hAnsi="Times New Roman"/>
          <w:sz w:val="20"/>
        </w:rPr>
        <w:t xml:space="preserve"> </w:t>
      </w:r>
      <w:r>
        <w:rPr>
          <w:rFonts w:ascii="Times New Roman" w:hAnsi="Times New Roman"/>
          <w:b/>
          <w:sz w:val="20"/>
          <w:u w:val="single"/>
        </w:rPr>
        <w:t>Binding Effect</w:t>
      </w:r>
      <w:r>
        <w:rPr>
          <w:rFonts w:ascii="Times New Roman" w:hAnsi="Times New Roman"/>
          <w:sz w:val="20"/>
        </w:rPr>
        <w:t xml:space="preserve">. This Agreement and each other Loan Document has been duly executed and delivered by each Loan Party that is party hereto and thereto. This Agreement and each other Loan Document constitutes a legal, valid and binding obligation of each Loan Party, enforceable against each Loan Party that is party thereto in accordance with its terms, except as such enforceability may be limited by Debtor Relief Laws and by general principles of equity and principles of good faith and fair dealing.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w:t>
      </w:r>
      <w:r>
        <w:rPr>
          <w:rFonts w:ascii="Times New Roman" w:hAnsi="Times New Roman"/>
          <w:b/>
          <w:sz w:val="20"/>
          <w:u w:val="single"/>
        </w:rPr>
        <w:t>Financial Statements; No 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Financial Statements fairly present in all material respects the financial condition of the Borrower and its Subsidiaries as of the dates thereof and their results of operations for the period covered thereby in accordance with GAAP (as in effect on the Closing Date (or the date of preparation)) consistently applied throughout the periods covered thereby, except as otherwise expressly noted therein. </w:t>
      </w:r>
    </w:p>
    <w:p>
      <w:pPr>
        <w:pStyle w:val="TextBody"/>
        <w:bidi w:val="0"/>
        <w:spacing w:before="120" w:after="0"/>
        <w:jc w:val="left"/>
        <w:rPr>
          <w:rFonts w:ascii="Times New Roman" w:hAnsi="Times New Roman"/>
          <w:sz w:val="20"/>
        </w:rPr>
      </w:pPr>
      <w:r>
        <w:rPr>
          <w:rFonts w:ascii="Times New Roman" w:hAnsi="Times New Roman"/>
          <w:sz w:val="20"/>
        </w:rPr>
        <w:t xml:space="preserve">(b) Since the Closing Date, there has been no event or circumstance, either individually or in the aggregate, that has resulted in, and is reasonably expected, individually or in the aggregate,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The forecasts of consolidated balance sheets and statements of comprehensive income (loss) of the Borrower and its Subsidiaries which have been furnished to the Administrative Agent prior to the Closing Date, when taken as a whole, have been prepared in good faith on the basis of the assumptions stated therein, which assumptions were believed to be reasonable at the time made and at the time the forecasts are delivered, it being understood that (i) no forecasts are to be viewed as facts, (ii) any forecasts are subject to significant uncertainties and contingencies, many of which are beyond the control of the Loan Parties or the Sponsors, (iii) no assurance can be given that any particular forecasts will be realized and (iv) actual results may differ and such differences may be material.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5.06</w:t>
      </w:r>
      <w:r>
        <w:rPr>
          <w:rFonts w:ascii="Times New Roman" w:hAnsi="Times New Roman"/>
          <w:sz w:val="20"/>
        </w:rPr>
        <w:t xml:space="preserve"> </w:t>
      </w:r>
      <w:r>
        <w:rPr>
          <w:rFonts w:ascii="Times New Roman" w:hAnsi="Times New Roman"/>
          <w:b/>
          <w:sz w:val="20"/>
          <w:u w:val="single"/>
        </w:rPr>
        <w:t>Litigation</w:t>
      </w:r>
      <w:r>
        <w:rPr>
          <w:rFonts w:ascii="Times New Roman" w:hAnsi="Times New Roman"/>
          <w:sz w:val="20"/>
        </w:rPr>
        <w:t xml:space="preserve">. Except as set forth in </w:t>
      </w:r>
      <w:r>
        <w:rPr>
          <w:rFonts w:ascii="Times New Roman" w:hAnsi="Times New Roman"/>
          <w:sz w:val="20"/>
          <w:u w:val="single"/>
        </w:rPr>
        <w:t>Schedule 5.06</w:t>
      </w:r>
      <w:r>
        <w:rPr>
          <w:rFonts w:ascii="Times New Roman" w:hAnsi="Times New Roman"/>
          <w:sz w:val="20"/>
        </w:rPr>
        <w:t xml:space="preserve">, there are no actions, suits, proceedings, claims or disputes pending or, to the knowledge of the Borrower, overtly threatened in writing, at law, in equity, in arbitration or before any Governmental Authority, by or against the Borrower or any of the Restricted Subsidiaries that has resulted in or if determined adversely would reasonably be expected, individually or in the aggregate, to result in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r>
        <w:rPr>
          <w:rFonts w:ascii="Times New Roman" w:hAnsi="Times New Roman"/>
          <w:b/>
          <w:sz w:val="20"/>
          <w:u w:val="single"/>
        </w:rPr>
        <w:t>Labor Matters</w:t>
      </w:r>
      <w:r>
        <w:rPr>
          <w:rFonts w:ascii="Times New Roman" w:hAnsi="Times New Roman"/>
          <w:sz w:val="20"/>
        </w:rPr>
        <w:t xml:space="preserve">. Except as set forth on </w:t>
      </w:r>
      <w:r>
        <w:rPr>
          <w:rFonts w:ascii="Times New Roman" w:hAnsi="Times New Roman"/>
          <w:sz w:val="20"/>
          <w:u w:val="single"/>
        </w:rPr>
        <w:t>Schedule 5.07</w:t>
      </w:r>
      <w:r>
        <w:rPr>
          <w:rFonts w:ascii="Times New Roman" w:hAnsi="Times New Roman"/>
          <w:sz w:val="20"/>
        </w:rPr>
        <w:t xml:space="preserve"> or except as has not resulted in, or is not reasonably expected, individually or in the aggregate, to result in a Material Adverse Effect: (a) there are no strikes or other labor disputes against any of the Borrower or the Restricted Subsidiaries pending or, to the knowledge of the Borrower, threatened and (b) hours worked by and payment made based on hours worked to employees of the Borrower or a Restricted Subsidiary have not been in material violation of the Fair Labor Standards Act or any other applicable Laws dealing with wage and hour matters.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w:t>
      </w:r>
      <w:r>
        <w:rPr>
          <w:rFonts w:ascii="Times New Roman" w:hAnsi="Times New Roman"/>
          <w:b/>
          <w:sz w:val="20"/>
          <w:u w:val="single"/>
        </w:rPr>
        <w:t>Ownership of Property; Liens</w:t>
      </w:r>
      <w:r>
        <w:rPr>
          <w:rFonts w:ascii="Times New Roman" w:hAnsi="Times New Roman"/>
          <w:sz w:val="20"/>
        </w:rPr>
        <w:t xml:space="preserve">. Each Loan Party and each Restricted Subsidiary has good and valid record title in fee simple to, or valid leasehold interests in, or easements or other limited property interests in, all real property necessary in the ordinary conduct of its business, free and clear of all Liens except for Permitted Liens and except where the failure to have such title or other interest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r>
        <w:rPr>
          <w:rFonts w:ascii="Times New Roman" w:hAnsi="Times New Roman"/>
          <w:b/>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has not resulted in, or is not reasonably expected, individually or in the aggregate, to result in a Material Adverse Effect, (i) the Loan Parties and the Restricted Subsidiaries are in compliance with all applicable Environmental Laws (including having obtained all Environmental Permits) and (ii) none of the Loan Parties or any of the Restricted Subsidiaries is subject to any pending, or to the knowledge of the Loan Parties, threatened Environmental Claim or any other Environmental Liability. </w:t>
      </w:r>
    </w:p>
    <w:p>
      <w:pPr>
        <w:pStyle w:val="TextBody"/>
        <w:bidi w:val="0"/>
        <w:spacing w:before="120" w:after="0"/>
        <w:jc w:val="left"/>
        <w:rPr>
          <w:rFonts w:ascii="Times New Roman" w:hAnsi="Times New Roman"/>
          <w:sz w:val="20"/>
        </w:rPr>
      </w:pPr>
      <w:r>
        <w:rPr>
          <w:rFonts w:ascii="Times New Roman" w:hAnsi="Times New Roman"/>
          <w:sz w:val="20"/>
        </w:rPr>
        <w:t xml:space="preserve">(b) None of the Loan Parties or any of the Restricted Subsidiaries has used, released, treated, stored, transported or disposed of Hazardous Materials, at or from any currently or formerly owned or operated real estate or facility relating to its business, in violation of Environmental Law and in a manner that has resulted in, or is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5.10</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Except as has not resulted in, or is not reasonably expected, individually or in the aggregate, to result in a Material Adverse Effect, the Borrower and the Restricted Subsidiaries have timely filed all tax returns and reports required to be filed, and have paid all foreign, U.S. federal and state, and other Taxes, assessments, fees and other governmental charges levied or imposed on their properties, income or assets or otherwise due and payable, except those which are being contested in good faith by appropriate actions diligently conducted and for which adequate reserves have been provided in accordance with GAAP.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5.11</w:t>
      </w:r>
      <w:r>
        <w:rPr>
          <w:rFonts w:ascii="Times New Roman" w:hAnsi="Times New Roman"/>
          <w:sz w:val="20"/>
        </w:rPr>
        <w:t xml:space="preserve"> </w:t>
      </w:r>
      <w:r>
        <w:rPr>
          <w:rFonts w:ascii="Times New Roman" w:hAnsi="Times New Roman"/>
          <w:b/>
          <w:sz w:val="20"/>
          <w:u w:val="single"/>
        </w:rPr>
        <w:t>ERISA Compliance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Schedule 5.11(a)</w:t>
      </w:r>
      <w:r>
        <w:rPr>
          <w:rFonts w:ascii="Times New Roman" w:hAnsi="Times New Roman"/>
          <w:sz w:val="20"/>
        </w:rPr>
        <w:t xml:space="preserve"> or has not resulted in, or would not reasonably be expected, individually or in the aggregate, to result in a Material Adverse Effect, each Plan is in compliance with the terms of such Plan and applicable provisions of ERISA, the Code and other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Schedule 5.11(b)</w:t>
      </w:r>
      <w:r>
        <w:rPr>
          <w:rFonts w:ascii="Times New Roman" w:hAnsi="Times New Roman"/>
          <w:sz w:val="20"/>
        </w:rPr>
        <w:t xml:space="preserve"> or, with respect to each of the below clauses of this </w:t>
      </w:r>
      <w:r>
        <w:rPr>
          <w:rFonts w:ascii="Times New Roman" w:hAnsi="Times New Roman"/>
          <w:sz w:val="20"/>
          <w:u w:val="single"/>
        </w:rPr>
        <w:t>Section 5.11(b)</w:t>
      </w:r>
      <w:r>
        <w:rPr>
          <w:rFonts w:ascii="Times New Roman" w:hAnsi="Times New Roman"/>
          <w:sz w:val="20"/>
        </w:rPr>
        <w:t xml:space="preserve">, as has not resulted in, or would not reasonably be expected, individually or in the aggregate,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no ERISA Event or Foreign Plan Event has occurred; </w:t>
      </w:r>
    </w:p>
    <w:p>
      <w:pPr>
        <w:pStyle w:val="TextBody"/>
        <w:bidi w:val="0"/>
        <w:spacing w:before="120" w:after="0"/>
        <w:jc w:val="left"/>
        <w:rPr>
          <w:rFonts w:ascii="Times New Roman" w:hAnsi="Times New Roman"/>
          <w:sz w:val="20"/>
        </w:rPr>
      </w:pPr>
      <w:r>
        <w:rPr>
          <w:rFonts w:ascii="Times New Roman" w:hAnsi="Times New Roman"/>
          <w:sz w:val="20"/>
        </w:rPr>
        <w:t xml:space="preserve">(ii) no Pension Plan has failed to satisfy the minimum funding standards (within the meaning of Section 412 of the Code or Section 302 of ERISA) applicable to such Pension Plan; </w:t>
      </w:r>
    </w:p>
    <w:p>
      <w:pPr>
        <w:pStyle w:val="TextBody"/>
        <w:bidi w:val="0"/>
        <w:spacing w:before="120" w:after="0"/>
        <w:jc w:val="left"/>
        <w:rPr>
          <w:rFonts w:ascii="Times New Roman" w:hAnsi="Times New Roman"/>
          <w:sz w:val="20"/>
        </w:rPr>
      </w:pPr>
      <w:r>
        <w:rPr>
          <w:rFonts w:ascii="Times New Roman" w:hAnsi="Times New Roman"/>
          <w:sz w:val="20"/>
        </w:rPr>
        <w:t xml:space="preserve">(iii) neither the Borrower, nor any Guarantor nor any of their respective ERISA Affiliates has incurred, or would reasonably be expected to incur, any liability (and no event has occurred which, with the giving of notice under Section 4219 of ERISA, would result in such liability) under Sections 4201 et seq. of ERISA with respect to a Multiemployer Plan; </w:t>
      </w:r>
    </w:p>
    <w:p>
      <w:pPr>
        <w:pStyle w:val="TextBody"/>
        <w:bidi w:val="0"/>
        <w:spacing w:before="120" w:after="0"/>
        <w:jc w:val="left"/>
        <w:rPr>
          <w:rFonts w:ascii="Times New Roman" w:hAnsi="Times New Roman"/>
          <w:sz w:val="20"/>
        </w:rPr>
      </w:pPr>
      <w:r>
        <w:rPr>
          <w:rFonts w:ascii="Times New Roman" w:hAnsi="Times New Roman"/>
          <w:sz w:val="20"/>
        </w:rPr>
        <w:t xml:space="preserve">(iv) neither the Borrower, nor any Guarantor nor any of their respective ERISA Affiliates has engaged in a transaction that is subject to Sections 4069 or 4212(c) of ERISA; and </w:t>
      </w:r>
    </w:p>
    <w:p>
      <w:pPr>
        <w:pStyle w:val="TextBody"/>
        <w:bidi w:val="0"/>
        <w:spacing w:before="120" w:after="0"/>
        <w:jc w:val="left"/>
        <w:rPr>
          <w:rFonts w:ascii="Times New Roman" w:hAnsi="Times New Roman"/>
          <w:sz w:val="20"/>
        </w:rPr>
      </w:pPr>
      <w:r>
        <w:rPr>
          <w:rFonts w:ascii="Times New Roman" w:hAnsi="Times New Roman"/>
          <w:sz w:val="20"/>
        </w:rPr>
        <w:t xml:space="preserve">(v) neither the Borrower, nor any Guarantor nor any ERISA Affiliate has been notified in writing that a Multiemployer Plan is insolvent (within the meaning of Section 4245 of ERISA) or has been determined to be in “endangered” or “critical” status (within the meaning of Section 432 of the Code or Section 305 of ERISA) and no such Multiemployer Plan is expected to be insolvent or in endangered or critical status.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5.12</w:t>
      </w:r>
      <w:r>
        <w:rPr>
          <w:rFonts w:ascii="Times New Roman" w:hAnsi="Times New Roman"/>
          <w:sz w:val="20"/>
        </w:rPr>
        <w:t xml:space="preserve"> </w:t>
      </w:r>
      <w:r>
        <w:rPr>
          <w:rFonts w:ascii="Times New Roman" w:hAnsi="Times New Roman"/>
          <w:b/>
          <w:sz w:val="20"/>
          <w:u w:val="single"/>
        </w:rPr>
        <w:t>Subsidiaries</w:t>
      </w:r>
      <w:r>
        <w:rPr>
          <w:rFonts w:ascii="Times New Roman" w:hAnsi="Times New Roman"/>
          <w:sz w:val="20"/>
        </w:rPr>
        <w:t xml:space="preserve">. As of the Closing Date, all of the outstanding Equity Interests in the Borrower and each Restricted Subsidiary have been validly issued and are fully paid and (if applicable) non-assessable, and all Equity Interests owned by the Borrower or any Guarantor in any of their respective direct Material Subsidiaries are owned free and clear of all Liens (other than Permitted Liens) of any Person. As of the Closing Date, </w:t>
      </w:r>
      <w:r>
        <w:rPr>
          <w:rFonts w:ascii="Times New Roman" w:hAnsi="Times New Roman"/>
          <w:sz w:val="20"/>
          <w:u w:val="single"/>
        </w:rPr>
        <w:t>Schedule 5.12</w:t>
      </w:r>
      <w:r>
        <w:rPr>
          <w:rFonts w:ascii="Times New Roman" w:hAnsi="Times New Roman"/>
          <w:sz w:val="20"/>
        </w:rPr>
        <w:t xml:space="preserve"> (i) sets forth the name and jurisdiction of each Subsidiary, (ii) sets forth the ownership interest of the Borrower and each Subsidiary in each Subsidiary, including the percentage of such ownership and (iii) identifies each Subsidiary that is a Subsidiary the Equity Interests of which are required to be pledged on the Closing Date pursuant to the Collateral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5.13</w:t>
      </w:r>
      <w:r>
        <w:rPr>
          <w:rFonts w:ascii="Times New Roman" w:hAnsi="Times New Roman"/>
          <w:sz w:val="20"/>
        </w:rPr>
        <w:t xml:space="preserve"> </w:t>
      </w:r>
      <w:r>
        <w:rPr>
          <w:rFonts w:ascii="Times New Roman" w:hAnsi="Times New Roman"/>
          <w:b/>
          <w:sz w:val="20"/>
          <w:u w:val="single"/>
        </w:rPr>
        <w:t>Margin Regulations; 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Closing Date, none of the Collateral is Margin Stock. 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Loan will be used for any purpose that violates Regulation U. </w:t>
      </w:r>
    </w:p>
    <w:p>
      <w:pPr>
        <w:pStyle w:val="TextBody"/>
        <w:bidi w:val="0"/>
        <w:spacing w:before="120" w:after="0"/>
        <w:jc w:val="left"/>
        <w:rPr>
          <w:rFonts w:ascii="Times New Roman" w:hAnsi="Times New Roman"/>
          <w:sz w:val="20"/>
        </w:rPr>
      </w:pPr>
      <w:r>
        <w:rPr>
          <w:rFonts w:ascii="Times New Roman" w:hAnsi="Times New Roman"/>
          <w:sz w:val="20"/>
        </w:rPr>
        <w:t xml:space="preserve">(b) Neither the Borrower nor any Guarantor is an “investment company” under the Investment Company Act of 1940.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5.14</w:t>
      </w:r>
      <w:r>
        <w:rPr>
          <w:rFonts w:ascii="Times New Roman" w:hAnsi="Times New Roman"/>
          <w:sz w:val="20"/>
        </w:rPr>
        <w:t xml:space="preserve"> </w:t>
      </w:r>
      <w:r>
        <w:rPr>
          <w:rFonts w:ascii="Times New Roman" w:hAnsi="Times New Roman"/>
          <w:b/>
          <w:sz w:val="20"/>
          <w:u w:val="single"/>
        </w:rPr>
        <w:t>Disclosure</w:t>
      </w:r>
      <w:r>
        <w:rPr>
          <w:rFonts w:ascii="Times New Roman" w:hAnsi="Times New Roman"/>
          <w:sz w:val="20"/>
        </w:rPr>
        <w:t xml:space="preserve">. As of the Closing Date, none of the written information and written data heretofore or contemporaneously furnished in writing by or on behalf of the Borrower or any Guarantor to any Agent or any Lender on or prior to the Closing Date in connection with the transactions contemplated hereby and the negotiation of this Agreement or delivered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other Loan Document on or prior to the Closing Date,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it being understood that for purposes of this </w:t>
      </w:r>
      <w:r>
        <w:rPr>
          <w:rFonts w:ascii="Times New Roman" w:hAnsi="Times New Roman"/>
          <w:sz w:val="20"/>
          <w:u w:val="single"/>
        </w:rPr>
        <w:t>Section 5.14</w:t>
      </w:r>
      <w:r>
        <w:rPr>
          <w:rFonts w:ascii="Times New Roman" w:hAnsi="Times New Roman"/>
          <w:sz w:val="20"/>
        </w:rPr>
        <w:t xml:space="preserve">, such written information and written data shall not include projections, </w:t>
      </w:r>
      <w:r>
        <w:rPr>
          <w:rFonts w:ascii="Times New Roman" w:hAnsi="Times New Roman"/>
          <w:i/>
          <w:sz w:val="20"/>
        </w:rPr>
        <w:t xml:space="preserve">pro forma </w:t>
      </w:r>
      <w:r>
        <w:rPr>
          <w:rFonts w:ascii="Times New Roman" w:hAnsi="Times New Roman"/>
          <w:sz w:val="20"/>
        </w:rPr>
        <w:t xml:space="preserve">financial information, financial estimates, forecasts and forward-looking information or information of a general economic or general industry nature.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5.15</w:t>
      </w:r>
      <w:r>
        <w:rPr>
          <w:rFonts w:ascii="Times New Roman" w:hAnsi="Times New Roman"/>
          <w:sz w:val="20"/>
        </w:rPr>
        <w:t xml:space="preserve"> </w:t>
      </w:r>
      <w:r>
        <w:rPr>
          <w:rFonts w:ascii="Times New Roman" w:hAnsi="Times New Roman"/>
          <w:b/>
          <w:sz w:val="20"/>
          <w:u w:val="single"/>
        </w:rPr>
        <w:t>Properties; Titles,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relevant Loan Parties have good title to all of the Vessel Collateral, free and clear of all Liens except (i) Liens pursuant to the Loan Documents, (ii) Permitted Liens of the type permitted under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(oo)</w:t>
      </w:r>
      <w:r>
        <w:rPr>
          <w:rFonts w:ascii="Times New Roman" w:hAnsi="Times New Roman"/>
          <w:sz w:val="20"/>
        </w:rPr>
        <w:t xml:space="preserve"> of </w:t>
      </w:r>
      <w:r>
        <w:rPr>
          <w:rFonts w:ascii="Times New Roman" w:hAnsi="Times New Roman"/>
          <w:sz w:val="20"/>
          <w:u w:val="single"/>
        </w:rPr>
        <w:t>Section 7.01</w:t>
      </w:r>
      <w:r>
        <w:rPr>
          <w:rFonts w:ascii="Times New Roman" w:hAnsi="Times New Roman"/>
          <w:sz w:val="20"/>
        </w:rPr>
        <w:t xml:space="preserve"> and (iii) Liens being released on the Closing Date. Set forth on </w:t>
      </w:r>
      <w:r>
        <w:rPr>
          <w:rFonts w:ascii="Times New Roman" w:hAnsi="Times New Roman"/>
          <w:sz w:val="20"/>
          <w:u w:val="single"/>
        </w:rPr>
        <w:t>Schedule 5.15</w:t>
      </w:r>
      <w:r>
        <w:rPr>
          <w:rFonts w:ascii="Times New Roman" w:hAnsi="Times New Roman"/>
          <w:sz w:val="20"/>
        </w:rPr>
        <w:t xml:space="preserve"> hereto is a complete and accurate list of all Vessel Collateral owned by each Loan Party as of the Closing Date and to be subject to the Vessel Mortgage on the Closing Date; as of the Closing Date all Vessel Collateral is duly documented in the name of the applicable Loan Party as shipowner under the laws and flag of the United States and, except as set forth on </w:t>
      </w:r>
      <w:r>
        <w:rPr>
          <w:rFonts w:ascii="Times New Roman" w:hAnsi="Times New Roman"/>
          <w:sz w:val="20"/>
          <w:u w:val="single"/>
        </w:rPr>
        <w:t>Schedule 5.15</w:t>
      </w:r>
      <w:r>
        <w:rPr>
          <w:rFonts w:ascii="Times New Roman" w:hAnsi="Times New Roman"/>
          <w:sz w:val="20"/>
        </w:rPr>
        <w:t xml:space="preserve">, eligible to operate in the coastwise trade of the United States. Each Loan Party that owns Vessel Collateral is (i) if such Vessel Collateral is one or more Vessels registered under the laws and flag of the United States, a citizen of the United States within the meaning of Section 2(c) of the Shipping Act, 1916, as amended (46 U.S.C. § 50501), eligible to own and operate vessels in the coastwise trade of the United States, or (ii) eligible to own and operate vessels in whatever jurisdiction and trade the Vessel Collateral is qualified, as applicable.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permitted under the Loan Documents including the last sentence of this </w:t>
      </w:r>
      <w:r>
        <w:rPr>
          <w:rFonts w:ascii="Times New Roman" w:hAnsi="Times New Roman"/>
          <w:sz w:val="20"/>
          <w:u w:val="single"/>
        </w:rPr>
        <w:t>Section 5.15(b)</w:t>
      </w:r>
      <w:r>
        <w:rPr>
          <w:rFonts w:ascii="Times New Roman" w:hAnsi="Times New Roman"/>
          <w:sz w:val="20"/>
        </w:rPr>
        <w:t xml:space="preserve">, all filings and other actions on behalf of the Borrower or, as applicable, any Restricted Subsidiary of the Borrower necessary or desirable to perfect and protect the security interest in the Vessel Collateral created under the Vessel Mortgages have been duly made or taken (or arrangements reasonably satisfactory to the Lenders with respect thereto have been made) and such security interests are in full force and effect, and the Vessel Mortgages create in favor of the Collateral Trustee or trustee/mortgagee, as the case may be, for the benefit of the Secured Parties a valid and, together with such filings, recordations and other actions, when effected, perfected first priority security interest (except for Permitted Liens of the type permitted under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(tt)</w:t>
      </w:r>
      <w:r>
        <w:rPr>
          <w:rFonts w:ascii="Times New Roman" w:hAnsi="Times New Roman"/>
          <w:sz w:val="20"/>
        </w:rPr>
        <w:t xml:space="preserve"> of the </w:t>
      </w:r>
      <w:r>
        <w:rPr>
          <w:rFonts w:ascii="Times New Roman" w:hAnsi="Times New Roman"/>
          <w:sz w:val="20"/>
          <w:u w:val="single"/>
        </w:rPr>
        <w:t>Section 7.01</w:t>
      </w:r>
      <w:r>
        <w:rPr>
          <w:rFonts w:ascii="Times New Roman" w:hAnsi="Times New Roman"/>
          <w:sz w:val="20"/>
        </w:rPr>
        <w:t xml:space="preserve">) in the Vessel Collateral, securing the payment of the Indebtedness. To the extent that the Vessel Collateral is registered under the laws and flag of the United States, the Vessel Mortgage, executed and delivered, creates in favor of the Collateral Trustee, as trustee/mortgagee, a legal, valid, and enforceable first preferred mortgage lien over the whole of the Vessel Collateral therein named and when duly recorded shall constitute a perfected first “preferred mortgage” within the meaning of Section 31301(6)(B) of Title 46 of the United States Code, entitled to the benefits accorded to a first preferred mortgage on a vessel registered under the laws and flag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of the material properties of the Borrower and its Restricted Subsidiaries that are reasonably necessary for the operation of their businesses (other than Stacked Vessels) are in good working condition, ordinary wear and tear excepted, and are maintained in accordance with reasonable commercial business standards, except (i) as set forth in </w:t>
      </w:r>
      <w:r>
        <w:rPr>
          <w:rFonts w:ascii="Times New Roman" w:hAnsi="Times New Roman"/>
          <w:sz w:val="20"/>
          <w:u w:val="single"/>
        </w:rPr>
        <w:t>Schedule 5.15</w:t>
      </w:r>
      <w:r>
        <w:rPr>
          <w:rFonts w:ascii="Times New Roman" w:hAnsi="Times New Roman"/>
          <w:sz w:val="20"/>
        </w:rPr>
        <w:t xml:space="preserve"> or (ii) where the failure to be in such condition or maintain such property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5.16</w:t>
      </w:r>
      <w:r>
        <w:rPr>
          <w:rFonts w:ascii="Times New Roman" w:hAnsi="Times New Roman"/>
          <w:sz w:val="20"/>
        </w:rPr>
        <w:t xml:space="preserve"> </w:t>
      </w:r>
      <w:r>
        <w:rPr>
          <w:rFonts w:ascii="Times New Roman" w:hAnsi="Times New Roman"/>
          <w:b/>
          <w:sz w:val="20"/>
          <w:u w:val="single"/>
        </w:rPr>
        <w:t>Solvency</w:t>
      </w:r>
      <w:r>
        <w:rPr>
          <w:rFonts w:ascii="Times New Roman" w:hAnsi="Times New Roman"/>
          <w:sz w:val="20"/>
        </w:rPr>
        <w:t xml:space="preserve">. On the Closing Date after giving effect to the Transactions, the Borrower and its Subsidiaries, on a consolidated basis, are Solvent.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5.17</w:t>
      </w:r>
      <w:r>
        <w:rPr>
          <w:rFonts w:ascii="Times New Roman" w:hAnsi="Times New Roman"/>
          <w:sz w:val="20"/>
        </w:rPr>
        <w:t xml:space="preserve"> </w:t>
      </w:r>
      <w:r>
        <w:rPr>
          <w:rFonts w:ascii="Times New Roman" w:hAnsi="Times New Roman"/>
          <w:b/>
          <w:sz w:val="20"/>
          <w:u w:val="single"/>
        </w:rPr>
        <w:t>Compliance with Anti-Corruption Laws and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Relevant Person is: </w:t>
      </w:r>
    </w:p>
    <w:p>
      <w:pPr>
        <w:pStyle w:val="TextBody"/>
        <w:bidi w:val="0"/>
        <w:spacing w:before="120" w:after="0"/>
        <w:jc w:val="left"/>
        <w:rPr>
          <w:rFonts w:ascii="Times New Roman" w:hAnsi="Times New Roman"/>
          <w:sz w:val="20"/>
        </w:rPr>
      </w:pPr>
      <w:r>
        <w:rPr>
          <w:rFonts w:ascii="Times New Roman" w:hAnsi="Times New Roman"/>
          <w:sz w:val="20"/>
        </w:rPr>
        <w:t xml:space="preserve">(i) a Restricted Party; or </w:t>
      </w:r>
    </w:p>
    <w:p>
      <w:pPr>
        <w:pStyle w:val="TextBody"/>
        <w:bidi w:val="0"/>
        <w:spacing w:before="120" w:after="0"/>
        <w:jc w:val="left"/>
        <w:rPr>
          <w:rFonts w:ascii="Times New Roman" w:hAnsi="Times New Roman"/>
          <w:sz w:val="20"/>
        </w:rPr>
      </w:pPr>
      <w:r>
        <w:rPr>
          <w:rFonts w:ascii="Times New Roman" w:hAnsi="Times New Roman"/>
          <w:sz w:val="20"/>
        </w:rPr>
        <w:t xml:space="preserve">(ii) to its knowledge the subject of any claim, proceeding, formal notice, investigation or other action by any regulatory or enforcement authority concerning any alleged violation of Sanctions.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has implemented and maintains in effect policies and procedures designed to ensure compliance by the Borrower, its Subsidiaries and their respective directors, officers, employees and agents with applicable Anti-Corruption Laws and Sanctions, and the Borrower, its Subsidiaries and their respective officers and directors and to the knowledge of the Borrower its employees and agents, are in compliance with applicable Anti-Corruption Laws and Sanctions in all material respects and are not knowingly engaged in any activity that would reasonably be expected to result in the Borrower being designated as a Sanctioned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5.18 </w:t>
      </w:r>
      <w:r>
        <w:rPr>
          <w:rFonts w:ascii="Times New Roman" w:hAnsi="Times New Roman"/>
          <w:b/>
          <w:sz w:val="20"/>
          <w:u w:val="single"/>
        </w:rPr>
        <w:t>Collateral Documents</w:t>
      </w:r>
      <w:r>
        <w:rPr>
          <w:rFonts w:ascii="Times New Roman" w:hAnsi="Times New Roman"/>
          <w:sz w:val="20"/>
        </w:rPr>
        <w:t xml:space="preserve">.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the Collateral Trustee of any Pledged Collateral required to be delivered pursuant to the applicable Collateral Documents), are effective to create in favor of the Collateral Trustee for the benefit of the Secured Parties a legal, valid and enforceable perfected Lien (subject to Permitted Liens) with the applicable priority contemplated herein or in the other Loan Documents on all right, title and interest of the Borrower and the applicable Guarantors, respectively, in the Collateral described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5.19</w:t>
      </w:r>
      <w:r>
        <w:rPr>
          <w:rFonts w:ascii="Times New Roman" w:hAnsi="Times New Roman"/>
          <w:sz w:val="20"/>
        </w:rPr>
        <w:t xml:space="preserve"> </w:t>
      </w:r>
      <w:r>
        <w:rPr>
          <w:rFonts w:ascii="Times New Roman" w:hAnsi="Times New Roman"/>
          <w:b/>
          <w:sz w:val="20"/>
          <w:u w:val="single"/>
        </w:rPr>
        <w:t>Use of Proceeds</w:t>
      </w:r>
      <w:r>
        <w:rPr>
          <w:rFonts w:ascii="Times New Roman" w:hAnsi="Times New Roman"/>
          <w:sz w:val="20"/>
        </w:rPr>
        <w:t xml:space="preserve">. The Borrower has used the proceeds of the Loans only in compliance (and not in contravention of) applicable Laws and each Loan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5.20</w:t>
      </w:r>
      <w:r>
        <w:rPr>
          <w:rFonts w:ascii="Times New Roman" w:hAnsi="Times New Roman"/>
          <w:sz w:val="20"/>
        </w:rPr>
        <w:t xml:space="preserve"> </w:t>
      </w:r>
      <w:r>
        <w:rPr>
          <w:rFonts w:ascii="Times New Roman" w:hAnsi="Times New Roman"/>
          <w:b/>
          <w:sz w:val="20"/>
          <w:u w:val="single"/>
        </w:rPr>
        <w:t>Jones Act Vessels</w:t>
      </w:r>
      <w:r>
        <w:rPr>
          <w:rFonts w:ascii="Times New Roman" w:hAnsi="Times New Roman"/>
          <w:sz w:val="20"/>
        </w:rPr>
        <w:t xml:space="preserve">. As of the Closing Date, the Vessels on </w:t>
      </w:r>
      <w:r>
        <w:rPr>
          <w:rFonts w:ascii="Times New Roman" w:hAnsi="Times New Roman"/>
          <w:sz w:val="20"/>
          <w:u w:val="single"/>
        </w:rPr>
        <w:t>Schedule 5.20</w:t>
      </w:r>
      <w:r>
        <w:rPr>
          <w:rFonts w:ascii="Times New Roman" w:hAnsi="Times New Roman"/>
          <w:sz w:val="20"/>
        </w:rPr>
        <w:t xml:space="preserve"> (collectively, the “</w:t>
      </w:r>
      <w:r>
        <w:rPr>
          <w:rFonts w:ascii="Times New Roman" w:hAnsi="Times New Roman"/>
          <w:b/>
          <w:sz w:val="20"/>
        </w:rPr>
        <w:t>Closing Date Jones Act Vessels</w:t>
      </w:r>
      <w:r>
        <w:rPr>
          <w:rFonts w:ascii="Times New Roman" w:hAnsi="Times New Roman"/>
          <w:sz w:val="20"/>
        </w:rPr>
        <w:t xml:space="preserve">”) are duly documented under Chapter 121 of Title 46 of the United States Code, eligible for registry and the coastwise trade of the United States under Section 2(c) of the Shipping Act of 1916, as amended (46 USC § 50501 </w:t>
      </w:r>
      <w:r>
        <w:rPr>
          <w:rFonts w:ascii="Times New Roman" w:hAnsi="Times New Roman"/>
          <w:i/>
          <w:sz w:val="20"/>
        </w:rPr>
        <w:t>et seq</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5.21 </w:t>
      </w:r>
      <w:r>
        <w:rPr>
          <w:rFonts w:ascii="Times New Roman" w:hAnsi="Times New Roman"/>
          <w:b/>
          <w:sz w:val="20"/>
          <w:u w:val="single"/>
        </w:rPr>
        <w:t>Vessel Liens</w:t>
      </w:r>
      <w:r>
        <w:rPr>
          <w:rFonts w:ascii="Times New Roman" w:hAnsi="Times New Roman"/>
          <w:sz w:val="20"/>
        </w:rPr>
        <w:t xml:space="preserve"> . As of the Closing Date, all Vessels constituting Vessel Collateral are free from all Liens, whether of record or arising under general maritime Law or as “hidden” lien claims, except Permitted Maritime Liens and the Vessel Mortgage. As of the Closing Date, without limiting the foregoing, no notice has been received by the Borrower or any Shipowner alleging that any such Vessel has been used in any manner that might subject such Vessel to any material penalty, fine, or forfeiture which would be reasonably expected to result in a Material Adverse Effect. As of the Closing Date, none of the Borrower nor any of Shipowners has committed any violation of any Laws giving rise to any Lien against any of the Vessels constituting Vessel Collateral (except Permitted Maritime Liens) or which would reasonably be expected to permit forfeiture of any of such Vessels or an in rem action against any of such Vessels by any Governmental Authority, in each case, reasonably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5.22</w:t>
      </w:r>
      <w:r>
        <w:rPr>
          <w:rFonts w:ascii="Times New Roman" w:hAnsi="Times New Roman"/>
          <w:sz w:val="20"/>
        </w:rPr>
        <w:t xml:space="preserve"> </w:t>
      </w:r>
      <w:r>
        <w:rPr>
          <w:rFonts w:ascii="Times New Roman" w:hAnsi="Times New Roman"/>
          <w:b/>
          <w:sz w:val="20"/>
          <w:u w:val="single"/>
        </w:rPr>
        <w:t>Vessel Documentation</w:t>
      </w:r>
      <w:r>
        <w:rPr>
          <w:rFonts w:ascii="Times New Roman" w:hAnsi="Times New Roman"/>
          <w:sz w:val="20"/>
        </w:rPr>
        <w:t xml:space="preserve">. As of the Closing Date, all Vessels constituting Vessel Collateral have current Certificates of Documentation issued by the United States Coast Guard, and the Closing Date Jones Act Vessels are duly documented with coastwise endorsements, with other applicable required endorsements, and no event has occurred or is existing that would require the surrender or cancellation of, or render any such Vessel ineligible for, any such Certificate of Documentation or endorsement, except where such failure or event would not reasonably expected to result in a Material Adverse Effect. As of the Closing Date, all Vessels (other than any Stacked Vessels) constituting Vessel Collateral required to be inspected by the United States Coast Guard have current Certificates of Inspection, and there are no outstanding CG-835 deficiencies requiring immediate correction or preventing operation of any such Vessel in her intended trade, except where such failure would not reasonably expected to result in a Material Adverse Effect. As of the Closing Date, to the extent required by applicable Laws, the Borrower, each Shipowner, and the Vessels (other than any Stacked Vessels) constituting Vessel Collateral have validly issued and currently in force all required permits and other documentation required for operation of such Vessels as such Vessels are currently operated, except where failure to do so would not reasonably expected to result in a Material Adverse Effect. As of the Closing Date, none of the Vessels (other than any Stacked Vessels) constituting Vessel Collateral have been operated in any manner that would impair or limit their current use in any material way, except where failure to do so would not reasonably expected to result in a Material Adverse Effect. As of the Closing Date, there are no contractual restrictions on the operation of any of the Vessels constituting Vessel Collateral, other than through leases, charters, subcharters or contracts of affreightment, or restrictions that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5.23</w:t>
      </w:r>
      <w:r>
        <w:rPr>
          <w:rFonts w:ascii="Times New Roman" w:hAnsi="Times New Roman"/>
          <w:sz w:val="20"/>
        </w:rPr>
        <w:t xml:space="preserve"> </w:t>
      </w:r>
      <w:r>
        <w:rPr>
          <w:rFonts w:ascii="Times New Roman" w:hAnsi="Times New Roman"/>
          <w:b/>
          <w:sz w:val="20"/>
          <w:u w:val="single"/>
        </w:rPr>
        <w:t>Vessel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Intellectual Property Licenses</w:t>
      </w:r>
      <w:r>
        <w:rPr>
          <w:rFonts w:ascii="Times New Roman" w:hAnsi="Times New Roman"/>
          <w:sz w:val="20"/>
        </w:rPr>
        <w:t xml:space="preserve">. Except as would not reasonably be expected to result in a Material Adverse Effect, as of the Closing Date, the Shipowners own or possess all licenses, proprietary software, and other intellectual property used in or necessary for the conduct of their respective businesses as currently conducted (including, without limitation, the ownership and operation of the Vessels constituting Vessel Collateral), and rights thereto, in each case without known conflict with the rights of others and free and clear of any Liens except for Permitted Liens and Liens granted under the Collateral Documents. Except as would not reasonably be expected to result in a Material Adverse Effect, as of the Closing Date, all such licenses and intellectual property are valid and subsisting and are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Related Party Intellectual Property</w:t>
      </w:r>
      <w:r>
        <w:rPr>
          <w:rFonts w:ascii="Times New Roman" w:hAnsi="Times New Roman"/>
          <w:sz w:val="20"/>
        </w:rPr>
        <w:t xml:space="preserve">. As of the Closing Date, neither the Borrower nor any of its Affiliates or Subsidiaries owns, controls or has any right, title or interest in or to, or has contributed, any material intellectual property, software, or other technology used in or necessary for the operation of the Vessels constituting Vessel Collateral, other than the intellectual property, technology, and systems licensed to the applicable Shipowners pursuant to an Intercompany License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Closing Date until the principal of and interest on each Loan and all fees payable hereunder and all other amounts payable under the Loan Documents shall have been paid in full, the Borrower shall, and shall (except in the case of the covenants set forth in </w:t>
      </w:r>
      <w:r>
        <w:rPr>
          <w:rFonts w:ascii="Times New Roman" w:hAnsi="Times New Roman"/>
          <w:sz w:val="20"/>
          <w:u w:val="single"/>
        </w:rPr>
        <w:t>Sections 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and </w:t>
      </w:r>
      <w:r>
        <w:rPr>
          <w:rFonts w:ascii="Times New Roman" w:hAnsi="Times New Roman"/>
          <w:sz w:val="20"/>
          <w:u w:val="single"/>
        </w:rPr>
        <w:t>6.05</w:t>
      </w:r>
      <w:r>
        <w:rPr>
          <w:rFonts w:ascii="Times New Roman" w:hAnsi="Times New Roman"/>
          <w:sz w:val="20"/>
        </w:rPr>
        <w:t xml:space="preserve">) cause each of the Restricted Subsidiaries 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w:t>
      </w:r>
      <w:r>
        <w:rPr>
          <w:rFonts w:ascii="Times New Roman" w:hAnsi="Times New Roman"/>
          <w:b/>
          <w:sz w:val="20"/>
          <w:u w:val="single"/>
        </w:rPr>
        <w:t>Financial Statements</w:t>
      </w:r>
      <w:r>
        <w:rPr>
          <w:rFonts w:ascii="Times New Roman" w:hAnsi="Times New Roman"/>
          <w:sz w:val="20"/>
        </w:rPr>
        <w:t xml:space="preserve">. Deliver to the Administrative Agent for prompt further distribution by the Administrative Agent to each Lender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Audited Annual Financial Statements</w:t>
      </w:r>
      <w:r>
        <w:rPr>
          <w:rFonts w:ascii="Times New Roman" w:hAnsi="Times New Roman"/>
          <w:sz w:val="20"/>
        </w:rPr>
        <w:t xml:space="preserve">. Within one hundred twenty (120) days after the end of each fiscal year (commencing with the fiscal year ending December 31, 2024) of the Borrower, a consolidated balance sheet of the Borrower and its Subsidiaries as at the end of such fiscal year, and the related consolidated statements of comprehensive income (loss), stockholders’ equity and cash flows for such fiscal year together with related notes thereto, setting forth in each case in comparative form the figures for the previous fiscal year (if ending after the Closing Date), prepared in accordance with GAAP, audited and accompanied by a report and opinion of the Borrower’s auditor on the Closing Date or any other accounting firm of nationally or regionally recognized standing or another accounting firm reasonably acceptable to the Administrative Agent, which report and opinion shall be prepared in accordance with generally accepted auditing standards and which financial statements shall be accompanied by management’s discussion and analysis describing results of operations in the form customarily prepared by management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Quarterly Financial Statements</w:t>
      </w:r>
      <w:r>
        <w:rPr>
          <w:rFonts w:ascii="Times New Roman" w:hAnsi="Times New Roman"/>
          <w:sz w:val="20"/>
        </w:rPr>
        <w:t xml:space="preserve">. As soon as available, but in any event within sixty (60) days after the end of each of the first three fiscal quarters of each fiscal year of the Borrower (commencing with the fiscal quarter ended September 30, 2024), (i) an unaudited consolidated balance sheet of the Borrower and its Subsidiaries as at the end of such fiscal quarter, (ii) the related unaudited consolidated statements of comprehensive income (loss) for such fiscal quarter and for the portion of the fiscal year then ended and (iii) the related unaudited consolidated statement of cash flows for the portion of the fiscal year then ended, setting forth, in each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in comparative form, the figures for the corresponding fiscal quarter of the previous fiscal year and the corresponding portion of the previous fiscal year, in each case if ended after the Closing Date, certified by a Responsible Officer of the Borrower as fairly presenting in all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respects the financial condition, results of operations and cash flows of the Borrower and its Subsidiaries in material compliance with GAAP, subject to year-end adjustments and the absence of footnotes, which financial statements, to the extent the Borrower (or Parent Entity or Qualified Reporting Subsidiary) is not required to file a 10-Q, shall be accompanied by management’s discussion and analysis describing results of operations in the form customarily prepared by management of the Borrower. Notwithstanding the foregoing, the Borrower shall deliver to the Administrative Agent, when available, the financial statements described in this paragraph (b) in respect of the fiscal quarter ended June 30, 2024; </w:t>
      </w:r>
      <w:r>
        <w:rPr>
          <w:rFonts w:ascii="Times New Roman" w:hAnsi="Times New Roman"/>
          <w:i/>
          <w:sz w:val="20"/>
        </w:rPr>
        <w:t>provided</w:t>
      </w:r>
      <w:r>
        <w:rPr>
          <w:rFonts w:ascii="Times New Roman" w:hAnsi="Times New Roman"/>
          <w:sz w:val="20"/>
        </w:rPr>
        <w:t xml:space="preserve"> that no Compliance Certificate shall be required to be delivered in connection with or in respect of such financial statements pursuant to </w:t>
      </w:r>
      <w:r>
        <w:rPr>
          <w:rFonts w:ascii="Times New Roman" w:hAnsi="Times New Roman"/>
          <w:sz w:val="20"/>
          <w:u w:val="single"/>
        </w:rPr>
        <w:t>Section 6.02(a)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Budget; Projections</w:t>
      </w:r>
      <w:r>
        <w:rPr>
          <w:rFonts w:ascii="Times New Roman" w:hAnsi="Times New Roman"/>
          <w:sz w:val="20"/>
        </w:rPr>
        <w:t xml:space="preserve">. On or prior to the date financial statements are required to be delivered pursuant to </w:t>
      </w:r>
      <w:r>
        <w:rPr>
          <w:rFonts w:ascii="Times New Roman" w:hAnsi="Times New Roman"/>
          <w:sz w:val="20"/>
          <w:u w:val="single"/>
        </w:rPr>
        <w:t>Section 6.01(a)</w:t>
      </w:r>
      <w:r>
        <w:rPr>
          <w:rFonts w:ascii="Times New Roman" w:hAnsi="Times New Roman"/>
          <w:sz w:val="20"/>
        </w:rPr>
        <w:t xml:space="preserve"> (commencing with the first fiscal year ending after the Closing Date), a consolidated budget for the following fiscal year on a quarterly basis in form and substance consistent with the budget customarily prepared by management of the Borrower for their internal use.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Unrestricted Subsidiaries</w:t>
      </w:r>
      <w:r>
        <w:rPr>
          <w:rFonts w:ascii="Times New Roman" w:hAnsi="Times New Roman"/>
          <w:sz w:val="20"/>
        </w:rPr>
        <w:t xml:space="preserve">. Simultaneously with the delivery of each set of consolidated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above, such supplemental financial information (which need not be audited) as is necessary to eliminate the accounts of Unrestricted Subsidiaries (if any) from such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paragraphs (a) and (b) of this </w:t>
      </w:r>
      <w:r>
        <w:rPr>
          <w:rFonts w:ascii="Times New Roman" w:hAnsi="Times New Roman"/>
          <w:sz w:val="20"/>
          <w:u w:val="single"/>
        </w:rPr>
        <w:t>Section 6.01</w:t>
      </w:r>
      <w:r>
        <w:rPr>
          <w:rFonts w:ascii="Times New Roman" w:hAnsi="Times New Roman"/>
          <w:sz w:val="20"/>
        </w:rPr>
        <w:t xml:space="preserve"> may be satisfied by furnishing, at the Borrower’s option, (i) the applicable financial statements of (1) any wholly-owned Restricted Subsidiary of the Borrower that, together with its combined and consolidated Restricted Subsidiaries, constitutes substantially all of the assets of the Borrower and its combined consolidated Subsidiaries (a “</w:t>
      </w:r>
      <w:r>
        <w:rPr>
          <w:rFonts w:ascii="Times New Roman" w:hAnsi="Times New Roman"/>
          <w:b/>
          <w:sz w:val="20"/>
        </w:rPr>
        <w:t>Qualified Reporting Subsidiary</w:t>
      </w:r>
      <w:r>
        <w:rPr>
          <w:rFonts w:ascii="Times New Roman" w:hAnsi="Times New Roman"/>
          <w:sz w:val="20"/>
        </w:rPr>
        <w:t>”) or (2) any Person of which the Borrower is a Subsidiary (such Person, a “</w:t>
      </w:r>
      <w:r>
        <w:rPr>
          <w:rFonts w:ascii="Times New Roman" w:hAnsi="Times New Roman"/>
          <w:b/>
          <w:sz w:val="20"/>
        </w:rPr>
        <w:t>Parent Entity</w:t>
      </w:r>
      <w:r>
        <w:rPr>
          <w:rFonts w:ascii="Times New Roman" w:hAnsi="Times New Roman"/>
          <w:sz w:val="20"/>
        </w:rPr>
        <w:t xml:space="preserve">”) or (ii) the Borrower or a Qualified Reporting Subsidiary’s or Parent Entity’s Form 10-K or 10-Q, as applicable, filed with the SEC (or equivalent form whether or not filed with the SEC consistent with the Borrower’s practice as of the Closing Date); </w:t>
      </w:r>
      <w:r>
        <w:rPr>
          <w:rFonts w:ascii="Times New Roman" w:hAnsi="Times New Roman"/>
          <w:i/>
          <w:sz w:val="20"/>
        </w:rPr>
        <w:t xml:space="preserve">provided </w:t>
      </w:r>
      <w:r>
        <w:rPr>
          <w:rFonts w:ascii="Times New Roman" w:hAnsi="Times New Roman"/>
          <w:sz w:val="20"/>
        </w:rPr>
        <w:t xml:space="preserve">that with respect to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 to the extent such information relates to a Qualified Reporting Subsidiary, or a Parent Entity, such information is accompanied by customary consolidating information (which need not be audited) that explains in reasonable detail the material differences between the information relating to such Qualified Reporting Subsidiary or Parent Entity, on the one hand, and the information relating to the Borrower and its Subsidiaries, on the other hand; (B) (i) in the event that the Borrower (or any Qualified Reporting Subsidiary or Parent Entity) delivers to the Administrative Agent a Form 10K for any fiscal year (or similar filing in the Applicable Jurisdiction), as filed with the SEC or in such form as would have been suitable for filing with the SEC (or similar governing body in the Applicable Jurisdiction, in each case), within the time frames set forth in </w:t>
      </w:r>
      <w:r>
        <w:rPr>
          <w:rFonts w:ascii="Times New Roman" w:hAnsi="Times New Roman"/>
          <w:sz w:val="20"/>
          <w:u w:val="single"/>
        </w:rPr>
        <w:t>paragraph (a)</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such Form 10-K shall satisfy all requirements of </w:t>
      </w:r>
      <w:r>
        <w:rPr>
          <w:rFonts w:ascii="Times New Roman" w:hAnsi="Times New Roman"/>
          <w:sz w:val="20"/>
          <w:u w:val="single"/>
        </w:rPr>
        <w:t>paragraph (a)</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with respect to such fiscal year to the extent that it contains the information and report and opinion required by such </w:t>
      </w:r>
      <w:r>
        <w:rPr>
          <w:rFonts w:ascii="Times New Roman" w:hAnsi="Times New Roman"/>
          <w:sz w:val="20"/>
          <w:u w:val="single"/>
        </w:rPr>
        <w:t>paragraph (a)</w:t>
      </w:r>
      <w:r>
        <w:rPr>
          <w:rFonts w:ascii="Times New Roman" w:hAnsi="Times New Roman"/>
          <w:sz w:val="20"/>
        </w:rPr>
        <w:t xml:space="preserve"> and (ii) in the event that the Borrower (or any Qualified Reporting Subsidiary or Parent Entity) delivers to the Administrative Agent a Quarterly Report on Form 10-Q for any fiscal quarter (or similar filing in the Applicable Jurisdiction), as filed with the SEC or in such form as would have been suitable for filing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 (or similar governing body in the Applicable Jurisdiction, in each case), within the time frames set forth in </w:t>
      </w:r>
      <w:r>
        <w:rPr>
          <w:rFonts w:ascii="Times New Roman" w:hAnsi="Times New Roman"/>
          <w:sz w:val="20"/>
          <w:u w:val="single"/>
        </w:rPr>
        <w:t>paragraph (b)</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such Form 10-Q shall satisfy all requirements of </w:t>
      </w:r>
      <w:r>
        <w:rPr>
          <w:rFonts w:ascii="Times New Roman" w:hAnsi="Times New Roman"/>
          <w:sz w:val="20"/>
          <w:u w:val="single"/>
        </w:rPr>
        <w:t>paragraph (b)</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with respect to such fiscal quarter to the extent that it contains the information required by such </w:t>
      </w:r>
      <w:r>
        <w:rPr>
          <w:rFonts w:ascii="Times New Roman" w:hAnsi="Times New Roman"/>
          <w:sz w:val="20"/>
          <w:u w:val="single"/>
        </w:rPr>
        <w:t>paragraph (b)</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(C) any financial statements required to be delivered pursuant to this </w:t>
      </w:r>
      <w:r>
        <w:rPr>
          <w:rFonts w:ascii="Times New Roman" w:hAnsi="Times New Roman"/>
          <w:sz w:val="20"/>
          <w:u w:val="single"/>
        </w:rPr>
        <w:t>Section 6.01</w:t>
      </w:r>
      <w:r>
        <w:rPr>
          <w:rFonts w:ascii="Times New Roman" w:hAnsi="Times New Roman"/>
          <w:sz w:val="20"/>
        </w:rPr>
        <w:t xml:space="preserve"> shall not be required to contain purchase accounting adjustments and (D) following the consummation of an acquisition in the applicable period or the period thereafter, the obligations in paragraphs (a) and (b) of this </w:t>
      </w:r>
      <w:r>
        <w:rPr>
          <w:rFonts w:ascii="Times New Roman" w:hAnsi="Times New Roman"/>
          <w:sz w:val="20"/>
          <w:u w:val="single"/>
        </w:rPr>
        <w:t>Section 6.01</w:t>
      </w:r>
      <w:r>
        <w:rPr>
          <w:rFonts w:ascii="Times New Roman" w:hAnsi="Times New Roman"/>
          <w:sz w:val="20"/>
        </w:rPr>
        <w:t xml:space="preserve"> with respect to the target of such acquisition may be satisfied by, at the option of the Borrower, (1) furnishing management accounts for the target of such acquisition or (2) omitting the target of such acquisition from the required financial statements of the Borrower and its Subsidiaries for the applicable period and period thereafter.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upon the request of the Borrower in connection with any material Permitted Investment or other acquisition permitted hereunder, the Administrative Agent may consent to a thirty-day extension to the deadlines in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xml:space="preserve"> </w:t>
      </w:r>
      <w:r>
        <w:rPr>
          <w:rFonts w:ascii="Times New Roman" w:hAnsi="Times New Roman"/>
          <w:b/>
          <w:sz w:val="20"/>
          <w:u w:val="single"/>
        </w:rPr>
        <w:t>Certificates; Other Information</w:t>
      </w:r>
      <w:r>
        <w:rPr>
          <w:rFonts w:ascii="Times New Roman" w:hAnsi="Times New Roman"/>
          <w:sz w:val="20"/>
        </w:rPr>
        <w:t xml:space="preserve">. Deliver to the Administrative Agent for prompt further distribution by the Administrative Agent to each Lender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Compliance Certificate</w:t>
      </w:r>
      <w:r>
        <w:rPr>
          <w:rFonts w:ascii="Times New Roman" w:hAnsi="Times New Roman"/>
          <w:sz w:val="20"/>
        </w:rPr>
        <w:t xml:space="preserve">. No later than fifteen (15) Business Days after the delivery of the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a duly completed Compliance Certificate.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VesselsValueTM Statement.</w:t>
      </w:r>
      <w:r>
        <w:rPr>
          <w:rFonts w:ascii="Times New Roman" w:hAnsi="Times New Roman"/>
          <w:sz w:val="20"/>
        </w:rPr>
        <w:t xml:space="preserve"> Provided that VesselsValueTM (or any successor thereof) exists at the time such written request is received by the Borrower, within thirty (30) days of the reasonable written request of the Administrative Agent (or by such later date as the Administrative Agent may agree), a statement of the fair market value of each Vessel that is Collateral, as determined by VesselsValueTM (or any successor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 Filings</w:t>
      </w:r>
      <w:r>
        <w:rPr>
          <w:rFonts w:ascii="Times New Roman" w:hAnsi="Times New Roman"/>
          <w:sz w:val="20"/>
        </w:rPr>
        <w:t xml:space="preserve">. Concurrently with each Compliance Certificate, copies of all annual, regular, periodic and special reports, proxy statements and registration statements which the Borrower or any Restricted Subsidiary has filed with the SEC subsequent to the delivery of the immediately preceding Compliance Certificate (or, if prior to the delivery of the first Compliance Certificate, subsequent to the Closing Date)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Times New Roman" w:hAnsi="Times New Roman"/>
          <w:sz w:val="20"/>
          <w:u w:val="single"/>
        </w:rPr>
        <w:t>Section 6.02</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notwithstanding the foregoing, the obligations in this </w:t>
      </w:r>
      <w:r>
        <w:rPr>
          <w:rFonts w:ascii="Times New Roman" w:hAnsi="Times New Roman"/>
          <w:sz w:val="20"/>
          <w:u w:val="single"/>
        </w:rPr>
        <w:t>Section 6.02(b)</w:t>
      </w:r>
      <w:r>
        <w:rPr>
          <w:rFonts w:ascii="Times New Roman" w:hAnsi="Times New Roman"/>
          <w:sz w:val="20"/>
        </w:rPr>
        <w:t xml:space="preserve"> may be satisfied by causing such information to be publicly available on the SEC’s EDGAR website, another publicly available reporting service or the applicable regulator’s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Information Regarding Collateral</w:t>
      </w:r>
      <w:r>
        <w:rPr>
          <w:rFonts w:ascii="Times New Roman" w:hAnsi="Times New Roman"/>
          <w:sz w:val="20"/>
        </w:rPr>
        <w:t xml:space="preserve">. The Borrower will furnish to the Administrative Agent concurrently with each Compliance Certificate or by such later date as reasonably agreed to by the Administrative Agent, written notice of any change (i) in any Loan Party’s legal name (as set forth in its certificate of organization or like document) or (ii) in the location of any Loan Party’s chief executive office or the jurisdiction of incorporation or organization of any Loan Party or in the form of its organization, in each case, occurring subsequent to the delivery of the immediately preceding Compliance Certificate (or, if prior to the delivery of the first Compliance Certificate, subsequent to the Closing Date), in each case to the extent such information is necessary to enable the Collateral Trustee to perfect or maintain the perfection or priority of its security interest in the Collateral of the relevant Loan Party.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Lender Calls</w:t>
      </w:r>
      <w:r>
        <w:rPr>
          <w:rFonts w:ascii="Times New Roman" w:hAnsi="Times New Roman"/>
          <w:sz w:val="20"/>
        </w:rPr>
        <w:t xml:space="preserve">. Upon the reasonable request of the Administrative Agent, following delivery of the financial statements pursuant to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the Borrower shall promptly hold a conference call (at a time selected by the Borrower and reasonably acceptable to the Administrative Agent) with all Lenders (including both “public” and “private” side lenders) who choose to attend such conference call, at which call shall be reviewed the financial information presented in such financial statements; </w:t>
      </w:r>
      <w:r>
        <w:rPr>
          <w:rFonts w:ascii="Times New Roman" w:hAnsi="Times New Roman"/>
          <w:i/>
          <w:sz w:val="20"/>
        </w:rPr>
        <w:t xml:space="preserve">provided </w:t>
      </w:r>
      <w:r>
        <w:rPr>
          <w:rFonts w:ascii="Times New Roman" w:hAnsi="Times New Roman"/>
          <w:sz w:val="20"/>
        </w:rPr>
        <w:t xml:space="preserve">that in no event shall more than one such conference call be requested in any fiscal quarter;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obligations of this </w:t>
      </w:r>
      <w:r>
        <w:rPr>
          <w:rFonts w:ascii="Times New Roman" w:hAnsi="Times New Roman"/>
          <w:sz w:val="20"/>
          <w:u w:val="single"/>
        </w:rPr>
        <w:t>Section 6.02(e)</w:t>
      </w:r>
      <w:r>
        <w:rPr>
          <w:rFonts w:ascii="Times New Roman" w:hAnsi="Times New Roman"/>
          <w:sz w:val="20"/>
        </w:rPr>
        <w:t xml:space="preserve"> may be satisfied by (i) the Borrower holding a public earnings call in respect of such fiscal quarter or (ii) the Borrower inviting the Lenders to attend a conference call for such fiscal quarter with other holders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Other Information</w:t>
      </w:r>
      <w:r>
        <w:rPr>
          <w:rFonts w:ascii="Times New Roman" w:hAnsi="Times New Roman"/>
          <w:sz w:val="20"/>
        </w:rPr>
        <w:t xml:space="preserve">. Such additional information (a) regarding the business operations of any Loan Party or any Restricted Subsidiary as the Administrative Agent may from time to time on its own behalf or on behalf of the Required Lenders reasonably request and (b) as may be reasonably requested by the Administrative Agent or any Lender through the Administrative Agent for purposes of compliance with applicable “know your customer” and anti-money laundering rules and regulations, including the USA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6.01</w:t>
      </w:r>
      <w:r>
        <w:rPr>
          <w:rFonts w:ascii="Times New Roman" w:hAnsi="Times New Roman"/>
          <w:sz w:val="20"/>
        </w:rPr>
        <w:t xml:space="preserve"> or </w:t>
      </w:r>
      <w:r>
        <w:rPr>
          <w:rFonts w:ascii="Times New Roman" w:hAnsi="Times New Roman"/>
          <w:sz w:val="20"/>
          <w:u w:val="single"/>
        </w:rPr>
        <w:t>Section 6.02</w:t>
      </w:r>
      <w:r>
        <w:rPr>
          <w:rFonts w:ascii="Times New Roman" w:hAnsi="Times New Roman"/>
          <w:sz w:val="20"/>
        </w:rPr>
        <w:t xml:space="preserve"> may be delivered electronically and if so delivered, shall be deemed to have been delivered on the date (i) on which the Borrower (or any Qualified Reporting Subsidiary or Parent Entity) posts such documents, or provides a link thereto, on the Borrower’s (or any Qualified Reporting Subsidiary’s or Parent Entity’s) website on the Internet, or (ii) on which such documents are posted on the Borrower’s behalf on a website, if any, to which each Lender and the Administrative Agent have access (whether a commercial, third-party website or whether sponsored by the Administrative Agent). Each Lender shall be solely responsible for timely accessing posted documents or requesting delivery of paper copies of such documents from the Administrative Agent and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The Borrower hereby acknowledges that (a) the Administrative Agent may make available to the Lenders materials and/or information provided by or on behalf of the Borrower hereunder (collectively, “</w:t>
      </w:r>
      <w:r>
        <w:rPr>
          <w:rFonts w:ascii="Times New Roman" w:hAnsi="Times New Roman"/>
          <w:b/>
          <w:sz w:val="20"/>
        </w:rPr>
        <w:t>Borrower Materials</w:t>
      </w:r>
      <w:r>
        <w:rPr>
          <w:rFonts w:ascii="Times New Roman" w:hAnsi="Times New Roman"/>
          <w:sz w:val="20"/>
        </w:rPr>
        <w:t>”) by posting the Borrower Materials on an electronic system (the “</w:t>
      </w:r>
      <w:r>
        <w:rPr>
          <w:rFonts w:ascii="Times New Roman" w:hAnsi="Times New Roman"/>
          <w:b/>
          <w:sz w:val="20"/>
        </w:rPr>
        <w:t>Platform</w:t>
      </w:r>
      <w:r>
        <w:rPr>
          <w:rFonts w:ascii="Times New Roman" w:hAnsi="Times New Roman"/>
          <w:sz w:val="20"/>
        </w:rPr>
        <w:t xml:space="preserve">”) and (b) certain of the Lenders may have personnel who do not wish to receive any information with respect to the Borrower or its Subsidiaries, or the respective securities of any of the foregoing, that is not Public-Side Information, and who may be engaged in investment and other market-related activities with respect to such Person’s securities. The Borrower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agrees that (i) all Borrower Materials that are to be made available to Public Lenders shall be clearly and conspicuously marked “PUBLIC” which, at a minimum, shall mean that the word “PUBLIC” shall appear prominently on the first page thereof (and by doing so shall be deemed to have represented that such information contains only Public-Side Information); (ii) by marking Borrower Materials “PUBLIC,” the Borrower shall be deemed to have authorized the Administrative Agent and the Lenders to treat such Borrower Materials as containing only Public-Side Information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such Borrower Materials constitute Information, they shall be treated as set forth in </w:t>
      </w:r>
      <w:r>
        <w:rPr>
          <w:rFonts w:ascii="Times New Roman" w:hAnsi="Times New Roman"/>
          <w:sz w:val="20"/>
          <w:u w:val="single"/>
        </w:rPr>
        <w:t>Section 11.08</w:t>
      </w:r>
      <w:r>
        <w:rPr>
          <w:rFonts w:ascii="Times New Roman" w:hAnsi="Times New Roman"/>
          <w:sz w:val="20"/>
        </w:rPr>
        <w:t xml:space="preserve">); (iii) all Borrower Materials marked “PUBLIC” are permitted to be made available through a portion of the Platform designated “Public-Side Information”; and (iv) the Administrative Agent shall treat any Borrower Materials that are not marked “PUBLIC” as being suitable only for posting on a portion of the Platform not designated “Public-Side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foregoing shall be subject to the provisions of </w:t>
      </w:r>
      <w:r>
        <w:rPr>
          <w:rFonts w:ascii="Times New Roman" w:hAnsi="Times New Roman"/>
          <w:sz w:val="20"/>
          <w:u w:val="single"/>
        </w:rPr>
        <w:t>Section 11.08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Promptly after a Responsible Officer obtains actual knowledge thereof, notify the Administrative Agent for prompt further notification by the Administrative Agent to each Lender of: </w:t>
      </w:r>
    </w:p>
    <w:p>
      <w:pPr>
        <w:pStyle w:val="TextBody"/>
        <w:bidi w:val="0"/>
        <w:spacing w:before="120" w:after="0"/>
        <w:jc w:val="left"/>
        <w:rPr>
          <w:rFonts w:ascii="Times New Roman" w:hAnsi="Times New Roman"/>
          <w:sz w:val="20"/>
        </w:rPr>
      </w:pPr>
      <w:r>
        <w:rPr>
          <w:rFonts w:ascii="Times New Roman" w:hAnsi="Times New Roman"/>
          <w:sz w:val="20"/>
        </w:rPr>
        <w:t xml:space="preserve">(a) the occurrence and continuation of any Default or Event of Default; and </w:t>
      </w:r>
    </w:p>
    <w:p>
      <w:pPr>
        <w:pStyle w:val="TextBody"/>
        <w:bidi w:val="0"/>
        <w:spacing w:before="120" w:after="0"/>
        <w:jc w:val="left"/>
        <w:rPr>
          <w:rFonts w:ascii="Times New Roman" w:hAnsi="Times New Roman"/>
          <w:sz w:val="20"/>
        </w:rPr>
      </w:pPr>
      <w:r>
        <w:rPr>
          <w:rFonts w:ascii="Times New Roman" w:hAnsi="Times New Roman"/>
          <w:sz w:val="20"/>
        </w:rPr>
        <w:t xml:space="preserve">(b) (i) any dispute, litigation, investigation or proceeding between the Borrower or any Restricted Subsidiary and any arbitrator or Governmental Authority or (ii) the filing or commencement of, or any material development in, any litigation or proceeding affecting the Borrower or any Restricted Subsidiary, or (iii) the occurrence of any ERISA Event or Foreign Plan Event that, in any such case referred to in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has resulted, or has a reasonable probability of being determined adversely and could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pursuant to this </w:t>
      </w:r>
      <w:r>
        <w:rPr>
          <w:rFonts w:ascii="Times New Roman" w:hAnsi="Times New Roman"/>
          <w:sz w:val="20"/>
          <w:u w:val="single"/>
        </w:rPr>
        <w:t>Section 6.03</w:t>
      </w:r>
      <w:r>
        <w:rPr>
          <w:rFonts w:ascii="Times New Roman" w:hAnsi="Times New Roman"/>
          <w:sz w:val="20"/>
        </w:rPr>
        <w:t xml:space="preserve"> shall be accompanied by a written statement of a Responsible Officer of the Borrower setting forth a summary description of the occurrence referred to therein and stating what action the Borrower has taken and proposes to take with respect thereto. For the avoidance of doubt, the foregoing shall be subject to the provisions of </w:t>
      </w:r>
      <w:r>
        <w:rPr>
          <w:rFonts w:ascii="Times New Roman" w:hAnsi="Times New Roman"/>
          <w:sz w:val="20"/>
          <w:u w:val="single"/>
        </w:rPr>
        <w:t>Section 11.08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xml:space="preserve"> </w:t>
      </w:r>
      <w:r>
        <w:rPr>
          <w:rFonts w:ascii="Times New Roman" w:hAnsi="Times New Roman"/>
          <w:b/>
          <w:sz w:val="20"/>
          <w:u w:val="single"/>
        </w:rPr>
        <w:t>Payment of Certain Taxes</w:t>
      </w:r>
      <w:r>
        <w:rPr>
          <w:rFonts w:ascii="Times New Roman" w:hAnsi="Times New Roman"/>
          <w:sz w:val="20"/>
        </w:rPr>
        <w:t xml:space="preserve">. Pay, discharge or otherwise satisfy, as the same shall become due and payable, all obligations and liabilities in respect of Taxes imposed upon it or upon its income or profits or in respect of its property, except, in each case, to the extent (a) any such Tax, assessment, charge or levy is being contested in good faith and by appropriate actions diligently conducted and for which appropriate reserves have been established in accordance with GAAP or (b) the failure to pay, discharge or otherwise satisfy the same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xml:space="preserve"> </w:t>
      </w:r>
      <w:r>
        <w:rPr>
          <w:rFonts w:ascii="Times New Roman" w:hAnsi="Times New Roman"/>
          <w:b/>
          <w:sz w:val="20"/>
          <w:u w:val="single"/>
        </w:rPr>
        <w:t>Preservation of Existence of the Borrower</w:t>
      </w:r>
      <w:r>
        <w:rPr>
          <w:rFonts w:ascii="Times New Roman" w:hAnsi="Times New Roman"/>
          <w:sz w:val="20"/>
        </w:rPr>
        <w:t xml:space="preserve">. Preserve, renew and maintain in full force and effect its legal existence under the Laws of the jurisdiction of its incorporation or organization, except as otherwise expressly permitted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w:t>
      </w:r>
      <w:r>
        <w:rPr>
          <w:rFonts w:ascii="Times New Roman" w:hAnsi="Times New Roman"/>
          <w:sz w:val="20"/>
        </w:rPr>
        <w:t xml:space="preserve"> </w:t>
      </w:r>
      <w:r>
        <w:rPr>
          <w:rFonts w:ascii="Times New Roman" w:hAnsi="Times New Roman"/>
          <w:b/>
          <w:sz w:val="20"/>
          <w:u w:val="single"/>
        </w:rPr>
        <w:t>Maintenance of Properties</w:t>
      </w:r>
      <w:r>
        <w:rPr>
          <w:rFonts w:ascii="Times New Roman" w:hAnsi="Times New Roman"/>
          <w:sz w:val="20"/>
        </w:rPr>
        <w:t xml:space="preserve">. Maintain, preserve and protect all of its material properties and equipment used in the operation of its business in good working order, repair and condition (ordinary wear and tear excepted and casualty or condemnation excepted), except to the extent the failure to do so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w:t>
      </w:r>
      <w:r>
        <w:rPr>
          <w:rFonts w:ascii="Times New Roman" w:hAnsi="Times New Roman"/>
          <w:sz w:val="20"/>
        </w:rPr>
        <w:t xml:space="preserve"> </w:t>
      </w:r>
      <w:r>
        <w:rPr>
          <w:rFonts w:ascii="Times New Roman" w:hAnsi="Times New Roman"/>
          <w:b/>
          <w:sz w:val="20"/>
          <w:u w:val="single"/>
        </w:rPr>
        <w:t>Maintenance of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Maintain or cause to be maintained with insurance companies that the Borrower believe (in the good faith judgment of their management) are financially sound and reputable at the time the relevant coverage is placed or renewed or with a Captive Insurance Subsidiary, insurance with respect to its properties and business against loss or damage of the kinds customarily insured against by Persons engaged in the same or similar business and of such types and in such amounts (after giving effect to any self-insurance) as are customarily carried under similar circumstances by such other Persons, and furnish to the Administrative Agent, which, absent a continuing Event of Default, shall not be made more than once in any twelve month period, upon reasonable written request from the Administrative Agent, information presented in reasonable detail as to the insurance so carried. </w:t>
      </w:r>
      <w:r>
        <w:rPr>
          <w:rFonts w:ascii="Times New Roman" w:hAnsi="Times New Roman"/>
          <w:sz w:val="20"/>
          <w:u w:val="single"/>
        </w:rPr>
        <w:t>Schedule 6.07</w:t>
      </w:r>
      <w:r>
        <w:rPr>
          <w:rFonts w:ascii="Times New Roman" w:hAnsi="Times New Roman"/>
          <w:sz w:val="20"/>
        </w:rPr>
        <w:t xml:space="preserve"> sets forth a true, complete and accurate description of all material insurance maintained by or on behalf of the Borrower or the other Loan Parties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6.15</w:t>
      </w:r>
      <w:r>
        <w:rPr>
          <w:rFonts w:ascii="Times New Roman" w:hAnsi="Times New Roman"/>
          <w:sz w:val="20"/>
        </w:rPr>
        <w:t xml:space="preserve">, following the Closing Date, the Borrower shall use commercially reasonable efforts such that each such policy of insurance (as appropriate and is customary and with respect to jurisdictions outside the United States, to the extent available in such jurisdiction without undue cost or expense), </w:t>
      </w:r>
    </w:p>
    <w:p>
      <w:pPr>
        <w:pStyle w:val="TextBody"/>
        <w:bidi w:val="0"/>
        <w:spacing w:before="120" w:after="0"/>
        <w:jc w:val="left"/>
        <w:rPr>
          <w:rFonts w:ascii="Times New Roman" w:hAnsi="Times New Roman"/>
          <w:sz w:val="20"/>
        </w:rPr>
      </w:pPr>
      <w:r>
        <w:rPr>
          <w:rFonts w:ascii="Times New Roman" w:hAnsi="Times New Roman"/>
          <w:sz w:val="20"/>
        </w:rPr>
        <w:t xml:space="preserve">(i) (A) names the Collateral Trustee, on behalf of the Secured Parties, as an additional insureds thereunder (with respect to liability insurance) and/or (B) to the extent covering Collateral in the case of property insurance, contains a loss payable clause or endorsement that names the Collateral Trustee, on behalf of the Secured Parties, as the loss payee thereunder; and </w:t>
      </w:r>
    </w:p>
    <w:p>
      <w:pPr>
        <w:pStyle w:val="TextBody"/>
        <w:bidi w:val="0"/>
        <w:spacing w:before="120" w:after="0"/>
        <w:jc w:val="left"/>
        <w:rPr>
          <w:rFonts w:ascii="Times New Roman" w:hAnsi="Times New Roman"/>
          <w:sz w:val="20"/>
        </w:rPr>
      </w:pPr>
      <w:r>
        <w:rPr>
          <w:rFonts w:ascii="Times New Roman" w:hAnsi="Times New Roman"/>
          <w:sz w:val="20"/>
        </w:rPr>
        <w:t xml:space="preserve">(ii) provides that it shall not be cancelled, modified (such modification, to the extent causing a material impairment or otherwise adverse effect on the interests of the Lenders) or not renewed (x) by reason of nonpayment of premium except upon not less than ten (10) days’ prior written notice thereof by the insurer to the Administrative Agent (giving the Administrative Agent the right to cure defaults in the payment of premiums) or (y) for any other reason except upon not less than thirty (30) days’ prior written notice thereof by the insurer to the Administrative Agent. The Borrower shall deliver to the Administrative Agent, prior to the cancellation, modification (such modification, to the extent causing a material impairment or otherwise adverse effect on the interests of the Lenders) or non-renewal of any such policy of insurance, a copy of a renewal or replacement policy (or other evidence of renewal of a policy previously delivered to the Administrative Agent, including an insurance binder) together with evidence reasonably satisfactory to the Administrative Agent of payment of the premium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(A) absent a Specified Event of Default that is continuing, any proceeds of any insurance shall be delivered by the insurer(s) to the Borrower or one of their Subsidiaries and applied in accordance with this Agreement and (B) this </w:t>
      </w:r>
      <w:r>
        <w:rPr>
          <w:rFonts w:ascii="Times New Roman" w:hAnsi="Times New Roman"/>
          <w:sz w:val="20"/>
          <w:u w:val="single"/>
        </w:rPr>
        <w:t>Section 6.07(b)</w:t>
      </w:r>
      <w:r>
        <w:rPr>
          <w:rFonts w:ascii="Times New Roman" w:hAnsi="Times New Roman"/>
          <w:sz w:val="20"/>
        </w:rPr>
        <w:t xml:space="preserve"> shall not be applicable to (1) business interruption insurance, workers’ compensation policies, employee liability policies, fiduciary policies, directors and officers policies and certain other policies as agreed between the Borrower and the Administrative Agent or (2) the extent unavailable from the relevant insurer after the Borrower’s use of their commercially reasonable efforts.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6.08</w:t>
      </w:r>
      <w:r>
        <w:rPr>
          <w:rFonts w:ascii="Times New Roman" w:hAnsi="Times New Roman"/>
          <w:sz w:val="20"/>
        </w:rPr>
        <w:t xml:space="preserve"> </w:t>
      </w:r>
      <w:r>
        <w:rPr>
          <w:rFonts w:ascii="Times New Roman" w:hAnsi="Times New Roman"/>
          <w:b/>
          <w:sz w:val="20"/>
          <w:u w:val="single"/>
        </w:rPr>
        <w:t>Compliance with Laws</w:t>
      </w:r>
      <w:r>
        <w:rPr>
          <w:rFonts w:ascii="Times New Roman" w:hAnsi="Times New Roman"/>
          <w:sz w:val="20"/>
        </w:rPr>
        <w:t xml:space="preserve">. Comply with the requirements of all Laws (including applicable ERISA-related laws and all Environmental Laws) and all orders, writs, injunctions and decrees of any Governmental Authority applicable to it or to its business or property, except to the extent the failure to comply therewith has not resulted in, or is not reasonably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6.09</w:t>
      </w:r>
      <w:r>
        <w:rPr>
          <w:rFonts w:ascii="Times New Roman" w:hAnsi="Times New Roman"/>
          <w:sz w:val="20"/>
        </w:rPr>
        <w:t xml:space="preserve"> </w:t>
      </w:r>
      <w:r>
        <w:rPr>
          <w:rFonts w:ascii="Times New Roman" w:hAnsi="Times New Roman"/>
          <w:b/>
          <w:sz w:val="20"/>
          <w:u w:val="single"/>
        </w:rPr>
        <w:t>Books and Records</w:t>
      </w:r>
      <w:r>
        <w:rPr>
          <w:rFonts w:ascii="Times New Roman" w:hAnsi="Times New Roman"/>
          <w:sz w:val="20"/>
        </w:rPr>
        <w:t xml:space="preserve">. Maintain proper books of record and account in which entries that are full, true and correct in all material respects shall be made of all material financial transactions and material matters involving the assets and business of the Borrower or such Restricted Subsidiary, as the case may be (it being understood and agreed that Foreign Subsidiaries may maintain individual books and records in conformity with generally accepted accounting principles in their respective countries of organization or operations and that such maintenance shall not constitute a breach of the representations, warranties or covenants hereunder), in each case, to the extent necessary to prepare the financial statements described in Sections 6.01(a) and 6.01(b).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Inspection Rights</w:t>
      </w:r>
      <w:r>
        <w:rPr>
          <w:rFonts w:ascii="Times New Roman" w:hAnsi="Times New Roman"/>
          <w:sz w:val="20"/>
        </w:rPr>
        <w:t xml:space="preserve">. Subject to </w:t>
      </w:r>
      <w:r>
        <w:rPr>
          <w:rFonts w:ascii="Times New Roman" w:hAnsi="Times New Roman"/>
          <w:sz w:val="20"/>
          <w:u w:val="single"/>
        </w:rPr>
        <w:t>Section 6.19(h)</w:t>
      </w:r>
      <w:r>
        <w:rPr>
          <w:rFonts w:ascii="Times New Roman" w:hAnsi="Times New Roman"/>
          <w:sz w:val="20"/>
        </w:rPr>
        <w:t xml:space="preserve"> in respect of Vessels, permit representatives of the Administrative Agent and the Required Lenders to visit and inspect any of their properties (subject to the rights of lessees or sublessees thereof and subject to any restrictions or limitations in the applicable lease, sublease or other written occupancy arrangement pursuant to which any such Subsidiary party), to examine its corporate, financial, and operating records, and make copies thereof or abstracts therefrom and to discuss its affairs, finances and accounts with its directors, officers, and independent public accountants (subject to such accountants’ policies and procedures), all at the reasonable expense of the Borrower and at such reasonable times during normal business hours and as often as may be reasonably desired, upon reasonable advance written notice to the Borrower; </w:t>
      </w:r>
      <w:r>
        <w:rPr>
          <w:rFonts w:ascii="Times New Roman" w:hAnsi="Times New Roman"/>
          <w:i/>
          <w:sz w:val="20"/>
        </w:rPr>
        <w:t xml:space="preserve">provided </w:t>
      </w:r>
      <w:r>
        <w:rPr>
          <w:rFonts w:ascii="Times New Roman" w:hAnsi="Times New Roman"/>
          <w:sz w:val="20"/>
        </w:rPr>
        <w:t xml:space="preserve">that, (a) excluding any such visits and inspections during the continuation of an Event of Default, only the Administrative Agent on behalf of the Lenders may exercise rights under this </w:t>
      </w:r>
      <w:r>
        <w:rPr>
          <w:rFonts w:ascii="Times New Roman" w:hAnsi="Times New Roman"/>
          <w:sz w:val="20"/>
          <w:u w:val="single"/>
        </w:rPr>
        <w:t>Section 6.10</w:t>
      </w:r>
      <w:r>
        <w:rPr>
          <w:rFonts w:ascii="Times New Roman" w:hAnsi="Times New Roman"/>
          <w:sz w:val="20"/>
        </w:rPr>
        <w:t xml:space="preserve"> and the Administrative Agent shall not exercise such rights more often than two times during any calendar year absent the continuation of an Event of Default and one such time shall be at the Borrower’s expense and (b) when an Event of Default is continuing, the Administrative Agent or the Required Lenders (or any of their respective representatives) may do any of the foregoing at the expense of the Borrower at any time during normal business hours and upon reasonable advance written notice. Notwithstanding anything to the contrary in this </w:t>
      </w:r>
      <w:r>
        <w:rPr>
          <w:rFonts w:ascii="Times New Roman" w:hAnsi="Times New Roman"/>
          <w:sz w:val="20"/>
          <w:u w:val="single"/>
        </w:rPr>
        <w:t>Section 6.10</w:t>
      </w:r>
      <w:r>
        <w:rPr>
          <w:rFonts w:ascii="Times New Roman" w:hAnsi="Times New Roman"/>
          <w:sz w:val="20"/>
        </w:rPr>
        <w:t xml:space="preserve">, none of the Loan Parties or their Restricted Subsidiaries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The Administrative Agent shall give the Borrower the opportunity to participate in any discussions with the Borrower’s independent public accountants. For the avoidance of doubt, the foregoing shall be subject to the provisions of </w:t>
      </w:r>
      <w:r>
        <w:rPr>
          <w:rFonts w:ascii="Times New Roman" w:hAnsi="Times New Roman"/>
          <w:sz w:val="20"/>
          <w:u w:val="single"/>
        </w:rPr>
        <w:t>Section 11.08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b/>
          <w:sz w:val="20"/>
          <w:u w:val="single"/>
        </w:rPr>
        <w:t>Covenant to Guarantee Obligations and Give Security</w:t>
      </w:r>
      <w:r>
        <w:rPr>
          <w:rFonts w:ascii="Times New Roman" w:hAnsi="Times New Roman"/>
          <w:sz w:val="20"/>
        </w:rPr>
        <w:t xml:space="preserve">. At the Borrower’s expense, subject to any applicable limitation in any Loan Document (including </w:t>
      </w:r>
      <w:r>
        <w:rPr>
          <w:rFonts w:ascii="Times New Roman" w:hAnsi="Times New Roman"/>
          <w:sz w:val="20"/>
          <w:u w:val="single"/>
        </w:rPr>
        <w:t>Section 6.12</w:t>
      </w:r>
      <w:r>
        <w:rPr>
          <w:rFonts w:ascii="Times New Roman" w:hAnsi="Times New Roman"/>
          <w:sz w:val="20"/>
        </w:rPr>
        <w:t xml:space="preserve">), take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(a) within forty-five (45) days of the occurrence of any Grant Event (or such longer period as the Administrative Agent may agree in its reasonable discretion), </w:t>
      </w:r>
    </w:p>
    <w:p>
      <w:pPr>
        <w:pStyle w:val="TextBody"/>
        <w:bidi w:val="0"/>
        <w:spacing w:before="120" w:after="0"/>
        <w:jc w:val="left"/>
        <w:rPr>
          <w:rFonts w:ascii="Times New Roman" w:hAnsi="Times New Roman"/>
          <w:sz w:val="20"/>
        </w:rPr>
      </w:pPr>
      <w:r>
        <w:rPr>
          <w:rFonts w:ascii="Times New Roman" w:hAnsi="Times New Roman"/>
          <w:sz w:val="20"/>
        </w:rPr>
        <w:t xml:space="preserve">(i) cause the Restricted Subsidiary subject of the Grant Event to execute and deliver the Guaranty (or a joinder thereto); </w:t>
      </w:r>
    </w:p>
    <w:p>
      <w:pPr>
        <w:pStyle w:val="TextBody"/>
        <w:bidi w:val="0"/>
        <w:spacing w:before="120" w:after="0"/>
        <w:jc w:val="left"/>
        <w:rPr>
          <w:rFonts w:ascii="Times New Roman" w:hAnsi="Times New Roman"/>
          <w:sz w:val="20"/>
        </w:rPr>
      </w:pPr>
      <w:r>
        <w:rPr>
          <w:rFonts w:ascii="Times New Roman" w:hAnsi="Times New Roman"/>
          <w:sz w:val="20"/>
        </w:rPr>
        <w:t xml:space="preserve">(ii) cause the Restricted Subsidiary subject of the Grant Event to execute and deliver the Collateral Agreement (or a supplement thereto, including a Collateral Agreement Supplement); </w:t>
      </w:r>
    </w:p>
    <w:p>
      <w:pPr>
        <w:pStyle w:val="TextBody"/>
        <w:bidi w:val="0"/>
        <w:spacing w:before="120" w:after="0"/>
        <w:jc w:val="left"/>
        <w:rPr>
          <w:rFonts w:ascii="Times New Roman" w:hAnsi="Times New Roman"/>
          <w:sz w:val="20"/>
        </w:rPr>
      </w:pPr>
      <w:r>
        <w:rPr>
          <w:rFonts w:ascii="Times New Roman" w:hAnsi="Times New Roman"/>
          <w:sz w:val="20"/>
        </w:rPr>
        <w:t xml:space="preserve">(iii) cause the Restricted Subsidiary subject of the Grant Event to execute and deliver, to the extent applicable, the Vessel Mortgage;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cause the Restricted Subsidiary subject of the Grant Event (and any Loan Party of which such Restricted Subsidiary is a direct Subsidiary) to (A) if such Restricted Subsidiary has “opted into” Article 8 of the Uniform Commercial Code, deliver any and all certificates representing its Equity Interests (to the extent certificated) that constitute Collateral and are required to be pledged pursuant to the Collateral Agreement, accompanied by undated stock powers or other appropriate instruments of transfer executed in blank (or any other documents customary under local law), (B) [reserved] and (C) deliver all instruments evidencing Indebtedness held by such Restricted Subsidiary that constitute Collateral and are required to be pledged pursuant to the Collateral Agreement, endorsed in blank, to the Collateral Trustee; and </w:t>
      </w:r>
    </w:p>
    <w:p>
      <w:pPr>
        <w:pStyle w:val="TextBody"/>
        <w:bidi w:val="0"/>
        <w:spacing w:before="120" w:after="0"/>
        <w:jc w:val="left"/>
        <w:rPr>
          <w:rFonts w:ascii="Times New Roman" w:hAnsi="Times New Roman"/>
          <w:sz w:val="20"/>
        </w:rPr>
      </w:pPr>
      <w:r>
        <w:rPr>
          <w:rFonts w:ascii="Times New Roman" w:hAnsi="Times New Roman"/>
          <w:sz w:val="20"/>
        </w:rPr>
        <w:t xml:space="preserve">(vi) upon the reasonable request of the Administrative Agent, take and cause the Restricted Subsidiary the subject of the Grant Event and each direct or indirect parent of such Restricted Subsidiary that is required to become a Guarantor pursuant to the Collateral Agreement that holds Equity Interests in such Restricted Subsidiary to take such customary actions as may be necessary in the reasonable opinion of the Administrative Agent to vest in the Collateral Trustee (or in any representative of the Collateral Trustee designated by it) perfected Liens (subject to Permitted Liens) in the Equity Interests of such Restricted Subsidiary and the personal property of such Restricted Subsidiary to the extent required by the Loan Documents, enforceable against all third parties in accordance with their terms, except as such enforceability may be limited by Debtor Relief Laws and by general principles of equity (regardless of whether enforcement is sought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Control Agreements</w:t>
      </w:r>
      <w:r>
        <w:rPr>
          <w:rFonts w:ascii="Times New Roman" w:hAnsi="Times New Roman"/>
          <w:sz w:val="20"/>
        </w:rPr>
        <w:t xml:space="preserve">. Subject to </w:t>
      </w:r>
      <w:r>
        <w:rPr>
          <w:rFonts w:ascii="Times New Roman" w:hAnsi="Times New Roman"/>
          <w:sz w:val="20"/>
          <w:u w:val="single"/>
        </w:rPr>
        <w:t>Section 6.15</w:t>
      </w:r>
      <w:r>
        <w:rPr>
          <w:rFonts w:ascii="Times New Roman" w:hAnsi="Times New Roman"/>
          <w:sz w:val="20"/>
        </w:rPr>
        <w:t xml:space="preserve"> and other than with respect to Excluded Accounts, maintain at all times all cash and Cash Equivalents of the Borrower and any Loan Parties in Deposit Accounts or Securities Accounts with either (i) any financial institution that is a Lender or an Affiliate of a Lender or (ii) any financial institution that has entered into a Control Agreement; </w:t>
      </w:r>
      <w:r>
        <w:rPr>
          <w:rFonts w:ascii="Times New Roman" w:hAnsi="Times New Roman"/>
          <w:i/>
          <w:sz w:val="20"/>
        </w:rPr>
        <w:t>provided, however</w:t>
      </w:r>
      <w:r>
        <w:rPr>
          <w:rFonts w:ascii="Times New Roman" w:hAnsi="Times New Roman"/>
          <w:sz w:val="20"/>
        </w:rPr>
        <w:t xml:space="preserve">, this </w:t>
      </w:r>
      <w:r>
        <w:rPr>
          <w:rFonts w:ascii="Times New Roman" w:hAnsi="Times New Roman"/>
          <w:sz w:val="20"/>
          <w:u w:val="single"/>
        </w:rPr>
        <w:t>clause (c)</w:t>
      </w:r>
      <w:r>
        <w:rPr>
          <w:rFonts w:ascii="Times New Roman" w:hAnsi="Times New Roman"/>
          <w:sz w:val="20"/>
        </w:rPr>
        <w:t> shall not apply with respect to any Deposit Accounts or Securities Accounts of any Loan Party existing as of the Closing Date (or such longer period as the Administrative Agent may consent to in its sole discretion) and, in respect of any other Deposit Account or Securities Account opened or acquired after the Closing Date, for a period of sixty (60) days after the date of opening or acquisition thereof and, in respect of any Deposit Accounts or Securities Account of any Loan Party that cease to be held with a Lender or an Affiliate of a Lender on account of the applicable Lender ceasing to be a Lender, within sixty (60) days after the Borrower receives written notice that such Lender has ceased to be a Lender hereunder (each such bank account, a “</w:t>
      </w:r>
      <w:r>
        <w:rPr>
          <w:rFonts w:ascii="Times New Roman" w:hAnsi="Times New Roman"/>
          <w:b/>
          <w:sz w:val="20"/>
        </w:rPr>
        <w:t>Blocked Account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Vessel Collateral. </w:t>
      </w:r>
    </w:p>
    <w:p>
      <w:pPr>
        <w:pStyle w:val="TextBody"/>
        <w:bidi w:val="0"/>
        <w:spacing w:before="120" w:after="0"/>
        <w:jc w:val="left"/>
        <w:rPr>
          <w:rFonts w:ascii="Times New Roman" w:hAnsi="Times New Roman"/>
          <w:sz w:val="20"/>
        </w:rPr>
      </w:pPr>
      <w:r>
        <w:rPr>
          <w:rFonts w:ascii="Times New Roman" w:hAnsi="Times New Roman"/>
          <w:sz w:val="20"/>
        </w:rPr>
        <w:t xml:space="preserve">(i) Except as otherwise set forth below, within thirty (30) days of the acquisition (including by way of construction or through a Vessel Substitution) (or by such later date as the Administrative Agent may agree to in its sole discretion) by the Borrower or any Restricted Subsidiary of any Vessel (excluding any Excluded Vessel) the Borrower or such Restricted Subsidiary shall mortgage, substantially on terms and conditions set forth in the Vessel Mortgage (or the applicable foreign law equivalent in form and substance reasonably acceptable to the Borrower, the Administrative Agent and Collateral Trustee), such Vessel so as to grant to the Collateral Trustee, for the ratable benefit of the Secured Parties, Vessel Mortgage Liens (or the foreign equivalent in form and substance reasonably acceptable to the Borrower, the Administrative Agent and Collateral Trustee) thereon and first priority (subject to Permitted Liens) security interests (or the foreign equivalent in form and substance reasonably acceptable to the Borrower, the Administrative Agent and Collateral Trustee) in all related property; </w:t>
      </w:r>
      <w:r>
        <w:rPr>
          <w:rFonts w:ascii="Times New Roman" w:hAnsi="Times New Roman"/>
          <w:i/>
          <w:sz w:val="20"/>
        </w:rPr>
        <w:t>provided</w:t>
      </w:r>
      <w:r>
        <w:rPr>
          <w:rFonts w:ascii="Times New Roman" w:hAnsi="Times New Roman"/>
          <w:sz w:val="20"/>
        </w:rPr>
        <w:t xml:space="preserve">, that notwithstanding anything to the contrary in </w:t>
      </w:r>
      <w:r>
        <w:rPr>
          <w:rFonts w:ascii="Times New Roman" w:hAnsi="Times New Roman"/>
          <w:sz w:val="20"/>
          <w:u w:val="single"/>
        </w:rPr>
        <w:t>Section 6.11(a)</w:t>
      </w:r>
      <w:r>
        <w:rPr>
          <w:rFonts w:ascii="Times New Roman" w:hAnsi="Times New Roman"/>
          <w:sz w:val="20"/>
        </w:rPr>
        <w:t xml:space="preserve">, if the Restricted Subsidiary that has acquired any such Vessel that is required to become Collateral is not already a Guarantor, such Restricted Subsidiary of the Borrower shall become a Guarantor. No Loan Party shall be required to grant a Lien in any Excluded Vessel to the Collateral Trustee for the benefit of the Secured Parties; provided, however, any Loan Party or Restricted Subsidiary may elect to grant a Lien in any Excluded Vessel to the Collateral Trustee for the benefit of the Secured Parties. In the event any Loan Party or Restricted Subsidiary makes such election, such Loan Party or Restricted Subsidiary shall satisfy the requirements of this </w:t>
      </w:r>
      <w:r>
        <w:rPr>
          <w:rFonts w:ascii="Times New Roman" w:hAnsi="Times New Roman"/>
          <w:sz w:val="20"/>
          <w:u w:val="single"/>
        </w:rPr>
        <w:t>Section 6.11(d)</w:t>
      </w:r>
      <w:r>
        <w:rPr>
          <w:rFonts w:ascii="Times New Roman" w:hAnsi="Times New Roman"/>
          <w:sz w:val="20"/>
        </w:rPr>
        <w:t xml:space="preserve"> in respect of such Vessels (assuming, for such purpose, that such Vessel does not constitute an Excluded Vessel). </w:t>
      </w:r>
    </w:p>
    <w:p>
      <w:pPr>
        <w:pStyle w:val="TextBody"/>
        <w:bidi w:val="0"/>
        <w:spacing w:before="120" w:after="0"/>
        <w:jc w:val="left"/>
        <w:rPr>
          <w:rFonts w:ascii="Times New Roman" w:hAnsi="Times New Roman"/>
          <w:sz w:val="20"/>
        </w:rPr>
      </w:pPr>
      <w:r>
        <w:rPr>
          <w:rFonts w:ascii="Times New Roman" w:hAnsi="Times New Roman"/>
          <w:sz w:val="20"/>
        </w:rPr>
        <w:t xml:space="preserve">(ii) (x) Promptly following the acquisition, substitution or release of any Vessel constituting Vessel Collateral, the Administrative Agent shall provide to the Borrower a revised </w:t>
      </w:r>
      <w:r>
        <w:rPr>
          <w:rFonts w:ascii="Times New Roman" w:hAnsi="Times New Roman"/>
          <w:sz w:val="20"/>
          <w:u w:val="single"/>
        </w:rPr>
        <w:t>Schedule 1.01(a)</w:t>
      </w:r>
      <w:r>
        <w:rPr>
          <w:rFonts w:ascii="Times New Roman" w:hAnsi="Times New Roman"/>
          <w:sz w:val="20"/>
        </w:rPr>
        <w:t xml:space="preserve">, setting forth the new Allocated Dollar Values of the then existing Vessels constituting Vessel Collateral and (y) following any prepayment in accordance with </w:t>
      </w:r>
      <w:r>
        <w:rPr>
          <w:rFonts w:ascii="Times New Roman" w:hAnsi="Times New Roman"/>
          <w:sz w:val="20"/>
          <w:u w:val="single"/>
        </w:rPr>
        <w:t>Section 2.03</w:t>
      </w:r>
      <w:r>
        <w:rPr>
          <w:rFonts w:ascii="Times New Roman" w:hAnsi="Times New Roman"/>
          <w:sz w:val="20"/>
        </w:rPr>
        <w:t xml:space="preserve">, the Borrower may request from the Administrative Agent a revised </w:t>
      </w:r>
      <w:r>
        <w:rPr>
          <w:rFonts w:ascii="Times New Roman" w:hAnsi="Times New Roman"/>
          <w:sz w:val="20"/>
          <w:u w:val="single"/>
        </w:rPr>
        <w:t>Schedule 1.01(a)</w:t>
      </w:r>
      <w:r>
        <w:rPr>
          <w:rFonts w:ascii="Times New Roman" w:hAnsi="Times New Roman"/>
          <w:sz w:val="20"/>
        </w:rPr>
        <w:t xml:space="preserve">, setting forth the new Allocated Dollar Values of the then existing Vessels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constituting Vessel Collateral and in each case, such </w:t>
      </w:r>
      <w:r>
        <w:rPr>
          <w:rFonts w:ascii="Times New Roman" w:hAnsi="Times New Roman"/>
          <w:sz w:val="20"/>
          <w:u w:val="single"/>
        </w:rPr>
        <w:t>Schedule 1.01(a)</w:t>
      </w:r>
      <w:r>
        <w:rPr>
          <w:rFonts w:ascii="Times New Roman" w:hAnsi="Times New Roman"/>
          <w:sz w:val="20"/>
        </w:rPr>
        <w:t xml:space="preserve"> shall be deemed to replace the then current </w:t>
      </w:r>
      <w:r>
        <w:rPr>
          <w:rFonts w:ascii="Times New Roman" w:hAnsi="Times New Roman"/>
          <w:sz w:val="20"/>
          <w:u w:val="single"/>
        </w:rPr>
        <w:t>Schedule 1.01(a)</w:t>
      </w:r>
      <w:r>
        <w:rPr>
          <w:rFonts w:ascii="Times New Roman" w:hAnsi="Times New Roman"/>
          <w:sz w:val="20"/>
        </w:rPr>
        <w:t xml:space="preserve"> upon the Borrower’s written acknowledgment and agreement thereof on such replacement </w:t>
      </w:r>
      <w:r>
        <w:rPr>
          <w:rFonts w:ascii="Times New Roman" w:hAnsi="Times New Roman"/>
          <w:sz w:val="20"/>
          <w:u w:val="single"/>
        </w:rPr>
        <w:t>Schedule 1.01(a)</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absent the consent of the Required Lenders, any amendment, supplement or modification may not be requested by the Borrower more than twice during the term of the Loans. Notwithstanding the release of any Vessel constituting Vessel Collateral, neither the Administrative Agent nor the Lenders shall be deemed to have waived the loan-to-value requirement in </w:t>
      </w:r>
      <w:r>
        <w:rPr>
          <w:rFonts w:ascii="Times New Roman" w:hAnsi="Times New Roman"/>
          <w:sz w:val="20"/>
          <w:u w:val="single"/>
        </w:rPr>
        <w:t>Section 2.03(b)(iii)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b/>
          <w:sz w:val="20"/>
          <w:u w:val="single"/>
        </w:rPr>
        <w:t>Further Assurances</w:t>
      </w:r>
      <w:r>
        <w:rPr>
          <w:rFonts w:ascii="Times New Roman" w:hAnsi="Times New Roman"/>
          <w:sz w:val="20"/>
        </w:rPr>
        <w:t xml:space="preserve">. Subject to </w:t>
      </w:r>
      <w:r>
        <w:rPr>
          <w:rFonts w:ascii="Times New Roman" w:hAnsi="Times New Roman"/>
          <w:sz w:val="20"/>
          <w:u w:val="single"/>
        </w:rPr>
        <w:t>Section 6.11</w:t>
      </w:r>
      <w:r>
        <w:rPr>
          <w:rFonts w:ascii="Times New Roman" w:hAnsi="Times New Roman"/>
          <w:sz w:val="20"/>
        </w:rPr>
        <w:t xml:space="preserve"> and any applicable limitations in any Loan Document, and in each case at the expense of the Borrower, promptly upon the reasonable request by the Administrative Agent or Collateral Trustee (a) correct any material defect or error that may be discovered in the execution, acknowledgment, filing, publication or recordation of any Collateral Document or other document or instrument relating to any Collateral and (b) do, execute, acknowledge, deliver, record, re-record, file, re-file, register, re-register, publish and re-publish any and all such further acts, deeds, certificates, assurances and other instruments as the Administrative Agent or Collateral Trustee may reasonably request from time to time in order to carry out more effectively the purposes of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any Loan Document, unless otherwise expressly elected by the Borrower, none of the Borrower nor any Restricted Subsidiary will be required to, nor will the Administrative Agent or the Collateral Trustee be authorized, </w:t>
      </w:r>
    </w:p>
    <w:p>
      <w:pPr>
        <w:pStyle w:val="TextBody"/>
        <w:bidi w:val="0"/>
        <w:spacing w:before="120" w:after="0"/>
        <w:jc w:val="left"/>
        <w:rPr>
          <w:rFonts w:ascii="Times New Roman" w:hAnsi="Times New Roman"/>
          <w:sz w:val="20"/>
        </w:rPr>
      </w:pPr>
      <w:r>
        <w:rPr>
          <w:rFonts w:ascii="Times New Roman" w:hAnsi="Times New Roman"/>
          <w:sz w:val="20"/>
        </w:rPr>
        <w:t xml:space="preserve">(a) to perfect security interests in the Collateral other than by, </w:t>
      </w:r>
    </w:p>
    <w:p>
      <w:pPr>
        <w:pStyle w:val="TextBody"/>
        <w:bidi w:val="0"/>
        <w:spacing w:before="120" w:after="0"/>
        <w:jc w:val="left"/>
        <w:rPr>
          <w:rFonts w:ascii="Times New Roman" w:hAnsi="Times New Roman"/>
          <w:sz w:val="20"/>
        </w:rPr>
      </w:pPr>
      <w:r>
        <w:rPr>
          <w:rFonts w:ascii="Times New Roman" w:hAnsi="Times New Roman"/>
          <w:sz w:val="20"/>
        </w:rPr>
        <w:t xml:space="preserve">(i) “all asset” filings pursuant to the Uniform Commercial Code in the office of the secretary of state (or similar central filing office) of the relevant state(s) and filing and filings in the applicable real estate records with respect to any applicable real property pursuant to </w:t>
      </w:r>
      <w:r>
        <w:rPr>
          <w:rFonts w:ascii="Times New Roman" w:hAnsi="Times New Roman"/>
          <w:sz w:val="20"/>
          <w:u w:val="single"/>
        </w:rPr>
        <w:t>Section 6.11(b)</w:t>
      </w:r>
      <w:r>
        <w:rPr>
          <w:rFonts w:ascii="Times New Roman" w:hAnsi="Times New Roman"/>
          <w:sz w:val="20"/>
        </w:rPr>
        <w:t xml:space="preserv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the Vessel Mortgage in respect of Vessel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(iv) delivery to the Administrative Agent or Collateral Trustee to be held in its possession of all Collateral consisting of (A) certificates representing Pledged Equity, and (B) all promissory notes and other instruments constituting Collateral; </w:t>
      </w:r>
      <w:r>
        <w:rPr>
          <w:rFonts w:ascii="Times New Roman" w:hAnsi="Times New Roman"/>
          <w:i/>
          <w:sz w:val="20"/>
        </w:rPr>
        <w:t xml:space="preserve">provided </w:t>
      </w:r>
      <w:r>
        <w:rPr>
          <w:rFonts w:ascii="Times New Roman" w:hAnsi="Times New Roman"/>
          <w:sz w:val="20"/>
        </w:rPr>
        <w:t xml:space="preserve">that promissory notes and instruments having an aggregate principal amount equal to or less than 5% of Consolidated Net Tangible Assets determined as of the most recently completed fiscal quarter need not be delivered to the Collateral Trustee; in each case, in the manner provided in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(b) to enter into any control agreement, lockbox or similar arrangement with respect to any commodities account or other bank account (other than a Deposit Account or Securities Account to the extent required by </w:t>
      </w:r>
      <w:r>
        <w:rPr>
          <w:rFonts w:ascii="Times New Roman" w:hAnsi="Times New Roman"/>
          <w:sz w:val="20"/>
          <w:u w:val="single"/>
        </w:rPr>
        <w:t>Section 6.11(c)</w:t>
      </w:r>
      <w:r>
        <w:rPr>
          <w:rFonts w:ascii="Times New Roman" w:hAnsi="Times New Roman"/>
          <w:sz w:val="20"/>
        </w:rPr>
        <w:t xml:space="preserve">), or otherwise take or perfect a security interest with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take any action (i) outside of the United States with respect to any assets located outside of the United States, (ii) in any non-U.S. jurisdiction or (iii) required by the laws of any non-U.S. jurisdiction to create, perfect or maintain any security interest or otherwise (unless, in each case, expressly elected by the Borrower in respect of the Vessel Collateral); or </w:t>
      </w:r>
    </w:p>
    <w:p>
      <w:pPr>
        <w:pStyle w:val="TextBody"/>
        <w:bidi w:val="0"/>
        <w:spacing w:before="120" w:after="0"/>
        <w:jc w:val="left"/>
        <w:rPr>
          <w:rFonts w:ascii="Times New Roman" w:hAnsi="Times New Roman"/>
          <w:sz w:val="20"/>
        </w:rPr>
      </w:pPr>
      <w:r>
        <w:rPr>
          <w:rFonts w:ascii="Times New Roman" w:hAnsi="Times New Roman"/>
          <w:sz w:val="20"/>
        </w:rPr>
        <w:t xml:space="preserve">(d) 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or collateral access letters, in each case, unless required by the terms of the applicable Collateral Agreement or the relevant Collateral Document. </w:t>
      </w:r>
    </w:p>
    <w:p>
      <w:pPr>
        <w:pStyle w:val="TextBody"/>
        <w:bidi w:val="0"/>
        <w:spacing w:before="240" w:after="0"/>
        <w:jc w:val="left"/>
        <w:rPr>
          <w:rFonts w:ascii="Times New Roman" w:hAnsi="Times New Roman"/>
          <w:sz w:val="20"/>
        </w:rPr>
      </w:pPr>
      <w:r>
        <w:rPr>
          <w:rFonts w:ascii="Times New Roman" w:hAnsi="Times New Roman"/>
          <w:sz w:val="20"/>
        </w:rPr>
        <w:t>Further, the Loan Parties shall not be required to perform any periodic collateral reporting, if any, with any frequency greater than once per fiscal year (</w:t>
      </w:r>
      <w:r>
        <w:rPr>
          <w:rFonts w:ascii="Times New Roman" w:hAnsi="Times New Roman"/>
          <w:i/>
          <w:sz w:val="20"/>
        </w:rPr>
        <w:t xml:space="preserve">provided </w:t>
      </w:r>
      <w:r>
        <w:rPr>
          <w:rFonts w:ascii="Times New Roman" w:hAnsi="Times New Roman"/>
          <w:sz w:val="20"/>
        </w:rPr>
        <w:t xml:space="preserve">that this clause shall not limit the obligation of the Loan Parties to comply with </w:t>
      </w:r>
      <w:r>
        <w:rPr>
          <w:rFonts w:ascii="Times New Roman" w:hAnsi="Times New Roman"/>
          <w:sz w:val="20"/>
          <w:u w:val="single"/>
        </w:rPr>
        <w:t>Section 6.02(c)</w:t>
      </w:r>
      <w:r>
        <w:rPr>
          <w:rFonts w:ascii="Times New Roman" w:hAnsi="Times New Roman"/>
          <w:sz w:val="20"/>
        </w:rPr>
        <w:t xml:space="preserve"> or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w:t>
      </w:r>
      <w:r>
        <w:rPr>
          <w:rFonts w:ascii="Times New Roman" w:hAnsi="Times New Roman"/>
          <w:sz w:val="20"/>
        </w:rPr>
        <w:t xml:space="preserve"> </w:t>
      </w:r>
      <w:r>
        <w:rPr>
          <w:rFonts w:ascii="Times New Roman" w:hAnsi="Times New Roman"/>
          <w:b/>
          <w:sz w:val="20"/>
          <w:u w:val="single"/>
        </w:rPr>
        <w:t>Designation of Subsidiaries</w:t>
      </w:r>
      <w:r>
        <w:rPr>
          <w:rFonts w:ascii="Times New Roman" w:hAnsi="Times New Roman"/>
          <w:sz w:val="20"/>
        </w:rPr>
        <w:t xml:space="preserve">. The Borrower may by action of its Board of Directors, at any time designate any Restricted Subsidiary as an Unrestricted Subsidiary or designate (or re-designate, as the case may be) any Unrestricted Subsidiary as a Restricted Subsidiary;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(a) immediately before and after such designation (or re-designation), no Default or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(b) the Investment resulting from the designation of such Restricted Subsidiary as an Unrestricted Subsidiary as described above is a Permitted Investment or other Investment permitted hereunder; and </w:t>
      </w:r>
    </w:p>
    <w:p>
      <w:pPr>
        <w:pStyle w:val="TextBody"/>
        <w:bidi w:val="0"/>
        <w:spacing w:before="120" w:after="0"/>
        <w:jc w:val="left"/>
        <w:rPr>
          <w:rFonts w:ascii="Times New Roman" w:hAnsi="Times New Roman"/>
          <w:sz w:val="20"/>
        </w:rPr>
      </w:pPr>
      <w:r>
        <w:rPr>
          <w:rFonts w:ascii="Times New Roman" w:hAnsi="Times New Roman"/>
          <w:sz w:val="20"/>
        </w:rPr>
        <w:t xml:space="preserve">(c) such designation shall not result in Vessel Collateral being owned by an Unrestricted Subsidiary (it being agreed and understood that in connection with the designation as an Unrestricted Subsidiary of any Subsidiary owning Vessel Collateral immediately before such designation, the Borrower shall make a mandatory prepayment and/or designate Substitute Vessel (or Substitute Vessels) pursuant to </w:t>
      </w:r>
      <w:r>
        <w:rPr>
          <w:rFonts w:ascii="Times New Roman" w:hAnsi="Times New Roman"/>
          <w:sz w:val="20"/>
          <w:u w:val="single"/>
        </w:rPr>
        <w:t>Section 2.03(b)</w:t>
      </w:r>
      <w:r>
        <w:rPr>
          <w:rFonts w:ascii="Times New Roman" w:hAnsi="Times New Roman"/>
          <w:sz w:val="20"/>
        </w:rPr>
        <w:t xml:space="preserve">, and after doing so, such Vessel shall no longer be Vessel Collateral). </w:t>
      </w:r>
    </w:p>
    <w:p>
      <w:pPr>
        <w:pStyle w:val="TextBody"/>
        <w:bidi w:val="0"/>
        <w:spacing w:before="240" w:after="0"/>
        <w:jc w:val="left"/>
        <w:rPr>
          <w:rFonts w:ascii="Times New Roman" w:hAnsi="Times New Roman"/>
          <w:sz w:val="20"/>
        </w:rPr>
      </w:pPr>
      <w:r>
        <w:rPr>
          <w:rFonts w:ascii="Times New Roman" w:hAnsi="Times New Roman"/>
          <w:sz w:val="20"/>
        </w:rPr>
        <w:t xml:space="preserve">The designation of any Subsidiary as an Unrestricted Subsidiary shall constitute an Investment by the Borrower therein at the date of designation in an amount equal to the Fair Market Value of the Borrower’s or Restricted Subsidiary’s (as applicable) Investment therein. The designation of any Unrestricted Subsidiary as a Restricted Subsidiary shall constitute the incurrence at the time of designation of any Indebtedness and Liens of such Subsidiary existing at such time and a return on any Investment by the Borrower in Unrestricted Subsidiaries pursuant to the preceding sentence in an amount equal to the Fair Market Value at the date of such designation of the Borrower’s or Restricted Subsidiary’s (as applicable) Investment in such Subsidiary. Except as set forth in this paragraph, no Investment will be deemed to exist or have been made, and no Indebtedness or Liens shall be deemed to have been incurred or exist, by virtue of a Subsidiary becoming an Excluded Subsidiary or an Excluded Subsidiary becoming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6.14</w:t>
      </w:r>
      <w:r>
        <w:rPr>
          <w:rFonts w:ascii="Times New Roman" w:hAnsi="Times New Roman"/>
          <w:sz w:val="20"/>
        </w:rPr>
        <w:t xml:space="preserve"> </w:t>
      </w:r>
      <w:r>
        <w:rPr>
          <w:rFonts w:ascii="Times New Roman" w:hAnsi="Times New Roman"/>
          <w:b/>
          <w:sz w:val="20"/>
          <w:u w:val="single"/>
        </w:rPr>
        <w:t>Compliance with Anti-Corruption Laws and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Loan Party shall (and the Borrower shall ensure that no other Relevant Person will) take any action, make any omission or use (directly or knowingly indirectly) any Loan: </w:t>
      </w:r>
    </w:p>
    <w:p>
      <w:pPr>
        <w:pStyle w:val="TextBody"/>
        <w:bidi w:val="0"/>
        <w:spacing w:before="120" w:after="0"/>
        <w:jc w:val="left"/>
        <w:rPr>
          <w:rFonts w:ascii="Times New Roman" w:hAnsi="Times New Roman"/>
          <w:sz w:val="20"/>
        </w:rPr>
      </w:pPr>
      <w:r>
        <w:rPr>
          <w:rFonts w:ascii="Times New Roman" w:hAnsi="Times New Roman"/>
          <w:sz w:val="20"/>
        </w:rPr>
        <w:t xml:space="preserve">(i) in furtherance of an offer, payment, promise to pay, or authorization of the payment or giving of money, or anything else of value, to any Person in violation of any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(ii) in breach of Sanctions; </w:t>
      </w:r>
    </w:p>
    <w:p>
      <w:pPr>
        <w:pStyle w:val="TextBody"/>
        <w:bidi w:val="0"/>
        <w:spacing w:before="120" w:after="0"/>
        <w:jc w:val="left"/>
        <w:rPr>
          <w:rFonts w:ascii="Times New Roman" w:hAnsi="Times New Roman"/>
          <w:sz w:val="20"/>
        </w:rPr>
      </w:pPr>
      <w:r>
        <w:rPr>
          <w:rFonts w:ascii="Times New Roman" w:hAnsi="Times New Roman"/>
          <w:sz w:val="20"/>
        </w:rPr>
        <w:t xml:space="preserve">(iii) in a manner that causes (or will cause) a breach of Sanctions by any Lender; or </w:t>
      </w:r>
    </w:p>
    <w:p>
      <w:pPr>
        <w:pStyle w:val="TextBody"/>
        <w:bidi w:val="0"/>
        <w:spacing w:before="120" w:after="0"/>
        <w:jc w:val="left"/>
        <w:rPr>
          <w:rFonts w:ascii="Times New Roman" w:hAnsi="Times New Roman"/>
          <w:sz w:val="20"/>
        </w:rPr>
      </w:pPr>
      <w:r>
        <w:rPr>
          <w:rFonts w:ascii="Times New Roman" w:hAnsi="Times New Roman"/>
          <w:sz w:val="20"/>
        </w:rPr>
        <w:t xml:space="preserve">(iv) for the purpose of funding, financing or facilitating any activities, business or transaction of or with any Restricted Party, except to the extent permitted for a Person required to comply with Sanctions. </w:t>
      </w:r>
    </w:p>
    <w:p>
      <w:pPr>
        <w:pStyle w:val="TextBody"/>
        <w:bidi w:val="0"/>
        <w:spacing w:before="120" w:after="0"/>
        <w:jc w:val="left"/>
        <w:rPr>
          <w:rFonts w:ascii="Times New Roman" w:hAnsi="Times New Roman"/>
          <w:sz w:val="20"/>
        </w:rPr>
      </w:pPr>
      <w:r>
        <w:rPr>
          <w:rFonts w:ascii="Times New Roman" w:hAnsi="Times New Roman"/>
          <w:sz w:val="20"/>
        </w:rPr>
        <w:t xml:space="preserve">(b) No Loan Party shall (and the Borrower shall ensure that no other Relevant Person will) take any action or make any omission that results, or is reasonably likely to result, in it or any Lender becoming a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will maintain in effect and enforce policies and procedures designed to ensure compliance by the Borrower, its Subsidiaries and their respective directors, officers, employees and agents with applicable Anti-Corruption Laws and Sanctions. </w:t>
      </w:r>
    </w:p>
    <w:p>
      <w:pPr>
        <w:pStyle w:val="TextBody"/>
        <w:bidi w:val="0"/>
        <w:spacing w:before="120" w:after="0"/>
        <w:jc w:val="left"/>
        <w:rPr>
          <w:rFonts w:ascii="Times New Roman" w:hAnsi="Times New Roman"/>
          <w:sz w:val="20"/>
        </w:rPr>
      </w:pPr>
      <w:r>
        <w:rPr>
          <w:rFonts w:ascii="Times New Roman" w:hAnsi="Times New Roman"/>
          <w:sz w:val="20"/>
        </w:rPr>
        <w:t xml:space="preserve">(d) The requirements set forth in this </w:t>
      </w:r>
      <w:r>
        <w:rPr>
          <w:rFonts w:ascii="Times New Roman" w:hAnsi="Times New Roman"/>
          <w:sz w:val="20"/>
          <w:u w:val="single"/>
        </w:rPr>
        <w:t>Section 6.14</w:t>
      </w:r>
      <w:r>
        <w:rPr>
          <w:rFonts w:ascii="Times New Roman" w:hAnsi="Times New Roman"/>
          <w:sz w:val="20"/>
        </w:rPr>
        <w:t xml:space="preserve">, as they pertain to compliance by any Foreign Subsidiary with Anti-Corruption Laws and Sanctions are limited by any Law applicable to such Foreign Subsidiary in its relevant local jurisdiction.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6.15</w:t>
      </w:r>
      <w:r>
        <w:rPr>
          <w:rFonts w:ascii="Times New Roman" w:hAnsi="Times New Roman"/>
          <w:sz w:val="20"/>
        </w:rPr>
        <w:t xml:space="preserve"> </w:t>
      </w:r>
      <w:r>
        <w:rPr>
          <w:rFonts w:ascii="Times New Roman" w:hAnsi="Times New Roman"/>
          <w:b/>
          <w:sz w:val="20"/>
          <w:u w:val="single"/>
        </w:rPr>
        <w:t>Post-Closing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will, and will cause each of the Restricted Subsidiaries to, take each of the actions set forth on </w:t>
      </w:r>
      <w:r>
        <w:rPr>
          <w:rFonts w:ascii="Times New Roman" w:hAnsi="Times New Roman"/>
          <w:sz w:val="20"/>
          <w:u w:val="single"/>
        </w:rPr>
        <w:t>Schedule 6.15</w:t>
      </w:r>
      <w:r>
        <w:rPr>
          <w:rFonts w:ascii="Times New Roman" w:hAnsi="Times New Roman"/>
          <w:sz w:val="20"/>
        </w:rPr>
        <w:t xml:space="preserve"> within the time period prescribed therefor on such schedule (as such time period may be extended by the Administrative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6.16</w:t>
      </w:r>
      <w:r>
        <w:rPr>
          <w:rFonts w:ascii="Times New Roman" w:hAnsi="Times New Roman"/>
          <w:sz w:val="20"/>
        </w:rPr>
        <w:t xml:space="preserve"> </w:t>
      </w:r>
      <w:r>
        <w:rPr>
          <w:rFonts w:ascii="Times New Roman" w:hAnsi="Times New Roman"/>
          <w:b/>
          <w:sz w:val="20"/>
          <w:u w:val="single"/>
        </w:rPr>
        <w:t>Use of Proceeds</w:t>
      </w:r>
      <w:r>
        <w:rPr>
          <w:rFonts w:ascii="Times New Roman" w:hAnsi="Times New Roman"/>
          <w:sz w:val="20"/>
        </w:rPr>
        <w:t xml:space="preserve">. The proceeds of the Loans will be used for the purposes set forth in the Preliminary Statements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6.17</w:t>
      </w:r>
      <w:r>
        <w:rPr>
          <w:rFonts w:ascii="Times New Roman" w:hAnsi="Times New Roman"/>
          <w:sz w:val="20"/>
        </w:rPr>
        <w:t xml:space="preserve"> </w:t>
      </w:r>
      <w:r>
        <w:rPr>
          <w:rFonts w:ascii="Times New Roman" w:hAnsi="Times New Roman"/>
          <w:b/>
          <w:sz w:val="20"/>
          <w:u w:val="single"/>
        </w:rPr>
        <w:t>Change in Nature of Business</w:t>
      </w:r>
      <w:r>
        <w:rPr>
          <w:rFonts w:ascii="Times New Roman" w:hAnsi="Times New Roman"/>
          <w:sz w:val="20"/>
        </w:rPr>
        <w:t xml:space="preserve">. Engage only in material lines of business that are substantially consistent with those lines of business conducted by the Borrower and the Restricted Subsidiaries on the Closing Date and lines of business that are reasonably similar, corollary, ancillary, incidental, synergistic, complementary or related to, or a reasonable extension, development or expansion of, the businesses conducted or proposed to be conducted by the Borrower and the Restricted Subsidiaries on the Closing Date, in each case as determined by the Borrower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6.18</w:t>
      </w:r>
      <w:r>
        <w:rPr>
          <w:rFonts w:ascii="Times New Roman" w:hAnsi="Times New Roman"/>
          <w:sz w:val="20"/>
        </w:rPr>
        <w:t xml:space="preserve"> </w:t>
      </w:r>
      <w:r>
        <w:rPr>
          <w:rFonts w:ascii="Times New Roman" w:hAnsi="Times New Roman"/>
          <w:b/>
          <w:sz w:val="20"/>
          <w:u w:val="single"/>
        </w:rPr>
        <w:t>Transactions with Affiliates</w:t>
      </w:r>
      <w:r>
        <w:rPr>
          <w:rFonts w:ascii="Times New Roman" w:hAnsi="Times New Roman"/>
          <w:sz w:val="20"/>
        </w:rPr>
        <w:t>. Conduct all transactions (including the purchase, sale, lease or exchange of any property or the rendering of any service) with any Affiliate of the Borrower (an “</w:t>
      </w:r>
      <w:r>
        <w:rPr>
          <w:rFonts w:ascii="Times New Roman" w:hAnsi="Times New Roman"/>
          <w:b/>
          <w:sz w:val="20"/>
        </w:rPr>
        <w:t>Affiliate Transaction</w:t>
      </w:r>
      <w:r>
        <w:rPr>
          <w:rFonts w:ascii="Times New Roman" w:hAnsi="Times New Roman"/>
          <w:sz w:val="20"/>
        </w:rPr>
        <w:t xml:space="preserve">”) involving aggregate value in excess of $5.0 million, on terms which taken as a whole are not materially less favorable to the Borrower or such Restricted Subsidiary, as the case may be, than those that could be obtained in a comparable transaction at the time of such transaction or the execution of the agreement providing for such transaction in arm’s length dealings with a Person who is not such an Affiliate or, if in the good faith judgment of the Board of Directors of the Borrower no comparable transaction is available with which to compare such Affiliate Transaction, such Affiliate Transaction is otherwise fair to the Borrower or such Restricted Subsidiary from a financial point of view. </w:t>
      </w:r>
    </w:p>
    <w:p>
      <w:pPr>
        <w:pStyle w:val="TextBody"/>
        <w:bidi w:val="0"/>
        <w:spacing w:before="240" w:after="0"/>
        <w:jc w:val="left"/>
        <w:rPr>
          <w:rFonts w:ascii="Times New Roman" w:hAnsi="Times New Roman"/>
          <w:sz w:val="20"/>
        </w:rPr>
      </w:pPr>
      <w:r>
        <w:rPr>
          <w:rFonts w:ascii="Times New Roman" w:hAnsi="Times New Roman"/>
          <w:sz w:val="20"/>
        </w:rPr>
        <w:t xml:space="preserve">Any Affiliate Transaction shall be deemed to have satisfied the requirements set forth in this </w:t>
      </w:r>
      <w:r>
        <w:rPr>
          <w:rFonts w:ascii="Times New Roman" w:hAnsi="Times New Roman"/>
          <w:sz w:val="20"/>
          <w:u w:val="single"/>
        </w:rPr>
        <w:t>Section 6.18</w:t>
      </w:r>
      <w:r>
        <w:rPr>
          <w:rFonts w:ascii="Times New Roman" w:hAnsi="Times New Roman"/>
          <w:sz w:val="20"/>
        </w:rPr>
        <w:t xml:space="preserve"> if such Affiliate Transaction is approved by a majority of the Disinterested Directors of the Borrower, if any.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preceding paragraph will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(1) any Restricted Payment or any Permitted Investment; </w:t>
      </w:r>
    </w:p>
    <w:p>
      <w:pPr>
        <w:pStyle w:val="TextBody"/>
        <w:bidi w:val="0"/>
        <w:spacing w:before="120" w:after="0"/>
        <w:jc w:val="left"/>
        <w:rPr>
          <w:rFonts w:ascii="Times New Roman" w:hAnsi="Times New Roman"/>
          <w:sz w:val="20"/>
        </w:rPr>
      </w:pPr>
      <w:r>
        <w:rPr>
          <w:rFonts w:ascii="Times New Roman" w:hAnsi="Times New Roman"/>
          <w:sz w:val="20"/>
        </w:rPr>
        <w:t xml:space="preserve">(2) any issuance, transfer or sale of (a) Equity Interests, options, other equity-related interests or other securities, or other payments, awards or grants in cash, securities or otherwise to any Parent Entity, Permitted Holder or future, current or former employee, director, officer, manager, contractor, consultant or advisor (or their respective Controlled Investment Affiliates or Immediate Family Members) of the Borrower, any of its Subsidiaries or any of its Parent Entities and (b) directors’ qualifying shares and shares issued to foreign nationals as required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(3) any Management Advances and any waiver or transaction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(4) (a) any transaction between or among the Borrower and any Restricted Subsidiary (or entity that becomes a Restricted Subsidiary as a result of such transaction), or between or among Restricted Subsidiaries and (b) any merger, amalgamation or consolidation with any Parent Entity, </w:t>
      </w:r>
      <w:r>
        <w:rPr>
          <w:rFonts w:ascii="Times New Roman" w:hAnsi="Times New Roman"/>
          <w:i/>
          <w:sz w:val="20"/>
        </w:rPr>
        <w:t xml:space="preserve">provided </w:t>
      </w:r>
      <w:r>
        <w:rPr>
          <w:rFonts w:ascii="Times New Roman" w:hAnsi="Times New Roman"/>
          <w:sz w:val="20"/>
        </w:rPr>
        <w:t xml:space="preserve">that such Parent Entity shall have no material liabilities and no material assets other than cash, Cash Equivalents and the Equity Interests of the Borrower and such merger, amalgamation or consolidation is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(5) the payment of compensation, fees, costs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the Borrower, any Parent Entity or any Restricted Subsidiary (whether directly or indirectly and including through their Controlled Investment Affiliates or Immediate Family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the entry into and performance of obligations of the Borrower or any of the Restricted Subsidiaries under the terms of any transaction arising out of, and any payments pursuant to or for purposes of funding, any agreement or instrument in effect as of or on the Closing Date, as these agreements and instruments may be amended, modified, supplemented, extended, renewed or refinanced from time to time in accordance with the other terms of this covenant or to the extent not disadvantageous in any material respect in the reasonable determination of the Borrower to the Lenders when taken as a whole as compared to the applicable agreement as in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(7) [reserved]; </w:t>
      </w:r>
    </w:p>
    <w:p>
      <w:pPr>
        <w:pStyle w:val="TextBody"/>
        <w:bidi w:val="0"/>
        <w:spacing w:before="120" w:after="0"/>
        <w:jc w:val="left"/>
        <w:rPr>
          <w:rFonts w:ascii="Times New Roman" w:hAnsi="Times New Roman"/>
          <w:sz w:val="20"/>
        </w:rPr>
      </w:pPr>
      <w:r>
        <w:rPr>
          <w:rFonts w:ascii="Times New Roman" w:hAnsi="Times New Roman"/>
          <w:sz w:val="20"/>
        </w:rPr>
        <w:t xml:space="preserve">(8) transactions with customers, vendors, clients, joint venture partners, suppliers, contractors, distributors or purchasers or sellers of goods or services, in each case in the ordinary course of business or consistent with past practice, which are fair to the Borrower and the Restricted Subsidiaries, in the reasonable determination of the Borrower, or are on terms, taken as a whole, that are not materially less favorable as might reasonably have been obtained at such time from an unaffiliated party; </w:t>
      </w:r>
    </w:p>
    <w:p>
      <w:pPr>
        <w:pStyle w:val="TextBody"/>
        <w:bidi w:val="0"/>
        <w:spacing w:before="120" w:after="0"/>
        <w:jc w:val="left"/>
        <w:rPr>
          <w:rFonts w:ascii="Times New Roman" w:hAnsi="Times New Roman"/>
          <w:sz w:val="20"/>
        </w:rPr>
      </w:pPr>
      <w:r>
        <w:rPr>
          <w:rFonts w:ascii="Times New Roman" w:hAnsi="Times New Roman"/>
          <w:sz w:val="20"/>
        </w:rPr>
        <w:t xml:space="preserve">(9) any transaction between or among the Borrower or any Restricted Subsidiary and any Person (other than an Unrestricted Subsidiary) that is an Affiliate of the Borrower or an Associate or similar entity solely because the Borrower or a Restricted Subsidiary or any Affiliate of the Borrower or a Restricted Subsidiary or any Affiliate of any Permitted Holder owns an equity interest in or otherwise controls such Affiliate, Associate or similar entity; </w:t>
      </w:r>
    </w:p>
    <w:p>
      <w:pPr>
        <w:pStyle w:val="TextBody"/>
        <w:bidi w:val="0"/>
        <w:spacing w:before="120" w:after="0"/>
        <w:jc w:val="left"/>
        <w:rPr>
          <w:rFonts w:ascii="Times New Roman" w:hAnsi="Times New Roman"/>
          <w:sz w:val="20"/>
        </w:rPr>
      </w:pPr>
      <w:r>
        <w:rPr>
          <w:rFonts w:ascii="Times New Roman" w:hAnsi="Times New Roman"/>
          <w:sz w:val="20"/>
        </w:rPr>
        <w:t xml:space="preserve">(10) any issuance, sale or transfer of Equity Interests (other than Disqualified Equity Interests) of the Borrower, any Parent Entity or any of its Restricted Subsidiaries or options, warrants or other rights to acquire such Equity Interests and the granting of registration and other customary rights (and the performance of the related obligations) in connection therewith or any contribution to capital of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(11) (a) payments by the Borrower or any Restricted Subsidiary (or distributions or dividends by the Borrower in lieu of such payments) to any Permitted Holder (whether directly or indirectly), including to its affiliates or its designees, of management, consulting, monitoring, refinancing, transaction, advisory, indemnities and other fees, costs and expenses (plus any unpaid management, consulting, monitoring, transaction, advisory, indemnities and other fees, costs and expenses accrued in any prior year) and any exit and termination fees (including any such cash lump sum or present value fee upon the consummation of a corporate event, including an initial public offering) pursuant to any management or similar agreements or the management or other relevant provisions in an investor rights agreement, limited partnership agreement, limited liability company agreement or other equityholders’ agreement, as the case may be, with terms reasonably consistent with the terms of similar agreements entered into by similar financial sponsors and portfolio companies as reasonably determined by the Borrower or any Parent Entity on behalf of the Borrower at the time such management or similar agreement is entered into by the Sponsors and the Borrower or any Parent Entity and (b) payments by the Borrower or any Restricted Subsidiary to any Permitted Holder (whether directly or indirectly, including through any Parent Entity) for financial advisory, financing, underwriting or placement services or in respect of other investment banking activities, including in connection with acquisitions or divestitures, which payments are approved in the reasonable determination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payment to any Permitted Holder of all out of pocket expenses incurred by such Permitted Holder in connection with its direct or indirect investment in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(13) transactions in which the Borrower or any Restricted Subsidiary, as the case may be, delivers to the Administrative Agent a letter from an Independent Financial Advisor stating that such transaction is fair to the Borrower or such Restricted Subsidiary from a financial point of view or meets the requirements of </w:t>
      </w:r>
      <w:r>
        <w:rPr>
          <w:rFonts w:ascii="Times New Roman" w:hAnsi="Times New Roman"/>
          <w:sz w:val="20"/>
          <w:u w:val="single"/>
        </w:rPr>
        <w:t>clause (1)</w:t>
      </w:r>
      <w:r>
        <w:rPr>
          <w:rFonts w:ascii="Times New Roman" w:hAnsi="Times New Roman"/>
          <w:sz w:val="20"/>
        </w:rPr>
        <w:t xml:space="preserve"> of the preceding paragraph; </w:t>
      </w:r>
    </w:p>
    <w:p>
      <w:pPr>
        <w:pStyle w:val="TextBody"/>
        <w:bidi w:val="0"/>
        <w:spacing w:before="120" w:after="0"/>
        <w:jc w:val="left"/>
        <w:rPr>
          <w:rFonts w:ascii="Times New Roman" w:hAnsi="Times New Roman"/>
          <w:sz w:val="20"/>
        </w:rPr>
      </w:pPr>
      <w:r>
        <w:rPr>
          <w:rFonts w:ascii="Times New Roman" w:hAnsi="Times New Roman"/>
          <w:sz w:val="20"/>
        </w:rPr>
        <w:t xml:space="preserve">(14) the existence of, or the performance by the Borrower or any Restricted Subsidiary of its obligations under the terms of, any equityholders, investor rights or similar agreement (including any registration rights agreement or purchase agreements related thereto) to which it is party as of the Closing Date and any similar agreement that it (or any Parent Entity) may enter into thereafter; </w:t>
      </w:r>
      <w:r>
        <w:rPr>
          <w:rFonts w:ascii="Times New Roman" w:hAnsi="Times New Roman"/>
          <w:i/>
          <w:sz w:val="20"/>
        </w:rPr>
        <w:t xml:space="preserve">provided </w:t>
      </w:r>
      <w:r>
        <w:rPr>
          <w:rFonts w:ascii="Times New Roman" w:hAnsi="Times New Roman"/>
          <w:sz w:val="20"/>
        </w:rPr>
        <w:t xml:space="preserve">that the existence of, or the performance by the Borrower or any Restricted Subsidiary (or any Parent Entity) of its obligations under any future amendment to any such existing agreement or under any similar agreement entered into after the Closing Date will only be permitted under this clause to the extent that the terms of any such amendment or new agreement are not otherwise, when taken as a whole, more disadvantageous to the Lenders in any material respect in the reasonable determination of the Borrower than those in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(15) any purchases by the Borrower’s Affiliates of Indebtedness or Disqualified Equity Interests of the Borrower or any of the Restricted Subsidiaries the majority of which Indebtedness or Disqualified Equity Interests is purchased by Persons who are not the Borrower’s Affiliates; </w:t>
      </w:r>
      <w:r>
        <w:rPr>
          <w:rFonts w:ascii="Times New Roman" w:hAnsi="Times New Roman"/>
          <w:i/>
          <w:sz w:val="20"/>
        </w:rPr>
        <w:t xml:space="preserve">provided </w:t>
      </w:r>
      <w:r>
        <w:rPr>
          <w:rFonts w:ascii="Times New Roman" w:hAnsi="Times New Roman"/>
          <w:sz w:val="20"/>
        </w:rPr>
        <w:t xml:space="preserve">that such purchases by the Borrower’s Affiliates are on the same terms as such purchases by such Persons who are not the Borrower’s Affiliates; </w:t>
      </w:r>
    </w:p>
    <w:p>
      <w:pPr>
        <w:pStyle w:val="TextBody"/>
        <w:bidi w:val="0"/>
        <w:spacing w:before="120" w:after="0"/>
        <w:jc w:val="left"/>
        <w:rPr>
          <w:rFonts w:ascii="Times New Roman" w:hAnsi="Times New Roman"/>
          <w:sz w:val="20"/>
        </w:rPr>
      </w:pPr>
      <w:r>
        <w:rPr>
          <w:rFonts w:ascii="Times New Roman" w:hAnsi="Times New Roman"/>
          <w:sz w:val="20"/>
        </w:rPr>
        <w:t xml:space="preserve">(16) (i) investments by Affiliates in securities or loans of the Borrower or any of the Restricted Subsidiaries (and payment of reasonable out-of-pocket expenses incurred by such Affiliates in connection therewith) so long as the investment is being offered by the Borrower or such Restricted Subsidiary generally to other non-affiliated third party investors on the same or more favorable terms and (ii) payments to Affiliates in respect of securities or loans of the Borrower or any of the Restricted Subsidiaries contemplated in the foregoing </w:t>
      </w:r>
      <w:r>
        <w:rPr>
          <w:rFonts w:ascii="Times New Roman" w:hAnsi="Times New Roman"/>
          <w:sz w:val="20"/>
          <w:u w:val="single"/>
        </w:rPr>
        <w:t>subclause (i)</w:t>
      </w:r>
      <w:r>
        <w:rPr>
          <w:rFonts w:ascii="Times New Roman" w:hAnsi="Times New Roman"/>
          <w:sz w:val="20"/>
        </w:rPr>
        <w:t xml:space="preserve"> or that were acquired from Persons other than the Borrower and its Restricted Subsidiaries, in each case, in accordance with the terms of such securities or loans; </w:t>
      </w:r>
    </w:p>
    <w:p>
      <w:pPr>
        <w:pStyle w:val="TextBody"/>
        <w:bidi w:val="0"/>
        <w:spacing w:before="120" w:after="0"/>
        <w:jc w:val="left"/>
        <w:rPr>
          <w:rFonts w:ascii="Times New Roman" w:hAnsi="Times New Roman"/>
          <w:sz w:val="20"/>
        </w:rPr>
      </w:pPr>
      <w:r>
        <w:rPr>
          <w:rFonts w:ascii="Times New Roman" w:hAnsi="Times New Roman"/>
          <w:sz w:val="20"/>
        </w:rPr>
        <w:t xml:space="preserve">(17) the entering into of any Tax sharing agreement or arrangement and payments made with respect thereto, in each case between or among the Borrower, any Parent Entity or its Subsidiaries; </w:t>
      </w:r>
      <w:r>
        <w:rPr>
          <w:rFonts w:ascii="Times New Roman" w:hAnsi="Times New Roman"/>
          <w:i/>
          <w:sz w:val="20"/>
        </w:rPr>
        <w:t xml:space="preserve">provided </w:t>
      </w:r>
      <w:r>
        <w:rPr>
          <w:rFonts w:ascii="Times New Roman" w:hAnsi="Times New Roman"/>
          <w:sz w:val="20"/>
        </w:rPr>
        <w:t xml:space="preserve">that, in each case the amount of such payments in any taxable year does not exceed the amount that the Borrower, its Restricted Subsidiaries and its Unrestricted Subsidiaries (to the extent of amounts actually received from the Unrestricted Subsidiaries) would be required to pay in respect of foreign, federal, state and local Taxes for such taxable year were the Borrower, its Restricted Subsidiaries and its Unrestricted Subsidiaries (to the extent of amounts actually received from the Unrestricted Subsidiaries) to pay such Taxes separately from any such Parent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payments, Indebtedness and Disqualified Equity Interests (and cancellation of any thereof) of the Borrower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Borrower,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the Borrower in good faith; </w:t>
      </w:r>
    </w:p>
    <w:p>
      <w:pPr>
        <w:pStyle w:val="TextBody"/>
        <w:bidi w:val="0"/>
        <w:spacing w:before="120" w:after="0"/>
        <w:jc w:val="left"/>
        <w:rPr>
          <w:rFonts w:ascii="Times New Roman" w:hAnsi="Times New Roman"/>
          <w:sz w:val="20"/>
        </w:rPr>
      </w:pPr>
      <w:r>
        <w:rPr>
          <w:rFonts w:ascii="Times New Roman" w:hAnsi="Times New Roman"/>
          <w:sz w:val="20"/>
        </w:rPr>
        <w:t xml:space="preserve">(19)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Borrower or its Restricted Subsidiaries and any distributor, employee, director, officer, manager, contractor, consultant or advisor (or their respective Controlled Investment Affiliates or Immediate Family Members) approved by the reasonable determination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(20) any transition services arrangement, supply arrangement or similar arrangement entered into in connection with or in contemplation of the disposition of assets or Equity Interests in any Restricted Subsidiary permitted under </w:t>
      </w:r>
      <w:r>
        <w:rPr>
          <w:rFonts w:ascii="Times New Roman" w:hAnsi="Times New Roman"/>
          <w:sz w:val="20"/>
          <w:u w:val="single"/>
        </w:rPr>
        <w:t>Section 7.05</w:t>
      </w:r>
      <w:r>
        <w:rPr>
          <w:rFonts w:ascii="Times New Roman" w:hAnsi="Times New Roman"/>
          <w:sz w:val="20"/>
        </w:rPr>
        <w:t xml:space="preserve"> or entered into with any Business Successor, in each case, that the Borrower determines in good faith is either fair to the Borrower or otherwise on customary terms for such type of arrangements in connection with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(21) any lease entered into between the Borrower or any Restricted Subsidiary, as lessee, and any Affiliate of the Borrower (other than an Unrestricted Subsidiary), as lessor and any operational services or other arrangement entered into between the Borrower or any Restricted Subsidiary and any Affiliate of the Borrower (other than an Unrestricted Subsidiary), in each case, which is approved by the reasonable determination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(22) the payment of fees, costs and expenses related to registration rights and indemnities provided to equityholders pursuant to equityholders, investor rights, registration rights or similar agreements; and </w:t>
      </w:r>
    </w:p>
    <w:p>
      <w:pPr>
        <w:pStyle w:val="TextBody"/>
        <w:bidi w:val="0"/>
        <w:spacing w:before="120" w:after="0"/>
        <w:jc w:val="left"/>
        <w:rPr>
          <w:rFonts w:ascii="Times New Roman" w:hAnsi="Times New Roman"/>
          <w:sz w:val="20"/>
        </w:rPr>
      </w:pPr>
      <w:r>
        <w:rPr>
          <w:rFonts w:ascii="Times New Roman" w:hAnsi="Times New Roman"/>
          <w:sz w:val="20"/>
        </w:rPr>
        <w:t xml:space="preserve">(23) any Reorganization Transaction, Permitted Intercompany Activities, Intercompany License Agreements or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if the Borrower or any of its Restricted Subsidiaries (i) purchases or otherwise acquires assets or properties from a Person which is not an Affiliate, the purchase or acquisition by an Affiliate of the Borrower of an interest in all or a portion of the assets or properties acquired shall not be deemed an Affiliate Transaction (or cause such purchase or acquisition by the Borrower or a Restricted Subsidiary to be deemed an Affiliate Transaction) or (ii) sells or otherwise disposes of assets or other properties to a Person who is not an Affiliate, the sale or other disposition by an Affiliate of the Borrower of an interest in all or a portion of the assets or properties sold shall not be deemed an Affiliate Transaction (or cause such sale or other disposition by the Borrower or a Restricted Subsidiary to be deemed an Affiliate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6.19</w:t>
      </w:r>
      <w:r>
        <w:rPr>
          <w:rFonts w:ascii="Times New Roman" w:hAnsi="Times New Roman"/>
          <w:sz w:val="20"/>
        </w:rPr>
        <w:t xml:space="preserve"> </w:t>
      </w:r>
      <w:r>
        <w:rPr>
          <w:rFonts w:ascii="Times New Roman" w:hAnsi="Times New Roman"/>
          <w:b/>
          <w:sz w:val="20"/>
          <w:u w:val="single"/>
        </w:rPr>
        <w:t>Vessel Collateral and the 2024 Newbuild Vessels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Shipowner covenants and agrees as follows with respect to any Vessel Collateral and the 2024 Newbuild Vessels owned by it: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Jones Act Compliance</w:t>
      </w:r>
      <w:r>
        <w:rPr>
          <w:rFonts w:ascii="Times New Roman" w:hAnsi="Times New Roman"/>
          <w:sz w:val="20"/>
        </w:rPr>
        <w:t xml:space="preserve">. Each Shipowner owning Vessel Collateral consisting of a Jones Act Vessel covenants that it is now, and shall so remain until any Vessel Mortgage granted pursuant to this Agreement is discharged, (i) a citizen of the United States pursuant to Section 2(c) of the Shipping Act of 1916, as amended (46 USC § 50501 </w:t>
      </w:r>
      <w:r>
        <w:rPr>
          <w:rFonts w:ascii="Times New Roman" w:hAnsi="Times New Roman"/>
          <w:i/>
          <w:sz w:val="20"/>
        </w:rPr>
        <w:t>et seq</w:t>
      </w:r>
      <w:r>
        <w:rPr>
          <w:rFonts w:ascii="Times New Roman" w:hAnsi="Times New Roman"/>
          <w:sz w:val="20"/>
        </w:rPr>
        <w:t xml:space="preserve">.), and the regulations in effect thereunder from time to time, as amended, and (ii) qualified to own and operate such Vessel for so long as it is documented under the laws of the United States and in the coastwise trade of the United States pursuant to 46 U.S.C. §§ 12102 and 12103, and the regulations in effect thereunder from time to time, as amended.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Operation of Vessels</w:t>
      </w:r>
      <w:r>
        <w:rPr>
          <w:rFonts w:ascii="Times New Roman" w:hAnsi="Times New Roman"/>
          <w:sz w:val="20"/>
        </w:rPr>
        <w:t xml:space="preserve">. Except as has not resulted in, or is not reasonably expected, individually or in the aggregate, to result in, a Material Adverse Effect, each Shipowner will not cause or permit its Vessels to be operated in any manner contrary to applicable law, engage in any unlawful trade or operations or violate any applicable law or carry any cargo, in the case of any of the foregoing, that will unreasonably expose such Vessel to penalty, confiscation, forfeiture, capture or condemnation, and will not do, or suffer or permit to be done, anything that can or may injuriously affect the registration of such Vessel under the laws and regulations of the United States of America or, if applicable, its eligibility to engage in the coastwise trade of the United States and will at all times keep each United States-flagged Jones Act Vessel (including, without limitation, the Closing Date Jones Act Vessels) duly documented under Chapter 121 of Title 46 of the United States Code, eligible for registry and the coastwise trade of the United States under Section 2(c) of the Shipping Act of 1916, as amended; </w:t>
      </w:r>
      <w:r>
        <w:rPr>
          <w:rFonts w:ascii="Times New Roman" w:hAnsi="Times New Roman"/>
          <w:i/>
          <w:sz w:val="20"/>
        </w:rPr>
        <w:t>provided</w:t>
      </w:r>
      <w:r>
        <w:rPr>
          <w:rFonts w:ascii="Times New Roman" w:hAnsi="Times New Roman"/>
          <w:sz w:val="20"/>
        </w:rPr>
        <w:t xml:space="preserve">, that the foregoing shall not prohibit, and the Shipowner may enter into, Permitted Reflagging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Taxes, fees, etc.</w:t>
      </w:r>
      <w:r>
        <w:rPr>
          <w:rFonts w:ascii="Times New Roman" w:hAnsi="Times New Roman"/>
          <w:sz w:val="20"/>
        </w:rPr>
        <w:t xml:space="preserve"> Each Shipowner will pay and discharge or cause to be paid and discharged, prior to delinquency, all claims and demands in respect of, and all taxes, assessments, governmental charges, levies, fees, fines and penalties imposed on, its Vessel, cargoes owned by such Shipowner or any income or profits therefrom and all lawful claims which, if unpaid, might become a lien or charge upon such Vessel or any income therefrom not constituting a Permitted Lien; provided that such Shipowner shall not be required to pay any such claim, demand, fee, tax, assessment, charge, fine, levy or penalty (1) which is being contested in good faith by appropriate actions and for which the Shipowner has maintained adequate accruals in accordance with GAAP, and such Vessel shall not have been arrested or detained therefor or (2) to the extent failure to do so could not reasonably be expected to result in a Material Adverse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contest shall not subject such Vessel, or any part thereof, to forfeiture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Liens</w:t>
      </w:r>
      <w:r>
        <w:rPr>
          <w:rFonts w:ascii="Times New Roman" w:hAnsi="Times New Roman"/>
          <w:sz w:val="20"/>
        </w:rPr>
        <w:t xml:space="preserve">. None of the Shipowners, any charterer, the Master of any of the Vessels or any other Person shall have any right, power or authority to, and none of the same shall create, incur or permit to be placed or imposed or continued upon any of the Vessels, its freights, profits or hire, any Lien whatsoever other than for crew wages not overdue, salvage, the lien of any Vessel Mortgage and other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Notice of Mortgage</w:t>
      </w:r>
      <w:r>
        <w:rPr>
          <w:rFonts w:ascii="Times New Roman" w:hAnsi="Times New Roman"/>
          <w:sz w:val="20"/>
        </w:rPr>
        <w:t xml:space="preserve">. Each Shipowner will place, and at all times and places will retain, a copy of the relevant Vessel Mortgage (however evidenced, whether in physical or electronic form) on board each relevant Vessel with her papers and will cause such copy (however evidenced, whether in physical or electronic form) and each such Vessel’s marine document to be exhibited to any and all persons having business therewith which might give rise to any lien thereon other than liens for crew wages and salvage, and to any representative of the Administrative Agent and will place and prominently display in the chart room and in the Master’s cabin of each such Vessel a framed printed notice in plain type reading as follows: </w:t>
      </w:r>
    </w:p>
    <w:p>
      <w:pPr>
        <w:pStyle w:val="TextBody"/>
        <w:bidi w:val="0"/>
        <w:spacing w:before="120" w:after="0"/>
        <w:jc w:val="left"/>
        <w:rPr/>
      </w:pPr>
      <w:r>
        <w:rPr/>
        <w:t>“</w:t>
      </w:r>
      <w:r>
        <w:rPr>
          <w:rFonts w:ascii="Times New Roman" w:hAnsi="Times New Roman"/>
          <w:sz w:val="20"/>
        </w:rPr>
        <w:t xml:space="preserve">NOTICE OF MORTGAGE </w:t>
      </w:r>
    </w:p>
    <w:p>
      <w:pPr>
        <w:pStyle w:val="TextBody"/>
        <w:bidi w:val="0"/>
        <w:spacing w:before="120" w:after="0"/>
        <w:jc w:val="left"/>
        <w:rPr>
          <w:rFonts w:ascii="Times New Roman" w:hAnsi="Times New Roman"/>
          <w:sz w:val="20"/>
        </w:rPr>
      </w:pPr>
      <w:r>
        <w:rPr>
          <w:rFonts w:ascii="Times New Roman" w:hAnsi="Times New Roman"/>
          <w:sz w:val="20"/>
        </w:rPr>
        <w:t>This Vessel is owned by [___] (the “Owner”) and is subject to an Amended and Restated First Preferred [Fleet / Vessel] Mortgage (the “</w:t>
      </w:r>
      <w:r>
        <w:rPr>
          <w:rFonts w:ascii="Times New Roman" w:hAnsi="Times New Roman"/>
          <w:b/>
          <w:sz w:val="20"/>
        </w:rPr>
        <w:t>Mortgage</w:t>
      </w:r>
      <w:r>
        <w:rPr>
          <w:rFonts w:ascii="Times New Roman" w:hAnsi="Times New Roman"/>
          <w:sz w:val="20"/>
        </w:rPr>
        <w:t xml:space="preserve">”) in favor of </w:t>
      </w:r>
      <w:r>
        <w:rPr>
          <w:rFonts w:ascii="Times New Roman" w:hAnsi="Times New Roman"/>
          <w:b/>
          <w:sz w:val="20"/>
        </w:rPr>
        <w:t>[WILMINGTON TRUST, NATIONAL ASSOCIATION],</w:t>
      </w:r>
      <w:r>
        <w:rPr>
          <w:rFonts w:ascii="Times New Roman" w:hAnsi="Times New Roman"/>
          <w:sz w:val="20"/>
        </w:rPr>
        <w:t xml:space="preserve"> as Collateral Trustee and Mortgagee. Under the terms of said Mortgage, neither the Owner, any charterer, the Master of this Vessel nor any other person has any right, power or authority to create, incur or permit to be imposed upon this Vessel any other lien whatsoever except Permitted Liens (as defined in the Mortgage).”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Libel or Attachment</w:t>
      </w:r>
      <w:r>
        <w:rPr>
          <w:rFonts w:ascii="Times New Roman" w:hAnsi="Times New Roman"/>
          <w:sz w:val="20"/>
        </w:rPr>
        <w:t xml:space="preserve">. If a libel or complaint is filed against any of the Vessels </w:t>
      </w:r>
      <w:r>
        <w:rPr>
          <w:rFonts w:ascii="Times New Roman" w:hAnsi="Times New Roman"/>
          <w:i/>
          <w:sz w:val="20"/>
        </w:rPr>
        <w:t>in rem</w:t>
      </w:r>
      <w:r>
        <w:rPr>
          <w:rFonts w:ascii="Times New Roman" w:hAnsi="Times New Roman"/>
          <w:sz w:val="20"/>
        </w:rPr>
        <w:t xml:space="preserve"> by virtue of any legal proceeding in any court or by a government or other authority, the relevant Shipowner will promptly notify the Administrative Agent thereof by facsimile as appropriate, confirmed by letter, at its address, as specified in </w:t>
      </w:r>
      <w:r>
        <w:rPr>
          <w:rFonts w:ascii="Times New Roman" w:hAnsi="Times New Roman"/>
          <w:sz w:val="20"/>
          <w:u w:val="single"/>
        </w:rPr>
        <w:t>Section 11.02</w:t>
      </w:r>
      <w:r>
        <w:rPr>
          <w:rFonts w:ascii="Times New Roman" w:hAnsi="Times New Roman"/>
          <w:sz w:val="20"/>
        </w:rPr>
        <w:t xml:space="preserve">, and within thirty (30) days of any arrest arising out of such libel or complaint, or fifteen (15) days after the request of the Administrative Agent (in each case, or by such later date as the Administrative Agent may agree to in its sole discretion), will cause such Vessel to be released and all Liens thereon (other than Permitted Liens) to be discharged and will promptly notify the Administrative Agent thereof in the manner aforesaid. In the event that the Shipowner does not appear in such action by filing a claim of owner or similar pleading within such thirty (30) day period (or such longer period) or otherwise provide replacement Vessel Collateral acceptable to the Administrative Agent in accordance with this Agreement, the relevant Shipowner does hereby authorize and empower the Administrative Agent, in the name of such Shipowner, or their successors or assigns, to apply for and receive possession of and to take possession of such Vessel (or authorize and empower the Administrative Agent to direct the Collateral Trustee to apply for and receive possession of and to take possession of such Vessel) with all the rights and powers that the Shipowner, or their successors or assigns, might have, possess or exercise in any such event; and this power of attorney shall be irrevocable and may be exercised not only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(or by the Collateral Trustee at the direction of the Administrative Agent) but also by any one such appointee or the appointees of the Administrative Agent, (or the Collateral Trustee) with full power of substitution, to the same extent as if the said appointee or appointees had been named as one of the attorneys above named by express designation. The relevant Shipowner will notify the Administrative Agent in writing within three (3) Business Days (or by such later date as the Administrative Agent may agree to in its sole discretion) after it has become known to the chief executive officer, the chief operating officer or the chief financial officer of the relevant Shipowner of any arrest, detention, average or salvage incurred by any of the Vessels.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Maintenance of Vessel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while any Vessel constituting Vessel Collateral is undergoing repairs or maintenance or is a Stacked Vessel, the relevant Shipowner will keep each Vessel, or cause it to be kept in such condition as will entitle it to at least the current classification and rating for each Vessel in the American Bureau of Shipping, or other classification society of like standing, if such certification is applicable, with no overdue conditions or recommendations affecting any such Vessel’s classification, except where the failure to do so, individually or in the aggregate, could not reasonably be expected to result in a Material Adverse Effect. Except for any Vessel that is stacked or in lay up, each Shipowner shall furnish annually, upon request by the Administrative Agent, a certificate from the American Bureau of Shipping or other applicable classification society confirming that such classification has been maintained. </w:t>
      </w:r>
    </w:p>
    <w:p>
      <w:pPr>
        <w:pStyle w:val="TextBody"/>
        <w:bidi w:val="0"/>
        <w:spacing w:before="120" w:after="0"/>
        <w:jc w:val="left"/>
        <w:rPr>
          <w:rFonts w:ascii="Times New Roman" w:hAnsi="Times New Roman"/>
          <w:sz w:val="20"/>
        </w:rPr>
      </w:pPr>
      <w:r>
        <w:rPr>
          <w:rFonts w:ascii="Times New Roman" w:hAnsi="Times New Roman"/>
          <w:sz w:val="20"/>
        </w:rPr>
        <w:t xml:space="preserve">(ii) Except where the failure to do so, individually or in the aggregate, could not reasonably be expected to result in a Material Adverse Effect, each Shipowner will make all necessary repairs, renewals, betterments and improvements necessary to keep its Vessels, insofar as due diligence can make them so, well maintained and in seaworthy condition, except while any such Vessel is undergoing repairs, maintenance or is stacked or in lay up. </w:t>
      </w:r>
    </w:p>
    <w:p>
      <w:pPr>
        <w:pStyle w:val="TextBody"/>
        <w:bidi w:val="0"/>
        <w:spacing w:before="120" w:after="0"/>
        <w:jc w:val="left"/>
        <w:rPr>
          <w:rFonts w:ascii="Times New Roman" w:hAnsi="Times New Roman"/>
          <w:sz w:val="20"/>
        </w:rPr>
      </w:pPr>
      <w:r>
        <w:rPr>
          <w:rFonts w:ascii="Times New Roman" w:hAnsi="Times New Roman"/>
          <w:sz w:val="20"/>
        </w:rPr>
        <w:t xml:space="preserve">(iii) Each Vessel which is a U.S. flag Vessel shall, and each relevant Shipowner covenants that it will, at all times comply in all material respects with all applicable laws, and all treaties and covenants to which the United States of America is a party, and rules and regulations issued thereunder, and shall have on board, when required, valid certificates required thereby, except where the failure to do so, individually or in the aggregate, could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(iv) No Shipowner will make, or permit to be made, any substantial change in the structure, rig or type of any Vessels that would be reasonably likely to materially diminish the value of the Vessel Collateral or the 2024 Newbuild Vessels, as a whole, without first receiving the written consent of the Administrative Agent, which consent shall not be unreasonably similarly, conditioned or delayed; </w:t>
      </w:r>
      <w:r>
        <w:rPr>
          <w:rFonts w:ascii="Times New Roman" w:hAnsi="Times New Roman"/>
          <w:i/>
          <w:sz w:val="20"/>
        </w:rPr>
        <w:t>provided</w:t>
      </w:r>
      <w:r>
        <w:rPr>
          <w:rFonts w:ascii="Times New Roman" w:hAnsi="Times New Roman"/>
          <w:sz w:val="20"/>
        </w:rPr>
        <w:t xml:space="preserve">, that any Shipowner may move or otherwise change the assets and other equipment from any of the Vessels to another Vessel (including to a Vessel owned by another direct or indirect Subsidiary of Borrower and including, for the avoidance of doubt, Excluded Vessels).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Inspection; Attorney in Fact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the terms of </w:t>
      </w:r>
      <w:r>
        <w:rPr>
          <w:rFonts w:ascii="Times New Roman" w:hAnsi="Times New Roman"/>
          <w:sz w:val="20"/>
          <w:u w:val="single"/>
        </w:rPr>
        <w:t>Section 6.10</w:t>
      </w:r>
      <w:r>
        <w:rPr>
          <w:rFonts w:ascii="Times New Roman" w:hAnsi="Times New Roman"/>
          <w:sz w:val="20"/>
        </w:rPr>
        <w:t xml:space="preserve">, each Shipowner will at all reasonable times afford the Administrative Agent or its authorized representatives, in each case, to the extent such Person has agreed to and executed a vessel boarding agreement in form and substance reasonably satisfactory to the Borrower at their risk and expense full and complete access to each Vessel during normal business hours for the purpose of inspecting such Vessel and its papers, and such Shipowner will deliver for inspection copies of such contracts and documents relating to such Vessel, whether on board or not, as the Administrative Agent may request,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non-public information obtained by the Administrative Agent pursuant to any Loan Document concerning such Shipowner, any Vessel, any other assets of such Shipowner or such Shipowner’s financial condition and prospects shall be kept confidential by the Administrative Agent in accordance with </w:t>
      </w:r>
      <w:r>
        <w:rPr>
          <w:rFonts w:ascii="Times New Roman" w:hAnsi="Times New Roman"/>
          <w:sz w:val="20"/>
          <w:u w:val="single"/>
        </w:rPr>
        <w:t>Section 11.08</w:t>
      </w:r>
      <w:r>
        <w:rPr>
          <w:rFonts w:ascii="Times New Roman" w:hAnsi="Times New Roman"/>
          <w:sz w:val="20"/>
        </w:rPr>
        <w:t xml:space="preserve"> (subject to the exceptions contained therein), and (ii) any inspection of any Vessel and its papers shall be subject to the requirements of any operators of such Vessel and any applicable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Shipowner hereby appoints the Administrative Agent as attorney-in-fact of the Shipowner to appear before governmental bodies, classification societies and insurers and to demand and receive to the same extent that such Shipowner itself might, all information and certificates respecting (i) the corporate status of such Shipowner under the laws of its jurisdiction of incorporation or any other jurisdiction in which it may have qualified to do business, (ii) the status of each Vessel under the laws and regulations of its country of registration and its compliance with the requirements thereof, and (iii) the state of the records of each Vessel or of the relevant Shipowner in respect of each Vessel in any classification society with which the Vessel may be classed or of any company, association or club by whom any Vessel or the relevant Shipowner in respect of any Vessel may be insured; and each Shipowner hereby agrees that the Administrative Agent may execute its powers as attorney-in-fact as aforesaid through its agents, representatives and attorneys, provided however, that, it is a condition of this power of attorney that the Administrative Agent may not act on the strength of this power of attorney unless an Event of Default has occurred and is continuing. This power of attorney is coupled with an interest and shall be irrevocable as long as the Obligations remain outstanding.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Chartering</w:t>
      </w:r>
      <w:r>
        <w:rPr>
          <w:rFonts w:ascii="Times New Roman" w:hAnsi="Times New Roman"/>
          <w:sz w:val="20"/>
        </w:rPr>
        <w:t xml:space="preserve">. Except as permitted herein, no Shipowner will charter or similarly dispose of all or any part of any of the Vessels other than pursuant to agreements in the ordinary course of business or pursuant to agreements that would not materially diminish the value of the Vessel Collateral or the 2024 Newbuild Vessels, as a whole. The Borrower shall use commercially reasonable efforts to cause, or shall cause the applicable Shipowner to use commercially reasonable efforts to cause, any charter of a 2024 Newbuild Vessels to be subject and subordinate to the Vessel Mortgage covering such 2024 Newbuild Vessel.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Insurances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Types and Coverage</w:t>
      </w:r>
      <w:r>
        <w:rPr>
          <w:rFonts w:ascii="Times New Roman" w:hAnsi="Times New Roman"/>
          <w:sz w:val="20"/>
        </w:rPr>
        <w:t xml:space="preserve">. Following the Closing Date, each Shipowner shall maintain required vessel insurances as consistent with past practice and as further described on </w:t>
      </w:r>
      <w:r>
        <w:rPr>
          <w:rFonts w:ascii="Times New Roman" w:hAnsi="Times New Roman"/>
          <w:sz w:val="20"/>
          <w:u w:val="single"/>
        </w:rPr>
        <w:t>Schedule 6.19(j)</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Reimbursement</w:t>
      </w:r>
      <w:r>
        <w:rPr>
          <w:rFonts w:ascii="Times New Roman" w:hAnsi="Times New Roman"/>
          <w:sz w:val="20"/>
        </w:rPr>
        <w:t xml:space="preserve">. Each Shipowner will reimburse the Administrative Agent promptly, for any and all expenditures which the Administrative Agent may, from time to time, make, lay out or expend in providing such protection in respect of insurance, discharge or purchase of liens, taxes, dues, assessments, governmental charges, fines and penalties lawfully imposed (other than income, franchise or similar Taxes of the Collateral Trustee or its affiliates), repairs, attorneys’ fees, translation fees for documents made in a language other than English and other matters as such Shipowner is obligated herein to provide, but fails to provide. Such obligation of such Shipowner to reimburse the Administrative Agent shall be an additional indebtedness due from the Shipowner, secured by the relevant Vessel Mortgage, and shall be payable by such Shipowner promptly upon presentation of documentation in form and detail consistent with the requirements under </w:t>
      </w:r>
      <w:r>
        <w:rPr>
          <w:rFonts w:ascii="Times New Roman" w:hAnsi="Times New Roman"/>
          <w:sz w:val="20"/>
          <w:u w:val="single"/>
        </w:rPr>
        <w:t>Section 11.08</w:t>
      </w:r>
      <w:r>
        <w:rPr>
          <w:rFonts w:ascii="Times New Roman" w:hAnsi="Times New Roman"/>
          <w:sz w:val="20"/>
        </w:rPr>
        <w:t xml:space="preserve">. The Administrative Agent, though privileged so to do, shall be under no obligation to the relevant Shipowner to make any such expenditures, nor shall the making thereof relieve such Shipowner of any default in that respect.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Further Assurances</w:t>
      </w:r>
      <w:r>
        <w:rPr>
          <w:rFonts w:ascii="Times New Roman" w:hAnsi="Times New Roman"/>
          <w:sz w:val="20"/>
        </w:rPr>
        <w:t xml:space="preserve">. In the event that this Agreement or any provision hereof shall be deemed invalidated in whole or in part by reason of any present or future law or any decision of any authoritative court, or if the documents at any time held by the Administrative Agent or Collateral Trustee shall be deemed by the Administrative Agent for any reason insufficient to carry out the true intent and spirit of any Vessel Mortgage, then from time to time, the relevant Shipowner will execute, on its own behalf, such other and further assurances and documents as in the reasonable opinion of the Administrative Agent may be required more effectively to subject each relevant Vessel to the payment of the Obligations, as in the Vessel Mortgage provided, and the performance of the terms and provisions of the Vessel Mortgage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Intellectual Property</w:t>
      </w:r>
      <w:r>
        <w:rPr>
          <w:rFonts w:ascii="Times New Roman" w:hAnsi="Times New Roman"/>
          <w:sz w:val="20"/>
        </w:rPr>
        <w:t xml:space="preserve">. Excluding any Intellectual Property solely relating to the brand or branding of the Borrower or the Shipowners, the Shipowners shall at all times from and after the Closing Date own or have rights under applicable licenses, proprietary software, and other intellectual property used in or necessary for the conduct of their respective businesses as currently conducted (including, without limitation, the ownership and operation of the Vessels constituting Vessel Collateral) and no such license, proprietary software or other intellectual property shall be subject to restrictions on sale or assignment that would prevent any subsequent owner of any such Vessel constituting Vessel Collateral from operating such Vessel as any such Vessel is currently operated as of the Closing Date, except, in each case, where any such failure would not reasonably be expected to materially and adversely affect the operation of the Vessel. </w:t>
      </w:r>
    </w:p>
    <w:p>
      <w:pPr>
        <w:pStyle w:val="TextBody"/>
        <w:bidi w:val="0"/>
        <w:spacing w:before="120" w:after="0"/>
        <w:jc w:val="left"/>
        <w:rPr>
          <w:rFonts w:ascii="Times New Roman" w:hAnsi="Times New Roman"/>
          <w:sz w:val="20"/>
        </w:rPr>
      </w:pPr>
      <w:r>
        <w:rPr>
          <w:rFonts w:ascii="Times New Roman" w:hAnsi="Times New Roman"/>
          <w:sz w:val="20"/>
        </w:rPr>
        <w:t xml:space="preserve">(n)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Ship Recycling</w:t>
      </w:r>
      <w:r>
        <w:rPr>
          <w:rFonts w:ascii="Times New Roman" w:hAnsi="Times New Roman"/>
          <w:sz w:val="20"/>
        </w:rPr>
        <w:t xml:space="preserve">. In the event that a Restricted Subsidiary undertakes to dismantle a Vessel (or to sell such Vessel with the intention of it being dismantled) to the extent permitted under the Loan Documents, the Restricted Subsidiary must comply with the Hong Kong International Convention for the Safe and Environmentally Sound Recycling of Ships, 2009 and/or the EU Ship Recycling Regulations, 2013.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6.20</w:t>
      </w:r>
      <w:r>
        <w:rPr>
          <w:rFonts w:ascii="Times New Roman" w:hAnsi="Times New Roman"/>
          <w:sz w:val="20"/>
        </w:rPr>
        <w:t xml:space="preserve"> </w:t>
      </w:r>
      <w:r>
        <w:rPr>
          <w:rFonts w:ascii="Times New Roman" w:hAnsi="Times New Roman"/>
          <w:b/>
          <w:sz w:val="20"/>
          <w:u w:val="single"/>
        </w:rPr>
        <w:t>Most Favored Lender Status</w:t>
      </w:r>
      <w:r>
        <w:rPr>
          <w:rFonts w:ascii="Times New Roman" w:hAnsi="Times New Roman"/>
          <w:sz w:val="20"/>
        </w:rPr>
        <w:t xml:space="preserve">. In the event that following the Closing Date, the Borrower or any of its Restricted Subsidiaries shall enter into any First Lien RCF Credit Agreement Refinancing Indebtedness (or shall modify the First Lien RCF Credit Agreement or any of the Loan Documents (as defined therein) related thereto) granting a Lien on additional collateral not covered by the Collateral Documents or shall agree to any additional financial reporting requirements, the terms of this Agreement shall, without any further action on the part of the Borrower, the Administrative Agent or the Lenders be deemed to be amended automatically to include each such additional collateral and financial reporting requirements contained in such instruments or agreements. The Borrower further covenants to promptly execute and deliver (and to cause its applicable Restricted Subsidiaries to execute and deliver) at the Borrower’s expense (including the fees and expenses of the Administrative Agent’s, Collateral Trustee’s and/or each Lender’s counsel) an amendment to this Agreement and such additional Collateral Documents, in each case, in form and substance satisfactory to the Administrative Agent evidencing the amendment of this Agreement to include the granting of a Lien on such additional collateral or the addition of such additional financial reporting requirements, </w:t>
      </w:r>
      <w:r>
        <w:rPr>
          <w:rFonts w:ascii="Times New Roman" w:hAnsi="Times New Roman"/>
          <w:i/>
          <w:sz w:val="20"/>
        </w:rPr>
        <w:t>provided</w:t>
      </w:r>
      <w:r>
        <w:rPr>
          <w:rFonts w:ascii="Times New Roman" w:hAnsi="Times New Roman"/>
          <w:sz w:val="20"/>
        </w:rPr>
        <w:t xml:space="preserve"> that the execution and delivery of such amendment shall not be a precondition to the effectiveness of such amendment as provided for in this </w:t>
      </w:r>
      <w:r>
        <w:rPr>
          <w:rFonts w:ascii="Times New Roman" w:hAnsi="Times New Roman"/>
          <w:sz w:val="20"/>
          <w:u w:val="single"/>
        </w:rPr>
        <w:t>Section 6.20</w:t>
      </w:r>
      <w:r>
        <w:rPr>
          <w:rFonts w:ascii="Times New Roman" w:hAnsi="Times New Roman"/>
          <w:sz w:val="20"/>
        </w:rPr>
        <w:t xml:space="preserve">, but shall merely be for the convenience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Closing Date until the principal of and interest on each Loan and all fees payable hereunder and all other amounts payable under the Loan Documents shall have been paid in full, the Borrower shall not, nor shall the Borrower permit any Restricted Subsidiary 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w:t>
      </w:r>
      <w:r>
        <w:rPr>
          <w:rFonts w:ascii="Times New Roman" w:hAnsi="Times New Roman"/>
          <w:sz w:val="20"/>
        </w:rPr>
        <w:t xml:space="preserve"> </w:t>
      </w:r>
      <w:r>
        <w:rPr>
          <w:rFonts w:ascii="Times New Roman" w:hAnsi="Times New Roman"/>
          <w:b/>
          <w:sz w:val="20"/>
          <w:u w:val="single"/>
        </w:rPr>
        <w:t>Liens</w:t>
      </w:r>
      <w:r>
        <w:rPr>
          <w:rFonts w:ascii="Times New Roman" w:hAnsi="Times New Roman"/>
          <w:sz w:val="20"/>
        </w:rPr>
        <w:t xml:space="preserve">. Create, incur, assume or suffer to exist any Lien upon any of its property, assets or revenues, whether now owned or hereafter acquired, that secures Indebtedness other than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Liens securing obligations in respect of any Loan and any other Obligations and any Refinancing Indebtedness in respect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(b) Liens securing obligations under the First Lien RCF Credit Agreement and any First Lien RCF Credit Agreement Refinancing Indebtedness thereof; </w:t>
      </w:r>
    </w:p>
    <w:p>
      <w:pPr>
        <w:pStyle w:val="TextBody"/>
        <w:bidi w:val="0"/>
        <w:spacing w:before="120" w:after="0"/>
        <w:jc w:val="left"/>
        <w:rPr>
          <w:rFonts w:ascii="Times New Roman" w:hAnsi="Times New Roman"/>
          <w:sz w:val="20"/>
        </w:rPr>
      </w:pPr>
      <w:r>
        <w:rPr>
          <w:rFonts w:ascii="Times New Roman" w:hAnsi="Times New Roman"/>
          <w:sz w:val="20"/>
        </w:rPr>
        <w:t xml:space="preserve">(c) Liens existing on the Closing Date (other than Liens incurred under </w:t>
      </w:r>
      <w:r>
        <w:rPr>
          <w:rFonts w:ascii="Times New Roman" w:hAnsi="Times New Roman"/>
          <w:sz w:val="20"/>
          <w:u w:val="single"/>
        </w:rPr>
        <w:t>Sections 7.01(a)</w:t>
      </w:r>
      <w:r>
        <w:rPr>
          <w:rFonts w:ascii="Times New Roman" w:hAnsi="Times New Roman"/>
          <w:sz w:val="20"/>
        </w:rPr>
        <w:t xml:space="preserve"> and </w:t>
      </w:r>
      <w:r>
        <w:rPr>
          <w:rFonts w:ascii="Times New Roman" w:hAnsi="Times New Roman"/>
          <w:sz w:val="20"/>
          <w:u w:val="single"/>
        </w:rPr>
        <w:t>7.01(b)</w:t>
      </w:r>
      <w:r>
        <w:rPr>
          <w:rFonts w:ascii="Times New Roman" w:hAnsi="Times New Roman"/>
          <w:sz w:val="20"/>
        </w:rPr>
        <w:t xml:space="preserve">) and listed on </w:t>
      </w:r>
      <w:r>
        <w:rPr>
          <w:rFonts w:ascii="Times New Roman" w:hAnsi="Times New Roman"/>
          <w:sz w:val="20"/>
          <w:u w:val="single"/>
        </w:rPr>
        <w:t>Schedule 7.01(c)</w:t>
      </w:r>
      <w:r>
        <w:rPr>
          <w:rFonts w:ascii="Times New Roman" w:hAnsi="Times New Roman"/>
          <w:sz w:val="20"/>
        </w:rPr>
        <w:t xml:space="preserve"> hereto, together with any Liens securing any Refinancing Indebtedness of any Indebtedness secured by such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w:t>
      </w:r>
      <w:r>
        <w:rPr>
          <w:rFonts w:ascii="Times New Roman" w:hAnsi="Times New Roman"/>
          <w:sz w:val="20"/>
          <w:u w:val="single"/>
        </w:rPr>
        <w:t>clause (a)</w:t>
      </w:r>
      <w:r>
        <w:rPr>
          <w:rFonts w:ascii="Times New Roman" w:hAnsi="Times New Roman"/>
          <w:sz w:val="20"/>
        </w:rPr>
        <w:t xml:space="preserve">,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(e) Liens with respect to outstanding motor vehicle fines and Liens imposed by law or regulation, including carriers’, warehousemen’s, mechanics’, landlords’, suppliers’, materialmen’s, repairmen’s, architects’, construction contractors’ or other similar Liens, in each case for amounts not overdue for a period of more than sixty (60) days or, if more than sixty (60) days overdue, are unfiled and no other action has been taken to enforce such Liens or that are being contested in good faith by appropriate proceedings, provided that appropriate reserves required pursuant to GAAP have been made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(f) Liens for Taxes, assessments or other governmental charges that are not overdue for a period of more than sixty (60) days or not yet payable or subject to penalties for nonpayment or that are being contested in good faith by appropriate proceedings; provided that appropriate reserves required pursuant to GAAP have been made in respect thereof, or for property Taxes on property of the Borrower or one of its Subsidiaries has determined to abandon if the sole recourse for such Tax is to such property;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120" w:after="0"/>
        <w:jc w:val="left"/>
        <w:rPr>
          <w:rFonts w:ascii="Times New Roman" w:hAnsi="Times New Roman"/>
          <w:sz w:val="20"/>
        </w:rPr>
      </w:pPr>
      <w:r>
        <w:rPr>
          <w:rFonts w:ascii="Times New Roman" w:hAnsi="Times New Roman"/>
          <w:sz w:val="20"/>
        </w:rPr>
        <w:t xml:space="preserve">(h) Liens (i) securing Hedge Agreements, Cash Management Obligations and the costs thereof; (ii) that are rights of set-off, rights of pledge or other bankers’ Liens (x) relating to treasury, depository and cash management services or any automated clearing house transfers of funds in the ordinary course of business or consistent with past practice, (y) relating to pooled deposit or sweep accounts to permit satisfaction of overdraft or similar obligations incurred in the ordinary course of business of the Borrower or any Subsidiary or consistent with past practice or (z) relating to purchase orders and other agreements entered into with customers of the Borrower or any Restricted Subsidiary in the ordinary course of business or consistent with past practice; (iii) on cash accounts securing Indebtedness and other obligations that do not constitute Specified Debt; (iv) encumbering reasonable customary initial deposits and margin deposits and similar Liens attaching to commodity trading accounts or other brokerage accounts incurred in the ordinary course of business or consistent with past practice and not for speculative purposes; and (v)(A) of a collection bank arising under Section 4-210 of the UCC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comparable or successor provision on items in the course of collection and (B) in favor of a banking or other financial institution or electronic payment service providers arising as a matter of law encumbering deposits (including the right of set-off) arising in the ordinary course of business in connection with the maintenance of such accounts and (C) arising under customary general terms and conditions of the account bank in relation to any bank account maintained with such bank and attaching only to such account and the products and proceeds thereof, which Liens, in any event, do not secure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(i) leases, licenses, subleases and sublicenses of assets (including real property, intellectual property, software and other technology rights), in each case entered into in the ordinary course of business, consistent with past practice or, with respect to intellectual property, software and other technology rights, that are not material to the conduct of the business of the Borrower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(j) Liens securing or otherwise arising out of judgments, decrees, attachments, orders or awards not giving rise to an Event of Default under </w:t>
      </w:r>
      <w:r>
        <w:rPr>
          <w:rFonts w:ascii="Times New Roman" w:hAnsi="Times New Roman"/>
          <w:sz w:val="20"/>
          <w:u w:val="single"/>
        </w:rPr>
        <w:t>Section 9.01(g)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Liens (a) securing Capitalized Leases,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provided that (i) the aggregate principal amount of Indebtedness secured by such Liens is otherwise permitted to be incurred under this Agreement and (ii) any such Liens may not extend to any assets or property of the Borrower or any Restricted Subsidiary other than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(b) any interest or title of a lessor, sublessor, franchisor, licensor or sublicensor or secured by a lessor’s, sublessor’s, franchisor’s, licensor’s or sublicensor’s interest under any Capitalized Lease Obligations or Non-Financing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(l) Liens arising from UCC financing statements, including precautionary financing statements (or similar filings) regarding operating leases or consignments entered into by the Borrower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(m) Liens on property, other assets or shares of stock of a Person at the time such Person becomes a Subsidiary (or at the time the Borrower or a Subsidiary acquires such property, other assets or shares of stock, including any acquisition by means of a merger, amalgamation, consolidation or other business combination transaction with or into the Borrower or any Restricted Subsidiary); provided, however, that such Liens are not created in anticipation of such other Person becoming a Subsidiary (or such acquisition of such property, other assets or stock); provided, further, that such Liens are limited to all or part of the same property, other assets or stock (plus property and assets affixed or appurtenant thereto and additions, improvements, accessions, proceeds, dividends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 </w:t>
      </w:r>
    </w:p>
    <w:p>
      <w:pPr>
        <w:pStyle w:val="TextBody"/>
        <w:bidi w:val="0"/>
        <w:spacing w:before="120" w:after="0"/>
        <w:jc w:val="left"/>
        <w:rPr>
          <w:rFonts w:ascii="Times New Roman" w:hAnsi="Times New Roman"/>
          <w:sz w:val="20"/>
        </w:rPr>
      </w:pPr>
      <w:r>
        <w:rPr>
          <w:rFonts w:ascii="Times New Roman" w:hAnsi="Times New Roman"/>
          <w:sz w:val="20"/>
        </w:rPr>
        <w:t xml:space="preserve">(n) Liens in favor of the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(o) Liens securing any Refinancing Indebtedness incurred to refinance Indebtedness that was previously so secured, and permitted to be secured under this Agreement (other than </w:t>
      </w:r>
      <w:r>
        <w:rPr>
          <w:rFonts w:ascii="Times New Roman" w:hAnsi="Times New Roman"/>
          <w:sz w:val="20"/>
          <w:u w:val="single"/>
        </w:rPr>
        <w:t>Section 7.01(a)</w:t>
      </w:r>
      <w:r>
        <w:rPr>
          <w:rFonts w:ascii="Times New Roman" w:hAnsi="Times New Roman"/>
          <w:sz w:val="20"/>
        </w:rPr>
        <w:t xml:space="preserve">); provided that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 </w:t>
      </w:r>
    </w:p>
    <w:p>
      <w:pPr>
        <w:pStyle w:val="TextBody"/>
        <w:bidi w:val="0"/>
        <w:spacing w:before="120" w:after="0"/>
        <w:jc w:val="left"/>
        <w:rPr>
          <w:rFonts w:ascii="Times New Roman" w:hAnsi="Times New Roman"/>
          <w:sz w:val="20"/>
        </w:rPr>
      </w:pPr>
      <w:r>
        <w:rPr>
          <w:rFonts w:ascii="Times New Roman" w:hAnsi="Times New Roman"/>
          <w:sz w:val="20"/>
        </w:rPr>
        <w:t xml:space="preserve">(p) (i) mortgages, liens, security interests, restrictions, encumbrances or any other matters of record that have been placed by any government, statutory or regulatory authority, developer, landlord or other third party on property over which the Borrower or any Restricted Subsidiary has easement rights or on any leased property and subordination or similar arrangements relating thereto and (ii) any condemnation or eminent domain proceedings affecting any real property; </w:t>
      </w:r>
    </w:p>
    <w:p>
      <w:pPr>
        <w:pStyle w:val="TextBody"/>
        <w:bidi w:val="0"/>
        <w:spacing w:before="120" w:after="0"/>
        <w:jc w:val="left"/>
        <w:rPr>
          <w:rFonts w:ascii="Times New Roman" w:hAnsi="Times New Roman"/>
          <w:sz w:val="20"/>
        </w:rPr>
      </w:pPr>
      <w:r>
        <w:rPr>
          <w:rFonts w:ascii="Times New Roman" w:hAnsi="Times New Roman"/>
          <w:sz w:val="20"/>
        </w:rPr>
        <w:t xml:space="preserve">(q) any encumbrance or restriction (including put and call arrangements) with respect to Equity Interests of any joint venture securing financing arrangement, joint venture or similar arrangement pursuant to any joint venture securing financing agreement, joint venture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(r) Liens on property or assets under construction (and related rights) in favor of a contractor or developer or arising from progress or partial payments by a third party relating to such property or assets; </w:t>
      </w:r>
    </w:p>
    <w:p>
      <w:pPr>
        <w:pStyle w:val="TextBody"/>
        <w:bidi w:val="0"/>
        <w:spacing w:before="120" w:after="0"/>
        <w:jc w:val="left"/>
        <w:rPr>
          <w:rFonts w:ascii="Times New Roman" w:hAnsi="Times New Roman"/>
          <w:sz w:val="20"/>
        </w:rPr>
      </w:pPr>
      <w:r>
        <w:rPr>
          <w:rFonts w:ascii="Times New Roman" w:hAnsi="Times New Roman"/>
          <w:sz w:val="20"/>
        </w:rPr>
        <w:t xml:space="preserve">(s) Liens arising out of conditional sale, title retention, hire purchase, consignment or similar arrangements for the sale or purchase of goods entered into in the ordinary course of business or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Liens securing Indebtedness and other obligations in connection with 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Borrower and its Restricted Subsidiaries, taken as a whole; </w:t>
      </w:r>
      <w:r>
        <w:rPr>
          <w:rFonts w:ascii="Times New Roman" w:hAnsi="Times New Roman"/>
          <w:i/>
          <w:sz w:val="20"/>
        </w:rPr>
        <w:t>provided</w:t>
      </w:r>
      <w:r>
        <w:rPr>
          <w:rFonts w:ascii="Times New Roman" w:hAnsi="Times New Roman"/>
          <w:sz w:val="20"/>
        </w:rPr>
        <w:t xml:space="preserve"> that such Liens shall only be permitted if such Liens are limited to all or part of the same property or assets, including Equity Interests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Borrower or any Restricted Subsidiary, in any transaction to which such Indebtedness or other obligation relates; </w:t>
      </w:r>
    </w:p>
    <w:p>
      <w:pPr>
        <w:pStyle w:val="TextBody"/>
        <w:bidi w:val="0"/>
        <w:spacing w:before="120" w:after="0"/>
        <w:jc w:val="left"/>
        <w:rPr>
          <w:rFonts w:ascii="Times New Roman" w:hAnsi="Times New Roman"/>
          <w:sz w:val="20"/>
        </w:rPr>
      </w:pPr>
      <w:r>
        <w:rPr>
          <w:rFonts w:ascii="Times New Roman" w:hAnsi="Times New Roman"/>
          <w:sz w:val="20"/>
        </w:rPr>
        <w:t xml:space="preserve">(u) Liens on Equity Interests or other securities or assets of any Unrestricted Subsidiary that secure Indebtedness or other obligations of such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(v) Liens deemed to exist in connection with Investments permitted under </w:t>
      </w:r>
      <w:r>
        <w:rPr>
          <w:rFonts w:ascii="Times New Roman" w:hAnsi="Times New Roman"/>
          <w:sz w:val="20"/>
          <w:u w:val="single"/>
        </w:rPr>
        <w:t>clause (e)</w:t>
      </w:r>
      <w:r>
        <w:rPr>
          <w:rFonts w:ascii="Times New Roman" w:hAnsi="Times New Roman"/>
          <w:sz w:val="20"/>
        </w:rPr>
        <w:t xml:space="preserve"> of the definition of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(w) Liens on (i) goods the purchase price of which is financed by a documentary letter of credit issued for the account of the Borrower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of credit issued or created for the account of such Person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(x) Liens on vehicles or equipment of the Borrower or any Restricted Subsidiary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(y) Liens on assets or securities deemed to arise in connection with and solely as a result of the execution, delivery or performance of contracts to sell such assets or securities if such sale is otherwise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(z) (a) Liens on insurance policies and the proceeds thereof securing the financing of the premiums with respect thereto (but excluding any Liens on any insurance policies insuring the Vessel Collateral and the proceeds of such policies),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Liens solely on any cash earnest money deposits made in connection with any letter of intent or purchase agreement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(bb) Liens (i)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 </w:t>
      </w:r>
    </w:p>
    <w:p>
      <w:pPr>
        <w:pStyle w:val="TextBody"/>
        <w:bidi w:val="0"/>
        <w:spacing w:before="120" w:after="0"/>
        <w:jc w:val="left"/>
        <w:rPr>
          <w:rFonts w:ascii="Times New Roman" w:hAnsi="Times New Roman"/>
          <w:sz w:val="20"/>
        </w:rPr>
      </w:pPr>
      <w:r>
        <w:rPr>
          <w:rFonts w:ascii="Times New Roman" w:hAnsi="Times New Roman"/>
          <w:sz w:val="20"/>
        </w:rPr>
        <w:t xml:space="preserve">(cc) Liens securing Indebtedness and other obligations in an aggregate principal amount not to exceed at any time outstanding $50.0 million; </w:t>
      </w:r>
    </w:p>
    <w:p>
      <w:pPr>
        <w:pStyle w:val="TextBody"/>
        <w:bidi w:val="0"/>
        <w:spacing w:before="120" w:after="0"/>
        <w:jc w:val="left"/>
        <w:rPr>
          <w:rFonts w:ascii="Times New Roman" w:hAnsi="Times New Roman"/>
          <w:sz w:val="20"/>
        </w:rPr>
      </w:pPr>
      <w:r>
        <w:rPr>
          <w:rFonts w:ascii="Times New Roman" w:hAnsi="Times New Roman"/>
          <w:sz w:val="20"/>
        </w:rPr>
        <w:t xml:space="preserve">(dd) Liens then existing with respect to assets of an Unrestricted Subsidiary on the day such Unrestricted Subsidiary is redesignated as a Restricted Subsidiary pursuant to </w:t>
      </w:r>
      <w:r>
        <w:rPr>
          <w:rFonts w:ascii="Times New Roman" w:hAnsi="Times New Roman"/>
          <w:sz w:val="20"/>
          <w:u w:val="single"/>
        </w:rPr>
        <w:t>Section 6.13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(ee) [reserved]; </w:t>
      </w:r>
    </w:p>
    <w:p>
      <w:pPr>
        <w:pStyle w:val="TextBody"/>
        <w:bidi w:val="0"/>
        <w:spacing w:before="120" w:after="0"/>
        <w:jc w:val="left"/>
        <w:rPr>
          <w:rFonts w:ascii="Times New Roman" w:hAnsi="Times New Roman"/>
          <w:sz w:val="20"/>
        </w:rPr>
      </w:pPr>
      <w:r>
        <w:rPr>
          <w:rFonts w:ascii="Times New Roman" w:hAnsi="Times New Roman"/>
          <w:sz w:val="20"/>
        </w:rPr>
        <w:t xml:space="preserve">(ff) Settlement Liens; </w:t>
      </w:r>
    </w:p>
    <w:p>
      <w:pPr>
        <w:pStyle w:val="TextBody"/>
        <w:bidi w:val="0"/>
        <w:spacing w:before="120" w:after="0"/>
        <w:jc w:val="left"/>
        <w:rPr>
          <w:rFonts w:ascii="Times New Roman" w:hAnsi="Times New Roman"/>
          <w:sz w:val="20"/>
        </w:rPr>
      </w:pPr>
      <w:r>
        <w:rPr>
          <w:rFonts w:ascii="Times New Roman" w:hAnsi="Times New Roman"/>
          <w:sz w:val="20"/>
        </w:rPr>
        <w:t xml:space="preserve">(gg) rights of recapture of unused real property in favor of the seller of such property set forth in customary purchase agreements and related arrangements with any government, statutory or regulatory authority; </w:t>
      </w:r>
    </w:p>
    <w:p>
      <w:pPr>
        <w:pStyle w:val="TextBody"/>
        <w:bidi w:val="0"/>
        <w:spacing w:before="120" w:after="0"/>
        <w:jc w:val="left"/>
        <w:rPr>
          <w:rFonts w:ascii="Times New Roman" w:hAnsi="Times New Roman"/>
          <w:sz w:val="20"/>
        </w:rPr>
      </w:pPr>
      <w:r>
        <w:rPr>
          <w:rFonts w:ascii="Times New Roman" w:hAnsi="Times New Roman"/>
          <w:sz w:val="20"/>
        </w:rPr>
        <w:t xml:space="preserve">(hh) the rights reserved to or vested in any Person or government, statutory or regulatory authority by the terms of any lease, license, franchise, grant or permit held by the Borrower or any Restricted Subsidiary or by a statutory provision, to terminate any such lease, license, franchise, grant or permit, or to require annual or periodic payments as a condition to the continuance thereof; </w:t>
      </w:r>
    </w:p>
    <w:p>
      <w:pPr>
        <w:pStyle w:val="TextBody"/>
        <w:bidi w:val="0"/>
        <w:spacing w:before="120" w:after="0"/>
        <w:jc w:val="left"/>
        <w:rPr>
          <w:rFonts w:ascii="Times New Roman" w:hAnsi="Times New Roman"/>
          <w:sz w:val="20"/>
        </w:rPr>
      </w:pPr>
      <w:r>
        <w:rPr>
          <w:rFonts w:ascii="Times New Roman" w:hAnsi="Times New Roman"/>
          <w:sz w:val="20"/>
        </w:rPr>
        <w:t xml:space="preserve">(ii) restrictive covenants affecting the use to which real property may be put and Liens or covenants restricting or prohibiting access to or from lands abutting on controlled access highways or covenants affecting the use to which lands may be put; provided that such Liens or covenants do not interfere with the ordinary conduct of the business of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(jj) Liens on property, assets or Permitted Investments used to defease or to satisfy or discharge Indebtedness; </w:t>
      </w:r>
      <w:r>
        <w:rPr>
          <w:rFonts w:ascii="Times New Roman" w:hAnsi="Times New Roman"/>
          <w:i/>
          <w:sz w:val="20"/>
        </w:rPr>
        <w:t>provided</w:t>
      </w:r>
      <w:r>
        <w:rPr>
          <w:rFonts w:ascii="Times New Roman" w:hAnsi="Times New Roman"/>
          <w:sz w:val="20"/>
        </w:rPr>
        <w:t xml:space="preserve"> that such defeasance, satisfaction or discharge is not prohibited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(ll) Liens on assets securing any Indebtedness owed to any Captive Insurance Subsidiary by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(mm) Liens for the benefit of Borrower or any Restricted Subsidiary arising in connection with any Permitted Intercompany Activities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(nn) Permitted Maritime Liens; and </w:t>
      </w:r>
    </w:p>
    <w:p>
      <w:pPr>
        <w:pStyle w:val="TextBody"/>
        <w:bidi w:val="0"/>
        <w:spacing w:before="120" w:after="0"/>
        <w:jc w:val="left"/>
        <w:rPr>
          <w:rFonts w:ascii="Times New Roman" w:hAnsi="Times New Roman"/>
          <w:sz w:val="20"/>
        </w:rPr>
      </w:pPr>
      <w:r>
        <w:rPr>
          <w:rFonts w:ascii="Times New Roman" w:hAnsi="Times New Roman"/>
          <w:sz w:val="20"/>
        </w:rPr>
        <w:t>(oo) Liens on Vessels under or to be under construction (including, without limitation, liens granted to Builder pursuant to the Construction Contracts and materialmans’ liens, suppliers’ liens, mechanics’ liens and other similar Liens arising by operation of law (but excluding any voluntary Liens granted to any other Person) in the case of the 2024 Newbuild Vessels) or conversion or otherwise not constituting Collateral and assets related thereto (including cash and Cash Equivalents held in one or more Excluded Accounts constituting the proceeds of any financing described under this clause (oo) or that are earmarked to fund such construction or conversion and costs and expenses ancillary thereto, including any downpayments in respect thereof (“</w:t>
      </w:r>
      <w:r>
        <w:rPr>
          <w:rFonts w:ascii="Times New Roman" w:hAnsi="Times New Roman"/>
          <w:b/>
          <w:sz w:val="20"/>
        </w:rPr>
        <w:t>Subsidized Indebtedness Specified Cash</w:t>
      </w:r>
      <w:r>
        <w:rPr>
          <w:rFonts w:ascii="Times New Roman" w:hAnsi="Times New Roman"/>
          <w:sz w:val="20"/>
        </w:rPr>
        <w:t xml:space="preserve">”)) securing government or quasi-government provided, supported, guaranteed or subsidized Indebtedness in an aggregate principal amount not to exceed (i) in the case of Liens on Vessels registered under the laws and flag of the United States, the greater of $40 million and an amount equal to 5% of the Borrower’s Consolidated Net Tangible Assets as determined as of the end of the Borrower’s most recently completed fiscal quarter for which internal financial statements are available and (ii) in the case of any Vessel not registered under the laws and flag of the United States, an amount equal to 75% of the aggregate cost and expenses associated with or otherwise anticipated by the Borrower to be incurred in connection with such acquisition, construction or conversion.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7.01</w:t>
      </w:r>
      <w:r>
        <w:rPr>
          <w:rFonts w:ascii="Times New Roman" w:hAnsi="Times New Roman"/>
          <w:sz w:val="20"/>
        </w:rPr>
        <w:t xml:space="preserve">, in the event that any Lien (or any portion thereof) meets the criteria of more than one of the categories set forth above, the Borrower may, in their sole discretion, at the time of incurrence, divide, classify or reclassify, or at any later time divide, classify or reclassify, such Lien (or any portion thereof) in any manner that complies with this covenant on the date such Lien is incurred or such later time, as applicable. For the avoidance of doubt, a Lien may be reclassified at a time subsequent to the time it was originally incurred, so long as such Lien would have been able to have been incurred at the time of such reclassification pursuant to the provision to which such Lien is being reclassified.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neither the Borrower nor any Restricted Subsidiary shall permit any Lien to exist on (x) Excluded Foreign Flag Vessels or (y) in the case of a FSHCO, a Foreign Subsidiary or a Restricted Subsidiary of any FSHCO or Foreign Subsidiary (in each case, which is not a Guarantor), any assets or properties thereof, which Liens are securing Indebtedness for Borrowed Money, excluding (i) Liens arising as a matter of law, (ii) Liens securing Purchase Money Obligations or Capitalized Lease Obligations, (iii) Liens securing Acquired Indebtedness, (iv) Liens securing insurance financings in respect of the financing of insurance premiums, (v) Liens securing Indebtedness incurred pursuant to </w:t>
      </w:r>
      <w:r>
        <w:rPr>
          <w:rFonts w:ascii="Times New Roman" w:hAnsi="Times New Roman"/>
          <w:sz w:val="20"/>
          <w:u w:val="single"/>
        </w:rPr>
        <w:t>Section 7.03(r)</w:t>
      </w:r>
      <w:r>
        <w:rPr>
          <w:rFonts w:ascii="Times New Roman" w:hAnsi="Times New Roman"/>
          <w:sz w:val="20"/>
        </w:rPr>
        <w:t xml:space="preserve">, (vi) Liens which are not a mortgage Lien which secure Intercompany Indebtedness, and (vii) any permitted refinancings of each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neither the Borrower nor any Restricted Subsidiary (including any Guarantor) shall permit any Liens on any of the Vessel Collateral other than Liens permitted by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(nn)</w:t>
      </w:r>
      <w:r>
        <w:rPr>
          <w:rFonts w:ascii="Times New Roman" w:hAnsi="Times New Roman"/>
          <w:sz w:val="20"/>
        </w:rPr>
        <w:t xml:space="preserve">, in each case, without the prior written consent of the Required Lenders.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r>
        <w:rPr>
          <w:rFonts w:ascii="Times New Roman" w:hAnsi="Times New Roman"/>
          <w:b/>
          <w:sz w:val="20"/>
          <w:u w:val="single"/>
        </w:rPr>
        <w:t>Indebtedness</w:t>
      </w:r>
      <w:r>
        <w:rPr>
          <w:rFonts w:ascii="Times New Roman" w:hAnsi="Times New Roman"/>
          <w:sz w:val="20"/>
        </w:rPr>
        <w:t>. Create, incur or assume any Specified Debt (including Acquired Indebtedness) other than the following Specified Debt (collectively, “</w:t>
      </w:r>
      <w:r>
        <w:rPr>
          <w:rFonts w:ascii="Times New Roman" w:hAnsi="Times New Roman"/>
          <w:b/>
          <w:sz w:val="20"/>
        </w:rPr>
        <w:t>Permitted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Specified Debt incurred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First Lien Indebtedness incurred by the Borrower or any Guarantor in an aggregate principal amount not to exceed $125,000,000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(c) Specified Debt existing on the Closing Date together with guarantee obligations thereunder (other than Specified Debt under the Existing Second Lien Term Loan Agreement, which Specified Debt is to be repaid and terminated in full with the Loans) and listed on </w:t>
      </w:r>
      <w:r>
        <w:rPr>
          <w:rFonts w:ascii="Times New Roman" w:hAnsi="Times New Roman"/>
          <w:sz w:val="20"/>
          <w:u w:val="single"/>
        </w:rPr>
        <w:t>Schedule 7.03(c)</w:t>
      </w:r>
      <w:r>
        <w:rPr>
          <w:rFonts w:ascii="Times New Roman" w:hAnsi="Times New Roman"/>
          <w:sz w:val="20"/>
        </w:rPr>
        <w:t xml:space="preserve"> hereto and any Refinancing Indebtedness thereof; </w:t>
      </w:r>
    </w:p>
    <w:p>
      <w:pPr>
        <w:pStyle w:val="TextBody"/>
        <w:bidi w:val="0"/>
        <w:spacing w:before="120" w:after="0"/>
        <w:jc w:val="left"/>
        <w:rPr>
          <w:rFonts w:ascii="Times New Roman" w:hAnsi="Times New Roman"/>
          <w:sz w:val="20"/>
        </w:rPr>
      </w:pPr>
      <w:r>
        <w:rPr>
          <w:rFonts w:ascii="Times New Roman" w:hAnsi="Times New Roman"/>
          <w:sz w:val="20"/>
        </w:rPr>
        <w:t xml:space="preserve">(d) Guarantees by the Borrower or any Restricted Subsidiary of Specified Debt of the Borrower or any Restricted Subsidiary so long as the incurrence of such Specified Debt guaranteed pursuant hereto was not prohibited by the terms of this Agreement at the time it was incurred and, with respect to non-Guarantor Restricted Subsidiaries, could have been incurred by a non-Guarantor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[reserved]: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(f) Specified Debt of (x) the Borrower or any Restricted Subsidiary incurred or issued to finance an acquisition of equity interests or tangible assets of any Person on an arm’s length basis (“</w:t>
      </w:r>
      <w:r>
        <w:rPr>
          <w:rFonts w:ascii="Times New Roman" w:hAnsi="Times New Roman"/>
          <w:b/>
          <w:sz w:val="20"/>
        </w:rPr>
        <w:t>Permitted Acquisition Indebtedness</w:t>
      </w:r>
      <w:r>
        <w:rPr>
          <w:rFonts w:ascii="Times New Roman" w:hAnsi="Times New Roman"/>
          <w:sz w:val="20"/>
        </w:rPr>
        <w:t xml:space="preserve">”) or Investment or (y) Persons that are acquired by the Borrower or any Restricted Subsidiary or merged into, amalgamated or consolidated with the Borrower or a Restricted Subsidiary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terms of this Agreement (including designating an Unrestricted Subsidiary as a Restricted Subsidiary); </w:t>
      </w:r>
      <w:r>
        <w:rPr>
          <w:rFonts w:ascii="Times New Roman" w:hAnsi="Times New Roman"/>
          <w:i/>
          <w:sz w:val="20"/>
        </w:rPr>
        <w:t xml:space="preserve">provided </w:t>
      </w:r>
      <w:r>
        <w:rPr>
          <w:rFonts w:ascii="Times New Roman" w:hAnsi="Times New Roman"/>
          <w:sz w:val="20"/>
        </w:rPr>
        <w:t xml:space="preserve">that at the time of such acquisition, merger, amalgamation or consolidation and after giving pro forma effect to the incurrence of such Specified Debt the Fixed Charge Coverage Ratio of the Borrower and its Restricted Subsidiaries would not be lower than it was immediately prior to such acquisition, merger, amalgamation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and in the case of the incurrence of Permitted Acquisition Indebtedness, </w:t>
      </w:r>
    </w:p>
    <w:p>
      <w:pPr>
        <w:pStyle w:val="TextBody"/>
        <w:bidi w:val="0"/>
        <w:spacing w:before="120" w:after="0"/>
        <w:jc w:val="left"/>
        <w:rPr>
          <w:rFonts w:ascii="Times New Roman" w:hAnsi="Times New Roman"/>
          <w:sz w:val="20"/>
        </w:rPr>
      </w:pPr>
      <w:r>
        <w:rPr>
          <w:rFonts w:ascii="Times New Roman" w:hAnsi="Times New Roman"/>
          <w:sz w:val="20"/>
        </w:rPr>
        <w:t xml:space="preserve">(x) the Lenders shall have been given an opportunity to finance such acquisition prior to the incurrence of such Permitted Acquisition Indebtedness in favor of any other party; and </w:t>
      </w:r>
    </w:p>
    <w:p>
      <w:pPr>
        <w:pStyle w:val="TextBody"/>
        <w:bidi w:val="0"/>
        <w:spacing w:before="120" w:after="0"/>
        <w:jc w:val="left"/>
        <w:rPr>
          <w:rFonts w:ascii="Times New Roman" w:hAnsi="Times New Roman"/>
          <w:sz w:val="20"/>
        </w:rPr>
      </w:pPr>
      <w:r>
        <w:rPr>
          <w:rFonts w:ascii="Times New Roman" w:hAnsi="Times New Roman"/>
          <w:sz w:val="20"/>
        </w:rPr>
        <w:t xml:space="preserve">(y) (1) if the Loans do not have a loan issue credit rating from S&amp;P, Moody’s or Fitch or if the Loans have a loan issue credit rating of less than BB- by S&amp;P or Fitch or less than Ba3 by Moody’s, such Permitted Acquisition Indebtedness would not increase Borrower’s Total Net Leverage Ratio (after giving Pro Forma Effect to such Permitted Acquisition Indebtedness) above 2.5 to 1.0 nor decrease the Borrower’s Fixed Charge Coverage Ratio below 1.5 to 1.0 or (2) if the Borrower obtains a loan issue credit rating on the Loans of BB- or higher by S&amp;P or Fitch or Ba3 or higher by Moody’s, the incurrence of such Permitted Acquisition Indebtedness would not be reasonably expected to reduce the Borrower’s loan issue credit rating below BB- (by S&amp;P or Fitch) or Ba3 (by Moody’s).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120" w:after="0"/>
        <w:jc w:val="left"/>
        <w:rPr>
          <w:rFonts w:ascii="Times New Roman" w:hAnsi="Times New Roman"/>
          <w:sz w:val="20"/>
        </w:rPr>
      </w:pPr>
      <w:r>
        <w:rPr>
          <w:rFonts w:ascii="Times New Roman" w:hAnsi="Times New Roman"/>
          <w:sz w:val="20"/>
        </w:rPr>
        <w:t xml:space="preserve">(h) Specified Debt represented by Capitalized Leases or purchase money obligations or Sale Leaseback Transactions, in each case not involving any Vessel Collateral in an aggregate outstanding principal amount which when taken together with the principal amount of all other Specified Debt incurred pursuant to this clause (h) and then outstanding, does not exceed $25.0 million, and any Refinancing, Indebtedness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(j) [reserved]; </w:t>
      </w:r>
    </w:p>
    <w:p>
      <w:pPr>
        <w:pStyle w:val="TextBody"/>
        <w:bidi w:val="0"/>
        <w:spacing w:before="120" w:after="0"/>
        <w:jc w:val="left"/>
        <w:rPr>
          <w:rFonts w:ascii="Times New Roman" w:hAnsi="Times New Roman"/>
          <w:sz w:val="20"/>
        </w:rPr>
      </w:pPr>
      <w:r>
        <w:rPr>
          <w:rFonts w:ascii="Times New Roman" w:hAnsi="Times New Roman"/>
          <w:sz w:val="20"/>
        </w:rPr>
        <w:t xml:space="preserve">(k) [reserved]; </w:t>
      </w:r>
    </w:p>
    <w:p>
      <w:pPr>
        <w:pStyle w:val="TextBody"/>
        <w:bidi w:val="0"/>
        <w:spacing w:before="120" w:after="0"/>
        <w:jc w:val="left"/>
        <w:rPr>
          <w:rFonts w:ascii="Times New Roman" w:hAnsi="Times New Roman"/>
          <w:sz w:val="20"/>
        </w:rPr>
      </w:pPr>
      <w:r>
        <w:rPr>
          <w:rFonts w:ascii="Times New Roman" w:hAnsi="Times New Roman"/>
          <w:sz w:val="20"/>
        </w:rPr>
        <w:t xml:space="preserve">(l) [reserved]; </w:t>
      </w:r>
    </w:p>
    <w:p>
      <w:pPr>
        <w:pStyle w:val="TextBody"/>
        <w:bidi w:val="0"/>
        <w:spacing w:before="120" w:after="0"/>
        <w:jc w:val="left"/>
        <w:rPr>
          <w:rFonts w:ascii="Times New Roman" w:hAnsi="Times New Roman"/>
          <w:sz w:val="20"/>
        </w:rPr>
      </w:pPr>
      <w:r>
        <w:rPr>
          <w:rFonts w:ascii="Times New Roman" w:hAnsi="Times New Roman"/>
          <w:sz w:val="20"/>
        </w:rPr>
        <w:t xml:space="preserve">(m) [reserved]; </w:t>
      </w:r>
    </w:p>
    <w:p>
      <w:pPr>
        <w:pStyle w:val="TextBody"/>
        <w:bidi w:val="0"/>
        <w:spacing w:before="120" w:after="0"/>
        <w:jc w:val="left"/>
        <w:rPr>
          <w:rFonts w:ascii="Times New Roman" w:hAnsi="Times New Roman"/>
          <w:sz w:val="20"/>
        </w:rPr>
      </w:pPr>
      <w:r>
        <w:rPr>
          <w:rFonts w:ascii="Times New Roman" w:hAnsi="Times New Roman"/>
          <w:sz w:val="20"/>
        </w:rPr>
        <w:t xml:space="preserve">(n) [reserved]; </w:t>
      </w:r>
    </w:p>
    <w:p>
      <w:pPr>
        <w:pStyle w:val="TextBody"/>
        <w:bidi w:val="0"/>
        <w:spacing w:before="120" w:after="0"/>
        <w:jc w:val="left"/>
        <w:rPr>
          <w:rFonts w:ascii="Times New Roman" w:hAnsi="Times New Roman"/>
          <w:sz w:val="20"/>
        </w:rPr>
      </w:pPr>
      <w:r>
        <w:rPr>
          <w:rFonts w:ascii="Times New Roman" w:hAnsi="Times New Roman"/>
          <w:sz w:val="20"/>
        </w:rPr>
        <w:t xml:space="preserve">(o) [reserved]; </w:t>
      </w:r>
    </w:p>
    <w:p>
      <w:pPr>
        <w:pStyle w:val="TextBody"/>
        <w:bidi w:val="0"/>
        <w:spacing w:before="120" w:after="0"/>
        <w:jc w:val="left"/>
        <w:rPr>
          <w:rFonts w:ascii="Times New Roman" w:hAnsi="Times New Roman"/>
          <w:sz w:val="20"/>
        </w:rPr>
      </w:pPr>
      <w:r>
        <w:rPr>
          <w:rFonts w:ascii="Times New Roman" w:hAnsi="Times New Roman"/>
          <w:sz w:val="20"/>
        </w:rPr>
        <w:t xml:space="preserve">(p)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[reserved]; </w:t>
      </w:r>
    </w:p>
    <w:p>
      <w:pPr>
        <w:pStyle w:val="TextBody"/>
        <w:bidi w:val="0"/>
        <w:spacing w:before="120" w:after="0"/>
        <w:jc w:val="left"/>
        <w:rPr>
          <w:rFonts w:ascii="Times New Roman" w:hAnsi="Times New Roman"/>
          <w:sz w:val="20"/>
        </w:rPr>
      </w:pPr>
      <w:r>
        <w:rPr>
          <w:rFonts w:ascii="Times New Roman" w:hAnsi="Times New Roman"/>
          <w:sz w:val="20"/>
        </w:rPr>
        <w:t xml:space="preserve">(r) other Specified Debt secured by Excluded Foreign Flag Vessels and related assets (but, not, for the avoidance of doubt, Vessel Collateral) in an aggregate outstanding principal amount which, when taken together with the principal amount of all other Specified Debt incurred pursuant to this clause (r) and then outstanding, does not exceed $50.0 million, and any Refinancing Indebtedness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(s) other Specified Debt not otherwise described in clauses (a) through (s) above in an aggregate outstanding principal amount which, when taken together with the principal amount of all other Specified Debt incurred pursuant to this clause (s) and then outstanding, does not exceed $50.0 million, and any Refinancing Indebtedness in respect thereof; and </w:t>
      </w:r>
    </w:p>
    <w:p>
      <w:pPr>
        <w:pStyle w:val="TextBody"/>
        <w:bidi w:val="0"/>
        <w:spacing w:before="120" w:after="0"/>
        <w:jc w:val="left"/>
        <w:rPr>
          <w:rFonts w:ascii="Times New Roman" w:hAnsi="Times New Roman"/>
          <w:sz w:val="20"/>
        </w:rPr>
      </w:pPr>
      <w:r>
        <w:rPr>
          <w:rFonts w:ascii="Times New Roman" w:hAnsi="Times New Roman"/>
          <w:sz w:val="20"/>
        </w:rPr>
        <w:t xml:space="preserve">(t) to the extent constituting Specified Debt, all premiums (if any), interest (including post-petition interest), fees, expenses, charges and additional or contingent interest on obligations described in clauses (a) through (s) above.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and the outstanding principal amount of any particular Indebtedness incurred pursuant to and in compliance with, this covenant: </w:t>
      </w:r>
    </w:p>
    <w:p>
      <w:pPr>
        <w:pStyle w:val="TextBody"/>
        <w:bidi w:val="0"/>
        <w:spacing w:before="120" w:after="0"/>
        <w:jc w:val="left"/>
        <w:rPr>
          <w:rFonts w:ascii="Times New Roman" w:hAnsi="Times New Roman"/>
          <w:sz w:val="20"/>
        </w:rPr>
      </w:pPr>
      <w:r>
        <w:rPr>
          <w:rFonts w:ascii="Times New Roman" w:hAnsi="Times New Roman"/>
          <w:sz w:val="20"/>
        </w:rPr>
        <w:t xml:space="preserve">(1) in the event that all or any portion of any item of Indebtedness meets the criteria of more than one of the types of Permitted Debt, the Borrower, in its sole discretion, will classify, and may from time to time reclassify, such item of Indebtedness (or any portion thereof) and only be required to include the amount and type of such Indebtedness in the applicable Permitted Debt category; </w:t>
      </w:r>
    </w:p>
    <w:p>
      <w:pPr>
        <w:pStyle w:val="TextBody"/>
        <w:bidi w:val="0"/>
        <w:spacing w:before="120" w:after="0"/>
        <w:jc w:val="left"/>
        <w:rPr>
          <w:rFonts w:ascii="Times New Roman" w:hAnsi="Times New Roman"/>
          <w:sz w:val="20"/>
        </w:rPr>
      </w:pPr>
      <w:r>
        <w:rPr>
          <w:rFonts w:ascii="Times New Roman" w:hAnsi="Times New Roman"/>
          <w:sz w:val="20"/>
        </w:rPr>
        <w:t xml:space="preserve">(2) additionally, all or any portion of any item of Indebtedness may later be reclassified as having been incurred pursuant to any type of Indebtedness described as Permitted Debt so long as such Indebtedness is permitted to be incurred pursuant to such provision and any related Liens are permitted to be incurred at the time of reclassification; </w:t>
      </w:r>
    </w:p>
    <w:p>
      <w:pPr>
        <w:pStyle w:val="TextBody"/>
        <w:bidi w:val="0"/>
        <w:spacing w:before="120" w:after="0"/>
        <w:jc w:val="left"/>
        <w:rPr>
          <w:rFonts w:ascii="Times New Roman" w:hAnsi="Times New Roman"/>
          <w:sz w:val="20"/>
        </w:rPr>
      </w:pPr>
      <w:r>
        <w:rPr>
          <w:rFonts w:ascii="Times New Roman" w:hAnsi="Times New Roman"/>
          <w:sz w:val="20"/>
        </w:rPr>
        <w:t xml:space="preserve">(3) all outstanding Obligations shall be incurred under </w:t>
      </w:r>
      <w:r>
        <w:rPr>
          <w:rFonts w:ascii="Times New Roman" w:hAnsi="Times New Roman"/>
          <w:sz w:val="20"/>
          <w:u w:val="single"/>
        </w:rPr>
        <w:t>Section 7.03(a)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in the case of any Refinancing Indebtedness and First Lien RCF Credit Agreement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 </w:t>
      </w:r>
    </w:p>
    <w:p>
      <w:pPr>
        <w:pStyle w:val="TextBody"/>
        <w:bidi w:val="0"/>
        <w:spacing w:before="120" w:after="0"/>
        <w:jc w:val="left"/>
        <w:rPr>
          <w:rFonts w:ascii="Times New Roman" w:hAnsi="Times New Roman"/>
          <w:sz w:val="20"/>
        </w:rPr>
      </w:pPr>
      <w:r>
        <w:rPr>
          <w:rFonts w:ascii="Times New Roman" w:hAnsi="Times New Roman"/>
          <w:sz w:val="20"/>
        </w:rPr>
        <w:t xml:space="preserve">(5) Guarantees of, or obligations in respect of letters of credit, bankers’ acceptances or other similar instruments relating to, or Liens securing, Indebtedness that is otherwise included in the determination of a particular amount of Indebtedness shall not be included; </w:t>
      </w:r>
    </w:p>
    <w:p>
      <w:pPr>
        <w:pStyle w:val="TextBody"/>
        <w:bidi w:val="0"/>
        <w:spacing w:before="120" w:after="0"/>
        <w:jc w:val="left"/>
        <w:rPr>
          <w:rFonts w:ascii="Times New Roman" w:hAnsi="Times New Roman"/>
          <w:sz w:val="20"/>
        </w:rPr>
      </w:pPr>
      <w:r>
        <w:rPr>
          <w:rFonts w:ascii="Times New Roman" w:hAnsi="Times New Roman"/>
          <w:sz w:val="20"/>
        </w:rPr>
        <w:t xml:space="preserve">(6)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the principal amount of any Disqualified Equity Interests of the Borrower or a Restricted Subsidiary, or Preferred Stock of any Restricted Subsidiary, will be equal to the greater of the maximum mandatory redemption or repurchase price (not including, in either case, any redemption or repurchase premium) or the liquidation preference thereof; </w:t>
      </w:r>
    </w:p>
    <w:p>
      <w:pPr>
        <w:pStyle w:val="TextBody"/>
        <w:bidi w:val="0"/>
        <w:spacing w:before="120" w:after="0"/>
        <w:jc w:val="left"/>
        <w:rPr>
          <w:rFonts w:ascii="Times New Roman" w:hAnsi="Times New Roman"/>
          <w:sz w:val="20"/>
        </w:rPr>
      </w:pPr>
      <w:r>
        <w:rPr>
          <w:rFonts w:ascii="Times New Roman" w:hAnsi="Times New Roman"/>
          <w:sz w:val="20"/>
        </w:rPr>
        <w:t xml:space="preserve">(8) Specified Debt permitted by this </w:t>
      </w:r>
      <w:r>
        <w:rPr>
          <w:rFonts w:ascii="Times New Roman" w:hAnsi="Times New Roman"/>
          <w:sz w:val="20"/>
          <w:u w:val="single"/>
        </w:rPr>
        <w:t>Section 7.03</w:t>
      </w:r>
      <w:r>
        <w:rPr>
          <w:rFonts w:ascii="Times New Roman" w:hAnsi="Times New Roman"/>
          <w:sz w:val="20"/>
        </w:rPr>
        <w:t xml:space="preserve"> need not be permitted solely by reference to one provision permitting such Specified Debt but may be permitted in part by one such provision and in part by one or more other provisions of this </w:t>
      </w:r>
      <w:r>
        <w:rPr>
          <w:rFonts w:ascii="Times New Roman" w:hAnsi="Times New Roman"/>
          <w:sz w:val="20"/>
          <w:u w:val="single"/>
        </w:rPr>
        <w:t>Section 7.03</w:t>
      </w:r>
      <w:r>
        <w:rPr>
          <w:rFonts w:ascii="Times New Roman" w:hAnsi="Times New Roman"/>
          <w:sz w:val="20"/>
        </w:rPr>
        <w:t xml:space="preserve"> permitting such Specified Debt; </w:t>
      </w:r>
    </w:p>
    <w:p>
      <w:pPr>
        <w:pStyle w:val="TextBody"/>
        <w:bidi w:val="0"/>
        <w:spacing w:before="120" w:after="0"/>
        <w:jc w:val="left"/>
        <w:rPr>
          <w:rFonts w:ascii="Times New Roman" w:hAnsi="Times New Roman"/>
          <w:sz w:val="20"/>
        </w:rPr>
      </w:pPr>
      <w:r>
        <w:rPr>
          <w:rFonts w:ascii="Times New Roman" w:hAnsi="Times New Roman"/>
          <w:sz w:val="20"/>
        </w:rPr>
        <w:t xml:space="preserve">(9) for purposes of calculating ratio-based baskets and pro forma compliance with the Financial Covenants, as applicable, in connection with the incurrence, issuance or assumption of any Specified Debt pursuant to the Permitted Debt clauses above or the incurrence or creation of any Lien pursuant to </w:t>
      </w:r>
      <w:r>
        <w:rPr>
          <w:rFonts w:ascii="Times New Roman" w:hAnsi="Times New Roman"/>
          <w:sz w:val="20"/>
          <w:u w:val="single"/>
        </w:rPr>
        <w:t>Section 7.01</w:t>
      </w:r>
      <w:r>
        <w:rPr>
          <w:rFonts w:ascii="Times New Roman" w:hAnsi="Times New Roman"/>
          <w:sz w:val="20"/>
        </w:rPr>
        <w:t>, the Borrower may elect, at its option, to treat all or any portion of the committed amount of any Specified Debt (and the issuance and creation of letters of credit and bankers’ acceptances thereunder) which is to be incurred (or any commitment in respect thereof) or secured by such Lien, as the case may be (any such committed amount elected until revoked as described below, the “</w:t>
      </w:r>
      <w:r>
        <w:rPr>
          <w:rFonts w:ascii="Times New Roman" w:hAnsi="Times New Roman"/>
          <w:b/>
          <w:sz w:val="20"/>
        </w:rPr>
        <w:t>Reserved Indebtedness Amount</w:t>
      </w:r>
      <w:r>
        <w:rPr>
          <w:rFonts w:ascii="Times New Roman" w:hAnsi="Times New Roman"/>
          <w:sz w:val="20"/>
        </w:rPr>
        <w:t xml:space="preserve">”), as being incurred as of such election date, and, if such ratio-based basket, Financial Covenant or other provision of this Agreement, as applicable, is complied with (or satisfied) with respect thereto on such election date, any subsequent borrowing or reborrowing thereunder (and the issuance and creation of letters of credit and bankers’ acceptances thereunder) will be deemed to be permitted under this </w:t>
      </w:r>
      <w:r>
        <w:rPr>
          <w:rFonts w:ascii="Times New Roman" w:hAnsi="Times New Roman"/>
          <w:sz w:val="20"/>
          <w:u w:val="single"/>
        </w:rPr>
        <w:t>Section 7.03</w:t>
      </w:r>
      <w:r>
        <w:rPr>
          <w:rFonts w:ascii="Times New Roman" w:hAnsi="Times New Roman"/>
          <w:sz w:val="20"/>
        </w:rPr>
        <w:t xml:space="preserve"> or </w:t>
      </w:r>
      <w:r>
        <w:rPr>
          <w:rFonts w:ascii="Times New Roman" w:hAnsi="Times New Roman"/>
          <w:sz w:val="20"/>
          <w:u w:val="single"/>
        </w:rPr>
        <w:t>Section 7.01</w:t>
      </w:r>
      <w:r>
        <w:rPr>
          <w:rFonts w:ascii="Times New Roman" w:hAnsi="Times New Roman"/>
          <w:sz w:val="20"/>
        </w:rPr>
        <w:t xml:space="preserve">, as applicable, whether or not the ratio-based basket or pro forma compliance with the Financial Covenant, as applicable, at the actual time of any subsequent borrowing or reborrowing (or issuance or creation of letters of credit or bankers’ acceptances thereunder) is complied with (or satisfied) for all purposes (including as to the absence of any continuing Default or Event of Default); </w:t>
      </w:r>
      <w:r>
        <w:rPr>
          <w:rFonts w:ascii="Times New Roman" w:hAnsi="Times New Roman"/>
          <w:i/>
          <w:sz w:val="20"/>
        </w:rPr>
        <w:t>provided</w:t>
      </w:r>
      <w:r>
        <w:rPr>
          <w:rFonts w:ascii="Times New Roman" w:hAnsi="Times New Roman"/>
          <w:sz w:val="20"/>
        </w:rPr>
        <w:t xml:space="preserve"> that for purposes of subsequent calculations of the applicable ratio-based basket or Financial Covenant (including testing of the Financial Covenants pursuant to </w:t>
      </w:r>
      <w:r>
        <w:rPr>
          <w:rFonts w:ascii="Times New Roman" w:hAnsi="Times New Roman"/>
          <w:sz w:val="20"/>
          <w:u w:val="single"/>
        </w:rPr>
        <w:t>Section 8.01</w:t>
      </w:r>
      <w:r>
        <w:rPr>
          <w:rFonts w:ascii="Times New Roman" w:hAnsi="Times New Roman"/>
          <w:sz w:val="20"/>
        </w:rPr>
        <w:t xml:space="preserve">), as applicable, the Reserved Indebtedness Amount shall be deemed to be outstanding, whether or not such amount is actually outstanding, for so long as such commitments are outstanding or until the Borrower revokes an election of a Reserved Indebtedness Amount; </w:t>
      </w:r>
    </w:p>
    <w:p>
      <w:pPr>
        <w:pStyle w:val="TextBody"/>
        <w:bidi w:val="0"/>
        <w:spacing w:before="120" w:after="0"/>
        <w:jc w:val="left"/>
        <w:rPr>
          <w:rFonts w:ascii="Times New Roman" w:hAnsi="Times New Roman"/>
          <w:sz w:val="20"/>
        </w:rPr>
      </w:pPr>
      <w:r>
        <w:rPr>
          <w:rFonts w:ascii="Times New Roman" w:hAnsi="Times New Roman"/>
          <w:sz w:val="20"/>
        </w:rPr>
        <w:t xml:space="preserve">(10) [reserved]; </w:t>
      </w:r>
    </w:p>
    <w:p>
      <w:pPr>
        <w:pStyle w:val="TextBody"/>
        <w:bidi w:val="0"/>
        <w:spacing w:before="120" w:after="0"/>
        <w:jc w:val="left"/>
        <w:rPr>
          <w:rFonts w:ascii="Times New Roman" w:hAnsi="Times New Roman"/>
          <w:sz w:val="20"/>
        </w:rPr>
      </w:pPr>
      <w:r>
        <w:rPr>
          <w:rFonts w:ascii="Times New Roman" w:hAnsi="Times New Roman"/>
          <w:sz w:val="20"/>
        </w:rPr>
        <w:t xml:space="preserve">(11) [reserved]; </w:t>
      </w:r>
    </w:p>
    <w:p>
      <w:pPr>
        <w:pStyle w:val="TextBody"/>
        <w:bidi w:val="0"/>
        <w:spacing w:before="120" w:after="0"/>
        <w:jc w:val="left"/>
        <w:rPr>
          <w:rFonts w:ascii="Times New Roman" w:hAnsi="Times New Roman"/>
          <w:sz w:val="20"/>
        </w:rPr>
      </w:pPr>
      <w:r>
        <w:rPr>
          <w:rFonts w:ascii="Times New Roman" w:hAnsi="Times New Roman"/>
          <w:sz w:val="20"/>
        </w:rPr>
        <w:t xml:space="preserve">(12) the amount of Specified Debt issued at a price that is less than the principal amount thereof will be equal to the amount of the liability in respect thereof determined in accordance with GAAP; and </w:t>
      </w:r>
    </w:p>
    <w:p>
      <w:pPr>
        <w:pStyle w:val="TextBody"/>
        <w:bidi w:val="0"/>
        <w:spacing w:before="120" w:after="0"/>
        <w:jc w:val="left"/>
        <w:rPr>
          <w:rFonts w:ascii="Times New Roman" w:hAnsi="Times New Roman"/>
          <w:sz w:val="20"/>
        </w:rPr>
      </w:pPr>
      <w:r>
        <w:rPr>
          <w:rFonts w:ascii="Times New Roman" w:hAnsi="Times New Roman"/>
          <w:sz w:val="20"/>
        </w:rPr>
        <w:t xml:space="preserve">(13)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none of the Borrower nor any of its Restricted Subsidiaries may incur Material Indebtedness constituting Specified Debt under this </w:t>
      </w:r>
      <w:r>
        <w:rPr>
          <w:rFonts w:ascii="Times New Roman" w:hAnsi="Times New Roman"/>
          <w:sz w:val="20"/>
          <w:u w:val="single"/>
        </w:rPr>
        <w:t>Section 7.03</w:t>
      </w:r>
      <w:r>
        <w:rPr>
          <w:rFonts w:ascii="Times New Roman" w:hAnsi="Times New Roman"/>
          <w:sz w:val="20"/>
        </w:rPr>
        <w:t xml:space="preserve"> (or amend, modify or supplement the terms of any such Material Indebtedness) if such Specified Debt has (or, as a result of such amendment, modification or supplement, would have) a final stated maturity date any earlier than ninety-one (91) days after the Maturity Date; </w:t>
      </w:r>
      <w:r>
        <w:rPr>
          <w:rFonts w:ascii="Times New Roman" w:hAnsi="Times New Roman"/>
          <w:i/>
          <w:sz w:val="20"/>
        </w:rPr>
        <w:t>provided, however</w:t>
      </w:r>
      <w:r>
        <w:rPr>
          <w:rFonts w:ascii="Times New Roman" w:hAnsi="Times New Roman"/>
          <w:sz w:val="20"/>
        </w:rPr>
        <w:t xml:space="preserve">, that this paragraph shall not apply to (i) First Lien Debt, (ii) Purchase Money Obligations and Capitalized Lease Obligations (in each case, for </w:t>
      </w:r>
      <w:r>
        <w:rPr>
          <w:rFonts w:ascii="Times New Roman" w:hAnsi="Times New Roman"/>
          <w:i/>
          <w:sz w:val="20"/>
        </w:rPr>
        <w:t>bona fide</w:t>
      </w:r>
      <w:r>
        <w:rPr>
          <w:rFonts w:ascii="Times New Roman" w:hAnsi="Times New Roman"/>
          <w:sz w:val="20"/>
        </w:rPr>
        <w:t xml:space="preserve"> equipment, vehicle or similar asset-specific financings as determined in good faith by a Responsible Officer), (iii) Acquired Indebtedness or (iv) insurance financings in respect of the financing of insurance premiums, (v) Intercompany Indebtedness, (vi) government or quasi-government provided, supported, guaranteed or subsidized financings or (vii) Refinancing Indebtedness in respect of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(B) no Excluded Subsidiary which is a FSHCO, a Foreign Subsidiary or a Restricted Subsidiary of any FSHCO or Foreign Subsidiary (unless such Subsidiary has become a Guarantor) shall be permitted to incur Indebtedness for Borrowed Money (excluding (i) Purchase Money Obligations and Capitalized Lease Obligations, (ii) Acquired Indebtedness, (iii) insurance financings in respect of the financing of insurance premiums, (iv) Specified Debt permitted pursuant to </w:t>
      </w:r>
      <w:r>
        <w:rPr>
          <w:rFonts w:ascii="Times New Roman" w:hAnsi="Times New Roman"/>
          <w:sz w:val="20"/>
          <w:u w:val="single"/>
        </w:rPr>
        <w:t>Section 7.03(r)</w:t>
      </w:r>
      <w:r>
        <w:rPr>
          <w:rFonts w:ascii="Times New Roman" w:hAnsi="Times New Roman"/>
          <w:sz w:val="20"/>
        </w:rPr>
        <w:t xml:space="preserve">, (v) government or quasi-government provided, supported, guaranteed or subsidized financings, (vi) Indebtedness under the First Lien RCF Credit Agreement or, to the extent permitted thereunder, constituting First Lien RCF Credit Agreement Refinancing Indebtedness or (vii) Refinancing Indebtedness in respect of any of the foregoing), unless such Excluded Subsidiary is or becomes a Guarantor at the time of incurring such Indebtedness and would otherwise be permitted to incur such Indebtedness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Borrower nor any Restricted Subsidiary shall incur any Specified Debt that is secured by a Lien on the Vessel Collateral (other than Permitted Maritime Liens and Indebtedness under the First Lien RCF Credit Agreement or First Lien RCF Credit Agreement Refinancing Indebtedness), in each case, without the prior written consent of all Lenders.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7.03</w:t>
      </w:r>
      <w:r>
        <w:rPr>
          <w:rFonts w:ascii="Times New Roman" w:hAnsi="Times New Roman"/>
          <w:sz w:val="20"/>
        </w:rPr>
        <w:t xml:space="preserve">, in the event that an item of Specified Debt (or any portion thereof) meets the criteria of more than one of the categories set forth above, the Borrower may, in its sole discretion, at the time of incurrence, divide, classify or reclassify, or at any later time divide, classify or reclassify, such item of Specified Debt (or any portion thereof) in any manner that complies with this covenant on the date such Specified Debt is incurred or such later time, as applicable; </w:t>
      </w:r>
      <w:r>
        <w:rPr>
          <w:rFonts w:ascii="Times New Roman" w:hAnsi="Times New Roman"/>
          <w:i/>
          <w:sz w:val="20"/>
        </w:rPr>
        <w:t xml:space="preserve">provided </w:t>
      </w:r>
      <w:r>
        <w:rPr>
          <w:rFonts w:ascii="Times New Roman" w:hAnsi="Times New Roman"/>
          <w:sz w:val="20"/>
        </w:rPr>
        <w:t xml:space="preserve">that all Specified Debt created pursuant to the Loan Documents will be deemed to have been incurred in reliance on the exception in </w:t>
      </w:r>
      <w:r>
        <w:rPr>
          <w:rFonts w:ascii="Times New Roman" w:hAnsi="Times New Roman"/>
          <w:sz w:val="20"/>
          <w:u w:val="single"/>
        </w:rPr>
        <w:t>clause (a)</w:t>
      </w:r>
      <w:r>
        <w:rPr>
          <w:rFonts w:ascii="Times New Roman" w:hAnsi="Times New Roman"/>
          <w:sz w:val="20"/>
        </w:rPr>
        <w:t xml:space="preserve"> above and will not be permitted to be reclassified pursuant to this paragraph;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all or any portion of any item of Indebtedness may later be reclassified as having been incurred pursuant to any type of Indebtedness described in </w:t>
      </w:r>
      <w:r>
        <w:rPr>
          <w:rFonts w:ascii="Times New Roman" w:hAnsi="Times New Roman"/>
          <w:sz w:val="20"/>
          <w:u w:val="single"/>
        </w:rPr>
        <w:t>clause (a)</w:t>
      </w:r>
      <w:r>
        <w:rPr>
          <w:rFonts w:ascii="Times New Roman" w:hAnsi="Times New Roman"/>
          <w:sz w:val="20"/>
        </w:rPr>
        <w:t xml:space="preserve"> of this covenant so long as such Specified Debt is permitted to be incurred pursuant to such provision and any related Liens are permitted to be incurred at the time of reclassification. In the case of any Refinancing Indebtedness or First Lien RCF Credit Agreement Refinancing Indebtedness, when measuring the outstanding amount of such Specified Debt,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 The principal amount of any Disqualified Equity Interests of the Borrower or a Restricted Subsidiary, or preferred stock of any Restricted Subsidiary, will be equal to the greater of the maximum mandatory redemption or repurchase price (not including, in either case, any redemption or repurchase premium) or the liquidation preference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Specified Debt permitted by this covenant need not be permitted solely by reference to one provision permitting such Specified Debt but may be permitted in part by one such provision and in part by one or more other provisions of this covenant permitting such Specified Debt.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any Dollar-denominated restriction on the incurrence of Specified Debt, the Dollar equivalent principal amount of Specified Debt denominated in a foreign currency shall be calculated based on the relevant currency exchange rate in effect on the date such Specified Debt was incurred, in the case of term debt, or first committed, in the case of revolving credit debt; provided that if such Specified Debt is incurred to refinance other Specified Debt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Specified Debt does not exceed (a) the principal amount of such Specified Debt being refinanced </w:t>
      </w:r>
      <w:r>
        <w:rPr>
          <w:rFonts w:ascii="Times New Roman" w:hAnsi="Times New Roman"/>
          <w:i/>
          <w:sz w:val="20"/>
        </w:rPr>
        <w:t>plus</w:t>
      </w:r>
      <w:r>
        <w:rPr>
          <w:rFonts w:ascii="Times New Roman" w:hAnsi="Times New Roman"/>
          <w:sz w:val="20"/>
        </w:rPr>
        <w:t xml:space="preserve"> (b) the aggregate amount of accrued and unpaid interest, dividends, premiums (including tender premiums), defeasance costs, underwriting discounts, fees, costs and expenses (including original issue discount, upfront fees or similar fees) in connection with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covenant, the maximum amount of Specified Debt that the Borrower or a Restricted Subsidiary may incur pursuant to this covenant shall not be deemed to be exceeded solely as a result of fluctuations in the exchange rate of currencies. The principal amount of any Specified Debt incurred to refinance other Specified Debt, if incurred in a different currency from the Specified Debt being refinanced, shall be calculated based on the currency exchange rate applicable to the currencies in which such respective Specified Debt is denominated that is in effect on the date of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The accrual of interest and the accretion of accreted value and the payment of interest in the form of additional Specified Debt shall not be deemed to be an incurrence of Specified Debt for purposes of this </w:t>
      </w:r>
      <w:r>
        <w:rPr>
          <w:rFonts w:ascii="Times New Roman" w:hAnsi="Times New Roman"/>
          <w:sz w:val="20"/>
          <w:u w:val="single"/>
        </w:rPr>
        <w:t>Section 7.03</w:t>
      </w:r>
      <w:r>
        <w:rPr>
          <w:rFonts w:ascii="Times New Roman" w:hAnsi="Times New Roman"/>
          <w:sz w:val="20"/>
        </w:rPr>
        <w:t xml:space="preserve">. The principal amount of any non-interest bearing Specified Debt or other discount security constituting Specified Debt at any date shall be the principal amount thereof that would be shown on a balance sheet of the Borrower dated such date prepared in accordance with GAAP.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w:t>
      </w:r>
      <w:r>
        <w:rPr>
          <w:rFonts w:ascii="Times New Roman" w:hAnsi="Times New Roman"/>
          <w:sz w:val="20"/>
        </w:rPr>
        <w:t xml:space="preserve"> </w:t>
      </w:r>
      <w:r>
        <w:rPr>
          <w:rFonts w:ascii="Times New Roman" w:hAnsi="Times New Roman"/>
          <w:b/>
          <w:sz w:val="20"/>
          <w:u w:val="single"/>
        </w:rPr>
        <w:t>Fundamental 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the Borrower, consolidate with or merge with or into, or convey, transfer or lease all or substantially all of its assets in one transaction or a series of related transactions,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(i) (A) the Borrower is the surviving Person or (B) in the event of any Permitted Change of Control consummated through a merger transaction, if the Borrower is not the surviving Person, (v) the surviving Person is a customary merger sub entity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Successor Company</w:t>
      </w:r>
      <w:r>
        <w:rPr>
          <w:rFonts w:ascii="Times New Roman" w:hAnsi="Times New Roman"/>
          <w:sz w:val="20"/>
        </w:rPr>
        <w:t xml:space="preserve">”) organized or existing under the laws of the United States of America, any State of the United States or the District of Columbia or any territory thereof, (w) the Successor Company expressly assumes all the obligations of the Borrower under the Loans and this Agreement pursuant to customary documents; (x) the Guarantors have reaffirmed their guarantees of the Obligations and the Successor Company and Guarantors have reaffirmed the lien granted in the Collateral securing the Obligations pursuant to customary documents; (y) the surviving Person (whether the Borrower or the Successor Company) shall be a citizen of the United States pursuant to Section 2(c) of the Shipping Act of 1916, as amended (46 USC § 50501 </w:t>
      </w:r>
      <w:r>
        <w:rPr>
          <w:rFonts w:ascii="Times New Roman" w:hAnsi="Times New Roman"/>
          <w:i/>
          <w:sz w:val="20"/>
        </w:rPr>
        <w:t>et seq</w:t>
      </w:r>
      <w:r>
        <w:rPr>
          <w:rFonts w:ascii="Times New Roman" w:hAnsi="Times New Roman"/>
          <w:sz w:val="20"/>
        </w:rPr>
        <w:t xml:space="preserve">.), and the regulations in effect thereunder from time to time, as amended; and (z) the Successor Company shall satisfy the Administrative Agent’s customary KYC requirements (such satisfaction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giving effect to such transaction, no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(iii) other than in the case of a Permitted Change of Control consummated pursuant to a merger, immediately after giving pro forma effect to such transaction, the Fixed Charge Coverage Ratio of the Borrower, as applicable, and its Restricted Subsidiaries would not be lower than it was immediately prior to giving effect to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shall have delivered to the Administrative Agent an officer’s certificate stating that such consolidation, merger or transfer and such supplemental indenture and other documents or instruments (if any) comply with this Agreement and Collateral Documents; and </w:t>
      </w:r>
    </w:p>
    <w:p>
      <w:pPr>
        <w:pStyle w:val="TextBody"/>
        <w:bidi w:val="0"/>
        <w:spacing w:before="120" w:after="0"/>
        <w:jc w:val="left"/>
        <w:rPr>
          <w:rFonts w:ascii="Times New Roman" w:hAnsi="Times New Roman"/>
          <w:sz w:val="20"/>
        </w:rPr>
      </w:pPr>
      <w:r>
        <w:rPr>
          <w:rFonts w:ascii="Times New Roman" w:hAnsi="Times New Roman"/>
          <w:sz w:val="20"/>
        </w:rPr>
        <w:t xml:space="preserve">(v) to the extent any assets of the Person which is merged or consolidated with or into the Borrower are assets of the type which would constitute Collateral under the Collateral Documents, the Borrower will take such action, if any, as may be reasonably necessary to cause such property and assets to be made subject to the Lien of the applicable Collateral Documents in the manner and to the extent required in this Agreement or the applicable Collateral Documents and shall take all reasonably necessary action so that such Lien is perfected to the extent required by the applicable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covenant, (a) the foregoing shall not prohibit any sale of all or substantially all of the Borrower’s assets that constitutes a Change of Control (or would constitute a Change of Control but for the second proviso in clause (b) of the definition thereof) so long as the Borrower makes a prepayment in accordance with </w:t>
      </w:r>
      <w:r>
        <w:rPr>
          <w:rFonts w:ascii="Times New Roman" w:hAnsi="Times New Roman"/>
          <w:sz w:val="20"/>
          <w:u w:val="single"/>
        </w:rPr>
        <w:t>Section 9.01(j)</w:t>
      </w:r>
      <w:r>
        <w:rPr>
          <w:rFonts w:ascii="Times New Roman" w:hAnsi="Times New Roman"/>
          <w:sz w:val="20"/>
        </w:rPr>
        <w:t xml:space="preserve">, (b) the Borrower may consolidate or otherwise combine with, merge into or transfer all or part of its properties and assets to a Guarantor, (c) the Borrower may consolidate or otherwise combine with or merge into an Affiliate organized or existing under the laws of the United States of America, any State of the United States or the District of Columbia incorporated or organized for the purpose of changing the legal domicile of the Borrower, reincorporating the Borrower in another jurisdiction, or changing the legal form of the Borrower, (d) any Restricted Subsidiary may consolidate or otherwise combine with, merge into or transfer all or part of its properties and assets to the Borrower or a Guarantor, (e) any Restricted Subsidiary may consolidate or otherwise combine with, merge into or transfer all or part of its properties and assets to any other Restricted Subsidiary and (f) the Borrower and its Restricted Subsidiaries may complete any Reorganization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herein to the contrary, in the event of any merger, amalgamation, dissolution, liquidation, consolidation, amalgamation or Division of any Loan Party or a Restricted Subsidiary effected in accordance with this </w:t>
      </w:r>
      <w:r>
        <w:rPr>
          <w:rFonts w:ascii="Times New Roman" w:hAnsi="Times New Roman"/>
          <w:sz w:val="20"/>
          <w:u w:val="single"/>
        </w:rPr>
        <w:t>Section 7.04</w:t>
      </w:r>
      <w:r>
        <w:rPr>
          <w:rFonts w:ascii="Times New Roman" w:hAnsi="Times New Roman"/>
          <w:sz w:val="20"/>
        </w:rPr>
        <w:t xml:space="preserve">, the Borrower shall (x) promptly deliver or cause to be delivered to the Administrative Agent for further distribution by the Administrative Agent to each Lender (1) such information and documentation reasonably requested by the Administrative Agent or any Lender in order to comply with applicable “know your customer” and anti-money laundering rules and regulations, including the USA PATRIOT Act and (2) a Beneficial Ownership Certification and (y) do, execute, acknowledge, deliver, record, re-record, file, re-file, register, re-register, publish and re-publish any and all such further acts, deeds, certificates, assurances and other instruments as the Administrative Agent or Collateral Trustee may reasonably request in order to perfect or continue the perfection of the Liens granted or purported to be granted by the Collateral Documents in accordance with </w:t>
      </w:r>
      <w:r>
        <w:rPr>
          <w:rFonts w:ascii="Times New Roman" w:hAnsi="Times New Roman"/>
          <w:sz w:val="20"/>
          <w:u w:val="single"/>
        </w:rPr>
        <w:t>Section 6.11</w:t>
      </w:r>
      <w:r>
        <w:rPr>
          <w:rFonts w:ascii="Times New Roman" w:hAnsi="Times New Roman"/>
          <w:sz w:val="20"/>
        </w:rPr>
        <w:t xml:space="preserve"> and as promptly as practicable.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the Guarantors, subject to certain limitations described in this Agreement governing release of a Guarantee upon the sale, disposition or transfer of a Guarantor, consolidate with or merge with or into, or convey, transfer or lease all or substantially all its assets, in one or a series of related transactions,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(i) Pursuant to such transaction: </w:t>
      </w:r>
    </w:p>
    <w:p>
      <w:pPr>
        <w:pStyle w:val="TextBody"/>
        <w:bidi w:val="0"/>
        <w:spacing w:before="120" w:after="0"/>
        <w:jc w:val="left"/>
        <w:rPr>
          <w:rFonts w:ascii="Times New Roman" w:hAnsi="Times New Roman"/>
          <w:sz w:val="20"/>
        </w:rPr>
      </w:pPr>
      <w:r>
        <w:rPr>
          <w:rFonts w:ascii="Times New Roman" w:hAnsi="Times New Roman"/>
          <w:sz w:val="20"/>
        </w:rPr>
        <w:t>(A) the other Person is the Borrower or any Restricted Subsidiary that is a Guarantor or becomes a Guarantor concurrently with the transaction; or either (x) the Borrower or a Guarantor is the continuing Person or (y) the resulting, surviving or transferee Person (the “</w:t>
      </w:r>
      <w:r>
        <w:rPr>
          <w:rFonts w:ascii="Times New Roman" w:hAnsi="Times New Roman"/>
          <w:b/>
          <w:sz w:val="20"/>
        </w:rPr>
        <w:t>Successor Person</w:t>
      </w:r>
      <w:r>
        <w:rPr>
          <w:rFonts w:ascii="Times New Roman" w:hAnsi="Times New Roman"/>
          <w:sz w:val="20"/>
        </w:rPr>
        <w:t xml:space="preserve">”) expressly assumes all the obligations of the Guarantor under its Guaranty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the transaction, no Event of Default shall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any assets of the Person which is merged, consolidated or amalgamated with or into such Guarantor are assets of the type which would constitute Collateral under the Collateral Documents, such Guarantor or the Successor Person will take such action, if any, as may be reasonably necessary to cause such property and assets to be made subject to the Lien of the applicable Collateral Documents in the manner and to the extent required in this Agreement or the applicable Collateral Documents and shall take all reasonably necessary action so that such Lien in perfected to the extent required by the applicable Collateral Documents; or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constitutes a sale, disposition or transfer of the Guarantor or the conveyance, transfer or lease of all or substantially all of the assets of the Guarantor (in each case other than to the Borrower or a Restricted Subsidiary) otherwise not prohibited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other provision of this covenant, (A) the foregoing shall not prohibit any sale of all or substantially all of any Guarantor’s assets that constitutes a Change of Control (or would constitute a Change of Control but for the second proviso in clause (b) of the definition thereof) so long as the Borrower makes a prepayment in accordance with </w:t>
      </w:r>
      <w:r>
        <w:rPr>
          <w:rFonts w:ascii="Times New Roman" w:hAnsi="Times New Roman"/>
          <w:sz w:val="20"/>
          <w:u w:val="single"/>
        </w:rPr>
        <w:t>Section 9.01(j)</w:t>
      </w:r>
      <w:r>
        <w:rPr>
          <w:rFonts w:ascii="Times New Roman" w:hAnsi="Times New Roman"/>
          <w:sz w:val="20"/>
        </w:rPr>
        <w:t xml:space="preserve"> and (B) any Guarantor may (a) consolidate or otherwise combine with, merge into or transfer all or part of its properties and assets to another Guarantor or the Borrower, (b) consolidate or otherwise combine with or merge into an Affiliate incorporated or organized for the purpose of changing the legal domicile of the Guarantor, reincorporating the Guarantor in another jurisdiction, or changing the legal form of the Guarantor, (c) convert into a corporation, partnership, limited partnership, limited liability company or trust organized or existing under the laws of the jurisdiction of organization of such Guarantor, (d) liquidate or dissolve or change its legal form if the Borrower determines in good faith that such action is in the best interests of the Borrower and (e) complete any Reorganization Transaction. Notwithstanding anything to the contrary in this covenant, the Borrower may contribute Equity Interests of any or all of its Subsidiaries to any Guarantor. </w:t>
      </w:r>
    </w:p>
    <w:p>
      <w:pPr>
        <w:pStyle w:val="TextBody"/>
        <w:bidi w:val="0"/>
        <w:spacing w:before="240" w:after="0"/>
        <w:jc w:val="left"/>
        <w:rPr>
          <w:rFonts w:ascii="Times New Roman" w:hAnsi="Times New Roman"/>
          <w:sz w:val="20"/>
        </w:rPr>
      </w:pPr>
      <w:r>
        <w:rPr>
          <w:rFonts w:ascii="Times New Roman" w:hAnsi="Times New Roman"/>
          <w:sz w:val="20"/>
        </w:rPr>
        <w:t xml:space="preserve">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w:t>
      </w:r>
      <w:r>
        <w:rPr>
          <w:rFonts w:ascii="Times New Roman" w:hAnsi="Times New Roman"/>
          <w:sz w:val="20"/>
        </w:rPr>
        <w:t xml:space="preserve"> </w:t>
      </w:r>
      <w:r>
        <w:rPr>
          <w:rFonts w:ascii="Times New Roman" w:hAnsi="Times New Roman"/>
          <w:b/>
          <w:sz w:val="20"/>
          <w:u w:val="single"/>
        </w:rPr>
        <w:t>Dispositions</w:t>
      </w:r>
      <w:r>
        <w:rPr>
          <w:rFonts w:ascii="Times New Roman" w:hAnsi="Times New Roman"/>
          <w:sz w:val="20"/>
        </w:rPr>
        <w:t xml:space="preserve">. Make any Disposition, unless: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Disposition), as determined in good faith by the Borrower, of the shares and assets subject to such Disposition (including, for the avoidance of doubt, if such Disposition is a Permitted Asset Swap); </w:t>
      </w:r>
    </w:p>
    <w:p>
      <w:pPr>
        <w:pStyle w:val="TextBody"/>
        <w:bidi w:val="0"/>
        <w:spacing w:before="120" w:after="0"/>
        <w:jc w:val="left"/>
        <w:rPr>
          <w:rFonts w:ascii="Times New Roman" w:hAnsi="Times New Roman"/>
          <w:sz w:val="20"/>
        </w:rPr>
      </w:pPr>
      <w:r>
        <w:rPr>
          <w:rFonts w:ascii="Times New Roman" w:hAnsi="Times New Roman"/>
          <w:sz w:val="20"/>
        </w:rPr>
        <w:t xml:space="preserve">(b) in any such Disposition, or series of related Dispositions (except to the extent the Disposition is a Permitted Asset Swap), at least 75% of the consideration from such Disposition, together with all other Dispositions since the Closing Date (on a cumulative basis), (including by way of relief from, or by any other Person assuming responsibility for, any liabilities, contingent or otherwise) received by the Borrower or such Restricted Subsidiary, as the case may be, is in the form of cash or Cash Equivalents;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with respect to any Disposition of Vessel Collateral, (i) no Event of Default has occurred and is continuing and (ii) the Borrower shall either (x) designate a Substitute Vessel (or Substitute Vessels) with a Vessel Collateral Value Amount equal to or greater than the Vessel Collateral Value Amount for such Vessel so Disposed pursuant to the terms in </w:t>
      </w:r>
      <w:r>
        <w:rPr>
          <w:rFonts w:ascii="Times New Roman" w:hAnsi="Times New Roman"/>
          <w:sz w:val="20"/>
          <w:u w:val="single"/>
        </w:rPr>
        <w:t>Section 2.03(f)</w:t>
      </w:r>
      <w:r>
        <w:rPr>
          <w:rFonts w:ascii="Times New Roman" w:hAnsi="Times New Roman"/>
          <w:sz w:val="20"/>
        </w:rPr>
        <w:t xml:space="preserve"> hereof, (y) pay to the Administrative Agent (for the benefit of the Lenders) an amount equal to the Release Value of such Vessel so Disposed, plus the applicable Prepayment Fee on the amount so paid to the Administrative Agent or (z) do a combination of clauses (y) and (x) such that the Payment Percentage and Substitution Percentage equal to at least 100%.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7.05</w:t>
      </w:r>
      <w:r>
        <w:rPr>
          <w:rFonts w:ascii="Times New Roman" w:hAnsi="Times New Roman"/>
          <w:sz w:val="20"/>
        </w:rPr>
        <w:t xml:space="preserve">, the following will be deemed to be cash: </w:t>
      </w:r>
    </w:p>
    <w:p>
      <w:pPr>
        <w:pStyle w:val="TextBody"/>
        <w:bidi w:val="0"/>
        <w:spacing w:before="120" w:after="0"/>
        <w:jc w:val="left"/>
        <w:rPr>
          <w:rFonts w:ascii="Times New Roman" w:hAnsi="Times New Roman"/>
          <w:sz w:val="20"/>
        </w:rPr>
      </w:pPr>
      <w:r>
        <w:rPr>
          <w:rFonts w:ascii="Times New Roman" w:hAnsi="Times New Roman"/>
          <w:sz w:val="20"/>
        </w:rPr>
        <w:t xml:space="preserve">(1) the assumption by the transferee of Indebtedness or other liabilities, contingent or otherwise, of the Borrower or a Restricted Subsidiary (other than any Junior Financing of the Borrower or a Guarantor) or the release of the Borrower or such Restricted Subsidiary from all liability on such Indebtedness or other liability in connection with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(2) securities, notes or other obligations received by the Borrower or any Restricted Subsidiary from the transferee that are converted by the Borrower or such Restricted Subsidiary into cash or Cash Equivalents, or by their terms are required to be satisfied for cash and Cash Equivalents (to the extent of the cash or Cash Equivalents received), in each case, within one hundred eighty (180) days following the closing of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(3) Indebtedness of any Restricted Subsidiary that is no longer a Restricted Subsidiary as a result of such Disposition, to the extent that the Borrower and each other Restricted Subsidiary are released from any Guarantee of payment of such Indebtedness in connection with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(4) consideration consisting of Indebtedness of the Borrower or a Restricted Subsidiary (other than any Subordinated Indebtedness) received after the Closing Date from Persons who are not the Borrower or any Restricted Subsidiary; and </w:t>
      </w:r>
    </w:p>
    <w:p>
      <w:pPr>
        <w:pStyle w:val="TextBody"/>
        <w:bidi w:val="0"/>
        <w:spacing w:before="120" w:after="0"/>
        <w:jc w:val="left"/>
        <w:rPr>
          <w:rFonts w:ascii="Times New Roman" w:hAnsi="Times New Roman"/>
          <w:sz w:val="20"/>
        </w:rPr>
      </w:pPr>
      <w:r>
        <w:rPr>
          <w:rFonts w:ascii="Times New Roman" w:hAnsi="Times New Roman"/>
          <w:sz w:val="20"/>
        </w:rPr>
        <w:t>(5) any Designated Non-Cash Consideration received by the Borrower or any Restricted Subsidiary in such Dispositions having an aggregate Fair Market Value, taken together with all other Designated Non-Cash Consideration received pursuant to this clause that is at that time outstanding, not to exceed the greater of (i) $10.0 million and (ii) an amount equal to 1.25% of the Borrower’s Consolidated Net Tangible Assets determined as of the end of the Borrower’s most recently completed fiscal quarter for which internal financial statements are available (the “</w:t>
      </w:r>
      <w:r>
        <w:rPr>
          <w:rFonts w:ascii="Times New Roman" w:hAnsi="Times New Roman"/>
          <w:b/>
          <w:sz w:val="20"/>
        </w:rPr>
        <w:t>Applicable Proceeds Threshold Amount</w:t>
      </w:r>
      <w:r>
        <w:rPr>
          <w:rFonts w:ascii="Times New Roman" w:hAnsi="Times New Roman"/>
          <w:sz w:val="20"/>
        </w:rPr>
        <w:t xml:space="preserve">”), with the Fair Market Value of each item of Designated Non-Cash Consideration being measured at the time received and without giving effect to subsequent changes in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any Collateral is Disposed of as expressly permitted by this </w:t>
      </w:r>
      <w:r>
        <w:rPr>
          <w:rFonts w:ascii="Times New Roman" w:hAnsi="Times New Roman"/>
          <w:sz w:val="20"/>
          <w:u w:val="single"/>
        </w:rPr>
        <w:t>Section 7.05</w:t>
      </w:r>
      <w:r>
        <w:rPr>
          <w:rFonts w:ascii="Times New Roman" w:hAnsi="Times New Roman"/>
          <w:sz w:val="20"/>
        </w:rPr>
        <w:t xml:space="preserve"> or the definition of “Disposition” to any Person other than a Loan Party, such Collateral shall be sold free and clear of the Liens created by the Loan Documents, and, without limiting the provisions of </w:t>
      </w:r>
      <w:r>
        <w:rPr>
          <w:rFonts w:ascii="Times New Roman" w:hAnsi="Times New Roman"/>
          <w:sz w:val="20"/>
          <w:u w:val="single"/>
        </w:rPr>
        <w:t>Section 10.11</w:t>
      </w:r>
      <w:r>
        <w:rPr>
          <w:rFonts w:ascii="Times New Roman" w:hAnsi="Times New Roman"/>
          <w:sz w:val="20"/>
        </w:rPr>
        <w:t xml:space="preserve">, the Administrative Agent and the Collateral Trustee shall be authorized to, and shall, take any actions reasonably requested by the Borrower in order to effect the foregoing (and the Lenders hereby authorize and direct the Administrative Agent and the Collateral Trustee to conclusively rely on any such certification by the Borrower in performing its obligations under this sentence).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w:t>
      </w:r>
      <w:r>
        <w:rPr>
          <w:rFonts w:ascii="Times New Roman" w:hAnsi="Times New Roman"/>
          <w:sz w:val="20"/>
        </w:rPr>
        <w:t xml:space="preserve"> </w:t>
      </w:r>
      <w:r>
        <w:rPr>
          <w:rFonts w:ascii="Times New Roman" w:hAnsi="Times New Roman"/>
          <w:b/>
          <w:sz w:val="20"/>
          <w:u w:val="single"/>
        </w:rPr>
        <w:t>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Declare or pay any dividend or make any distribution on or in respect of the Borrower’s or any Restricted Subsidiary’s Equity Interests (including any such payment in connection with any merger or consolidation involving the Borrower or any of the Restricted Subsidiaries) except: </w:t>
      </w:r>
    </w:p>
    <w:p>
      <w:pPr>
        <w:pStyle w:val="TextBody"/>
        <w:bidi w:val="0"/>
        <w:spacing w:before="120" w:after="0"/>
        <w:jc w:val="left"/>
        <w:rPr>
          <w:rFonts w:ascii="Times New Roman" w:hAnsi="Times New Roman"/>
          <w:sz w:val="20"/>
        </w:rPr>
      </w:pPr>
      <w:r>
        <w:rPr>
          <w:rFonts w:ascii="Times New Roman" w:hAnsi="Times New Roman"/>
          <w:sz w:val="20"/>
        </w:rPr>
        <w:t xml:space="preserve">(i) dividends, payments or distributions payable to the Borrower or a Restricted Subsidiary (and, in the case of any such Restricted Subsidiary making such dividend or distribution, to holders of its Equity Interests other than the Borrower or another Restricted Subsidiary on no more than a pro rata basis), and; </w:t>
      </w:r>
    </w:p>
    <w:p>
      <w:pPr>
        <w:pStyle w:val="TextBody"/>
        <w:bidi w:val="0"/>
        <w:spacing w:before="120" w:after="0"/>
        <w:jc w:val="left"/>
        <w:rPr>
          <w:rFonts w:ascii="Times New Roman" w:hAnsi="Times New Roman"/>
          <w:sz w:val="20"/>
        </w:rPr>
      </w:pPr>
      <w:r>
        <w:rPr>
          <w:rFonts w:ascii="Times New Roman" w:hAnsi="Times New Roman"/>
          <w:sz w:val="20"/>
        </w:rPr>
        <w:t xml:space="preserve">(ii) dividends, payments or distributions payable in Equity Interests of the Borrower (other than Disqualified Equity Interests) or in options, warrants or other rights to purchase such Equity Interests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(b) Purchase, repurchase, redeem, retire or otherwise acquire or retire for value any Equity Interests of the Borrower or any Parent Entity held by Persons other than the Borrower or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(c) Make any Junior Debt Repayment (other than a Permitted Junior Debt Repayment); or </w:t>
      </w:r>
    </w:p>
    <w:p>
      <w:pPr>
        <w:pStyle w:val="TextBody"/>
        <w:bidi w:val="0"/>
        <w:spacing w:before="120" w:after="0"/>
        <w:jc w:val="left"/>
        <w:rPr>
          <w:rFonts w:ascii="Times New Roman" w:hAnsi="Times New Roman"/>
          <w:sz w:val="20"/>
        </w:rPr>
      </w:pPr>
      <w:r>
        <w:rPr>
          <w:rFonts w:ascii="Times New Roman" w:hAnsi="Times New Roman"/>
          <w:sz w:val="20"/>
        </w:rPr>
        <w:t xml:space="preserve">(d) Make any Restricted Investment; </w:t>
      </w:r>
    </w:p>
    <w:p>
      <w:pPr>
        <w:pStyle w:val="TextBody"/>
        <w:bidi w:val="0"/>
        <w:spacing w:before="240" w:after="0"/>
        <w:jc w:val="left"/>
        <w:rPr>
          <w:rFonts w:ascii="Times New Roman" w:hAnsi="Times New Roman"/>
          <w:sz w:val="20"/>
        </w:rPr>
      </w:pPr>
      <w:r>
        <w:rPr>
          <w:rFonts w:ascii="Times New Roman" w:hAnsi="Times New Roman"/>
          <w:sz w:val="20"/>
        </w:rPr>
        <w:t xml:space="preserve">any such dividend, distribution, payment, purchase, redemption, repurchase, defeasance, other acquisition, retirement or Restricted Investment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are referred to herein as a “</w:t>
      </w:r>
      <w:r>
        <w:rPr>
          <w:rFonts w:ascii="Times New Roman" w:hAnsi="Times New Roman"/>
          <w:b/>
          <w:sz w:val="20"/>
        </w:rPr>
        <w:t>Restricted Payment</w:t>
      </w:r>
      <w:r>
        <w:rPr>
          <w:rFonts w:ascii="Times New Roman" w:hAnsi="Times New Roman"/>
          <w:sz w:val="20"/>
        </w:rPr>
        <w:t xml:space="preserve">”, if at the time the Borrower or such Restricted Subsidiary makes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(i) an Event of Default shall have occurred and be continuing (or would immediately thereafter result therefrom); or </w:t>
      </w:r>
    </w:p>
    <w:p>
      <w:pPr>
        <w:pStyle w:val="TextBody"/>
        <w:bidi w:val="0"/>
        <w:spacing w:before="120" w:after="0"/>
        <w:jc w:val="left"/>
        <w:rPr>
          <w:rFonts w:ascii="Times New Roman" w:hAnsi="Times New Roman"/>
          <w:sz w:val="20"/>
        </w:rPr>
      </w:pPr>
      <w:r>
        <w:rPr>
          <w:rFonts w:ascii="Times New Roman" w:hAnsi="Times New Roman"/>
          <w:sz w:val="20"/>
        </w:rPr>
        <w:t xml:space="preserve">(ii) [reserved];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Borrower would not be in pro forma compliance with the Financial Covenants upon giving effect thereto; or </w:t>
      </w:r>
    </w:p>
    <w:p>
      <w:pPr>
        <w:pStyle w:val="TextBody"/>
        <w:bidi w:val="0"/>
        <w:spacing w:before="120" w:after="0"/>
        <w:jc w:val="left"/>
        <w:rPr>
          <w:rFonts w:ascii="Times New Roman" w:hAnsi="Times New Roman"/>
          <w:sz w:val="20"/>
        </w:rPr>
      </w:pPr>
      <w:r>
        <w:rPr>
          <w:rFonts w:ascii="Times New Roman" w:hAnsi="Times New Roman"/>
          <w:sz w:val="20"/>
        </w:rPr>
        <w:t xml:space="preserve">(iv) [reserved]; or </w:t>
      </w:r>
    </w:p>
    <w:p>
      <w:pPr>
        <w:pStyle w:val="TextBody"/>
        <w:bidi w:val="0"/>
        <w:spacing w:before="120" w:after="0"/>
        <w:jc w:val="left"/>
        <w:rPr>
          <w:rFonts w:ascii="Times New Roman" w:hAnsi="Times New Roman"/>
          <w:sz w:val="20"/>
        </w:rPr>
      </w:pPr>
      <w:r>
        <w:rPr>
          <w:rFonts w:ascii="Times New Roman" w:hAnsi="Times New Roman"/>
          <w:sz w:val="20"/>
        </w:rPr>
        <w:t>(v) the aggregate amount of such Restricted Payment and all other Restricted Payments made subsequent to the Closing Date (and not returned or rescinded), but excluding any Permitted Payments and all other Restricted Payments permitted by the next succeeding paragraph would exceed the sum of (without duplication) (the “</w:t>
      </w:r>
      <w:r>
        <w:rPr>
          <w:rFonts w:ascii="Times New Roman" w:hAnsi="Times New Roman"/>
          <w:b/>
          <w:sz w:val="20"/>
        </w:rPr>
        <w:t>Available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50% of Consolidated Net Income for the period (treated as one accounting period) beginning July 1, 2024 to the end of the most recent fiscal quarter ending prior to the date of such Restricted Payment for which consolidated financial statements are available (which may, at the Borrower’s election, be internal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(B) 100% of the aggregate amount of cash, and the Fair Market Value of property or assets or marketable securities, received by the Borrower from the issue or sale of its Equity Interests (including, for the avoidance of doubt, any proceeds of an issuance or sale of Equity Interests in connection with or following a public offering of common stock, common equity interests or Jones Act Warrants) or as the result of a merger or consolidation with another Person subsequent to the Closing Date or otherwise contributed to the equity (in each case other than through the issuance of Disqualified Equity Interests) of the Borrower or a Restricted Subsidiary (including the aggregate principal amount of any Indebtedness of the Borrower or a Restricted Subsidiary contributed to the Borrower or a Restricted Subsidiary for cancellation) or that becomes part of the capital of the Borrower or a Restricted Subsidiary through consolidation or merger subsequent to the Closing Date (other than (x) net cash proceeds or property or assets or marketable securities received from an issuance or sale of such Equity Interests to a Restricted Subsidiary or an employee stock ownership plan or trust established by a Parent Entity, the Borrower or any Subsidiary of the Borrower for the benefit of their employees to the extent funded by the Borrower or any Restricted Subsidiary and (y) cash or property or assets or marketable securities to the extent that any Restricted Payment has been made from such proceeds in reliance on </w:t>
      </w:r>
      <w:r>
        <w:rPr>
          <w:rFonts w:ascii="Times New Roman" w:hAnsi="Times New Roman"/>
          <w:sz w:val="20"/>
          <w:u w:val="single"/>
        </w:rPr>
        <w:t>clause (6)</w:t>
      </w:r>
      <w:r>
        <w:rPr>
          <w:rFonts w:ascii="Times New Roman" w:hAnsi="Times New Roman"/>
          <w:sz w:val="20"/>
        </w:rPr>
        <w:t xml:space="preserve"> of the next succeeding paragraph); </w:t>
      </w:r>
    </w:p>
    <w:p>
      <w:pPr>
        <w:pStyle w:val="TextBody"/>
        <w:bidi w:val="0"/>
        <w:spacing w:before="120" w:after="0"/>
        <w:jc w:val="left"/>
        <w:rPr>
          <w:rFonts w:ascii="Times New Roman" w:hAnsi="Times New Roman"/>
          <w:sz w:val="20"/>
        </w:rPr>
      </w:pPr>
      <w:r>
        <w:rPr>
          <w:rFonts w:ascii="Times New Roman" w:hAnsi="Times New Roman"/>
          <w:sz w:val="20"/>
        </w:rPr>
        <w:t xml:space="preserve">(C) 100% of the aggregate amount of cash, and the Fair Market Value of property or assets or marketable securities, received by the Borrower or any Restricted Subsidiary from the issuance or sale (other than to the Borrower or a Restricted Subsidiary or an employee stock ownership plan or trust established by a Parent Entity, the Borrower or any Subsidiary of the Borrower for the benefit of their employees to the extent funded by the Borrower or any Restricted Subsidiary) by the Borrower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Restricted Subsidiary subsequent to the Closing Date of any Indebtedness or Disqualified Equity Interests that has been converted into or exchanged for Equity Interests of the Borrower (other than Disqualified Equity Interests) plus, without duplication, the amount of any cash, and the Fair Market Value of property or assets or marketable securities, received by the Borrower or any Restricted Subsidiary upon such conversion or exchange; </w:t>
      </w:r>
    </w:p>
    <w:p>
      <w:pPr>
        <w:pStyle w:val="TextBody"/>
        <w:bidi w:val="0"/>
        <w:spacing w:before="120" w:after="0"/>
        <w:jc w:val="left"/>
        <w:rPr>
          <w:rFonts w:ascii="Times New Roman" w:hAnsi="Times New Roman"/>
          <w:sz w:val="20"/>
        </w:rPr>
      </w:pPr>
      <w:r>
        <w:rPr>
          <w:rFonts w:ascii="Times New Roman" w:hAnsi="Times New Roman"/>
          <w:sz w:val="20"/>
        </w:rPr>
        <w:t xml:space="preserve">(D) 100% of the aggregate amount received in cash and the Fair Market Value, as determined in good faith by the Borrower, of marketable securities or other property received by means of: (i) the sale or other disposition (other than to the Borrower or a Restricted Subsidiary) of, or other returns on Investment from, Restricted Investments made by the Borrower or the Restricted Subsidiaries and repurchases and redemptions of, or cash distributions or cash interest received in respect of, such Investments from the Borrower or the Restricted Subsidiaries and repayments of loans or advances, and releases of guarantees, which constitute Restricted Investments by the Borrower or the Restricted Subsidiaries, in each case after the Closing Date; or (ii) the sale or other disposition (other than to the Borrower or a Restricted Subsidiary) of the Equity Interests of an Unrestricted Subsidiary or a dividend, payment or distribution from an Unrestricted Subsidiary (other than to the extent of the amount of the Investment that constituted a Permitted Investment or was made under </w:t>
      </w:r>
      <w:r>
        <w:rPr>
          <w:rFonts w:ascii="Times New Roman" w:hAnsi="Times New Roman"/>
          <w:sz w:val="20"/>
          <w:u w:val="single"/>
        </w:rPr>
        <w:t>clause (13)</w:t>
      </w:r>
      <w:r>
        <w:rPr>
          <w:rFonts w:ascii="Times New Roman" w:hAnsi="Times New Roman"/>
          <w:sz w:val="20"/>
        </w:rPr>
        <w:t xml:space="preserve"> of the definition of “Permitted Payments” and will increase the amount available under the applicable clause of the definition of “Permitted Investment” or </w:t>
      </w:r>
      <w:r>
        <w:rPr>
          <w:rFonts w:ascii="Times New Roman" w:hAnsi="Times New Roman"/>
          <w:sz w:val="20"/>
          <w:u w:val="single"/>
        </w:rPr>
        <w:t>clause (13)</w:t>
      </w:r>
      <w:r>
        <w:rPr>
          <w:rFonts w:ascii="Times New Roman" w:hAnsi="Times New Roman"/>
          <w:sz w:val="20"/>
        </w:rPr>
        <w:t xml:space="preserve"> of the definition of “Permitted Payments”, as the case may be) or a dividend from a Person that is not a Restricted Subsidiary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in the case of the redesignation of an Unrestricted Subsidiary as a Restricted Subsidiary or the merger, amalgamation or consolidation of an Unrestricted Subsidiary into the Borrower or a Restricted Subsidiary or the transfer of all or substantially all of the assets of an Unrestricted Subsidiary to the Borrower or a Restricted Subsidiary after the Closing Date, the Fair Market Value of the Investment in such Unrestricted Subsidiary (or the assets transferred), as determined in good faith by the Borrower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or was made under </w:t>
      </w:r>
      <w:r>
        <w:rPr>
          <w:rFonts w:ascii="Times New Roman" w:hAnsi="Times New Roman"/>
          <w:sz w:val="20"/>
          <w:u w:val="single"/>
        </w:rPr>
        <w:t>clause (13)</w:t>
      </w:r>
      <w:r>
        <w:rPr>
          <w:rFonts w:ascii="Times New Roman" w:hAnsi="Times New Roman"/>
          <w:sz w:val="20"/>
        </w:rPr>
        <w:t xml:space="preserve"> of the definition of “Permitted Payments” and will increase the amount available under the applicable clause of the definition of “Permitted Investment” or </w:t>
      </w:r>
      <w:r>
        <w:rPr>
          <w:rFonts w:ascii="Times New Roman" w:hAnsi="Times New Roman"/>
          <w:sz w:val="20"/>
          <w:u w:val="single"/>
        </w:rPr>
        <w:t>clause (13)</w:t>
      </w:r>
      <w:r>
        <w:rPr>
          <w:rFonts w:ascii="Times New Roman" w:hAnsi="Times New Roman"/>
          <w:sz w:val="20"/>
        </w:rPr>
        <w:t xml:space="preserve"> of the definition of “Permitted Payments” as the case may be;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$50.0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shall not prohibit or otherwise restrict any Permitted Payment. Notwithstanding anything to the contrary contained herein or in any other provision of this Agreement or in any other Loan Document, in no event shall the Borrower or any Restricted Subsidiary be prohibited or restricted from repurchasing any Equity Interests (including any common stock, common equity interests or Jones Act Warrants or the issuance of any Jones Act Notes) of Borrower or any Restricted Subsidiary or to make a Restricted Payment or any other payment consisting of dividends, payments or distributions payable to the holders of Equity Interests (including any common stock, common equity interests or Jones Act Warrants or the issuance of any Jones Act Notes) of the Borrower or any Restricted Subsidiary as long as after giving Pro Forma Effect to such purchase or the making of any such dividend, payment or distribution, (i) (a) if the Loans do not have a loan issue rating from S&amp;P, Moody’s or Fitch or (b) if the Loans have a loan issue credit rating of less than BB- by S&amp;P or Fitch or less than Ba3 by Moody’s, the Borrower’s Total Net Leverage Ratio would not be greater than 2.5 to 1.0 and the Borrower’s Fixed Charge Coverage Ratio would not be less than 1.5 to 1.0 or (ii) if the Borrower obtains a loan issue credit rating on the Loans of BB- or higher by S&amp;P or Fitch or Ba3 or higher by Moody’s, the loan issue credit rating of the Loans would not be reasonably expected to decrease below BB- (by S&amp;P or Fitch) or Ba3 (by Moody’s).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Investments, Permitted Payments, Junior Debt Repayments and other transactions permitted under this </w:t>
      </w:r>
      <w:r>
        <w:rPr>
          <w:rFonts w:ascii="Times New Roman" w:hAnsi="Times New Roman"/>
          <w:sz w:val="20"/>
          <w:u w:val="single"/>
        </w:rPr>
        <w:t>Section 7.06</w:t>
      </w:r>
      <w:r>
        <w:rPr>
          <w:rFonts w:ascii="Times New Roman" w:hAnsi="Times New Roman"/>
          <w:sz w:val="20"/>
        </w:rPr>
        <w:t xml:space="preserve"> at any time shall be the amount of cash and the Fair Market Value of other property subject to the Investments, Permitted Payments, Junior Debt Repayments or other transaction at the time payment is made. For purposes of determining compliance with this </w:t>
      </w:r>
      <w:r>
        <w:rPr>
          <w:rFonts w:ascii="Times New Roman" w:hAnsi="Times New Roman"/>
          <w:sz w:val="20"/>
          <w:u w:val="single"/>
        </w:rPr>
        <w:t>Section 7.06</w:t>
      </w:r>
      <w:r>
        <w:rPr>
          <w:rFonts w:ascii="Times New Roman" w:hAnsi="Times New Roman"/>
          <w:sz w:val="20"/>
        </w:rPr>
        <w:t xml:space="preserve">, in the event that any Investments, Permitted Payments, Junior Debt Repayments and other transactions permitted under </w:t>
      </w:r>
      <w:r>
        <w:rPr>
          <w:rFonts w:ascii="Times New Roman" w:hAnsi="Times New Roman"/>
          <w:sz w:val="20"/>
          <w:u w:val="single"/>
        </w:rPr>
        <w:t>Section 7.06</w:t>
      </w:r>
      <w:r>
        <w:rPr>
          <w:rFonts w:ascii="Times New Roman" w:hAnsi="Times New Roman"/>
          <w:sz w:val="20"/>
        </w:rPr>
        <w:t xml:space="preserve"> (or any portion of such payment made) meets the criteria of more than one of the categories set forth above, the Borrower may, in its sole discretion, at the time such Investments, Permitted Payments, Junior Debt Repayments and other transaction permitted under </w:t>
      </w:r>
      <w:r>
        <w:rPr>
          <w:rFonts w:ascii="Times New Roman" w:hAnsi="Times New Roman"/>
          <w:sz w:val="20"/>
          <w:u w:val="single"/>
        </w:rPr>
        <w:t>Section 7.06</w:t>
      </w:r>
      <w:r>
        <w:rPr>
          <w:rFonts w:ascii="Times New Roman" w:hAnsi="Times New Roman"/>
          <w:sz w:val="20"/>
        </w:rPr>
        <w:t xml:space="preserve"> is paid, divide, classify or reclassify, or at any later time divide, classify, or reclassify, such payment (or any portion thereof) in any manner that complies with this covenant on the date such payment is made or such later time,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Restricted Payment, Investment or Junior Debt Repayment (or portion thereof) may be reclassified at a time subsequent to the time it was originally made, so long as such Restricted Payment, Investment or Junior Debt Repayment (or portion thereof) would have been able to have been made at the time of such reclassification pursuant to the provision to which such Restricted Payment, Investment or Junior Debt Repayment (or portion thereof) is being reclassified.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all Restricted Payments (other than cash) shall be the Fair Market Value on the date of such Restricted Payment of the asset(s) or securities proposed to be paid, transferred or issued by the Borrower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Borrower acting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Unrestricted Subsidiaries may use value transferred from the Borrower and its Restricted Subsidiaries in a Permitted Investment to purchase or otherwise acquire Indebtedness or Equity Interests of the Borrower, any Parent Entity or any of the Borrower’s Restricted Subsidiaries, and to transfer value to the holders of the Equity Interests of the Borrower or any Restricted Subsidiary or any Parent Entity and to Affiliates thereof, and such purchase, acquisition, or transfer will not be deemed to be a “direct or indirect” action by the Borrower or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If the Borrower or a Restricted Subsidiary makes a Restricted Payment which at the time of the making of such Restricted Payment would in the good faith determination of the Borrower be permitted under the provisions of this Agreement, such Restricted Payment shall be deemed to have been made in compliance with this Agreement notwithstanding any subsequent adjustments made in good faith to the Borrower’s financial statements affecting Consolidated Net Income, Consolidated Adjusted EBITDA or Consolidated Net Tangible Assets of the Borrower for any period.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7.08</w:t>
      </w:r>
      <w:r>
        <w:rPr>
          <w:rFonts w:ascii="Times New Roman" w:hAnsi="Times New Roman"/>
          <w:sz w:val="20"/>
        </w:rPr>
        <w:t xml:space="preserve"> </w:t>
      </w:r>
      <w:r>
        <w:rPr>
          <w:rFonts w:ascii="Times New Roman" w:hAnsi="Times New Roman"/>
          <w:b/>
          <w:sz w:val="20"/>
          <w:u w:val="single"/>
        </w:rPr>
        <w:t>Negative Pledge</w:t>
      </w:r>
      <w:r>
        <w:rPr>
          <w:rFonts w:ascii="Times New Roman" w:hAnsi="Times New Roman"/>
          <w:sz w:val="20"/>
        </w:rPr>
        <w:t xml:space="preserve">. Create or otherwise cause or permit to exist or become effective any consensual encumbrance or consensual restriction on the ability of any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(a) pay dividends or make any other distributions in cash or otherwise on its Equity Interests or pay any Indebtedness or other obligations owed to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(b) make any loans or advances to the Borrower or any Restricted Subsidiary; or </w:t>
      </w:r>
    </w:p>
    <w:p>
      <w:pPr>
        <w:pStyle w:val="TextBody"/>
        <w:bidi w:val="0"/>
        <w:spacing w:before="120" w:after="0"/>
        <w:jc w:val="left"/>
        <w:rPr>
          <w:rFonts w:ascii="Times New Roman" w:hAnsi="Times New Roman"/>
          <w:sz w:val="20"/>
        </w:rPr>
      </w:pPr>
      <w:r>
        <w:rPr>
          <w:rFonts w:ascii="Times New Roman" w:hAnsi="Times New Roman"/>
          <w:sz w:val="20"/>
        </w:rPr>
        <w:t xml:space="preserve">(c) sell, lease or transfer any of its property or assets to the Borrower or any Restricted Subsidiary; </w:t>
      </w:r>
      <w:r>
        <w:rPr>
          <w:rFonts w:ascii="Times New Roman" w:hAnsi="Times New Roman"/>
          <w:i/>
          <w:sz w:val="20"/>
        </w:rPr>
        <w:t>provided</w:t>
      </w:r>
      <w:r>
        <w:rPr>
          <w:rFonts w:ascii="Times New Roman" w:hAnsi="Times New Roman"/>
          <w:sz w:val="20"/>
        </w:rPr>
        <w:t xml:space="preserve"> that (x) the priority of any preferred stock in receiving dividends or liquidating distributions prior to dividends or liquidating distributions being paid on common stock or Jones Act Warrants and (y) the subordination of (including the application of any standstill requirements to) loans or advances made to the Borrower or any Restricted Subsidiary to other Indebtedness incurred by the Borrower or any Restricted Subsidiary shall not be deemed to constitute such an encumbrance or restriction.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Section 7.08</w:t>
      </w:r>
      <w:r>
        <w:rPr>
          <w:rFonts w:ascii="Times New Roman" w:hAnsi="Times New Roman"/>
          <w:sz w:val="20"/>
        </w:rPr>
        <w:t xml:space="preserve"> shall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(i) any encumbrance or restriction pursuant to this Agreement or any other agreement or instrument, in each case, in effect at or entered into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any encumbrance or restriction pursuant to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(iii) any encumbrance or restriction pursuant to applicable law, rule, regulation or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encumbrance or restriction pursuant to an agreement or instrument of a Person or relating to any Equity Interests or Indebtedness of a Person, entered into on or before the date on which such Person was acquired by or merged, consolidated or otherwise combined with or into the Borrower or any Restricted Subsidiary, or was designated as a Restricted Subsidiary or on which such agreement or instrument is assumed by the Borrower or any Restricted Subsidiary in connection with an acquisition of assets (other than Equity Interests or Indebtedness incurred as consideration in, or to provide all or any portion of the funds utilized to consummate, the transaction or series of related transactions pursuant to which such Person became a Restricted Subsidiary or was acquired by the Borrower or a Restricted Subsidiary or was merged, consolidated or otherwise combined with or into the Borrower or any Restricted Subsidiary or entered into in contemplation of or in connection with such transaction) and outstanding on such date; </w:t>
      </w:r>
    </w:p>
    <w:p>
      <w:pPr>
        <w:pStyle w:val="TextBody"/>
        <w:bidi w:val="0"/>
        <w:spacing w:before="120" w:after="0"/>
        <w:jc w:val="left"/>
        <w:rPr>
          <w:rFonts w:ascii="Times New Roman" w:hAnsi="Times New Roman"/>
          <w:sz w:val="20"/>
        </w:rPr>
      </w:pPr>
      <w:r>
        <w:rPr>
          <w:rFonts w:ascii="Times New Roman" w:hAnsi="Times New Roman"/>
          <w:sz w:val="20"/>
        </w:rPr>
        <w:t xml:space="preserve">(v) any encumbrance or restriction: </w:t>
      </w:r>
    </w:p>
    <w:p>
      <w:pPr>
        <w:pStyle w:val="TextBody"/>
        <w:bidi w:val="0"/>
        <w:spacing w:before="120" w:after="0"/>
        <w:jc w:val="left"/>
        <w:rPr>
          <w:rFonts w:ascii="Times New Roman" w:hAnsi="Times New Roman"/>
          <w:sz w:val="20"/>
        </w:rPr>
      </w:pPr>
      <w:r>
        <w:rPr>
          <w:rFonts w:ascii="Times New Roman" w:hAnsi="Times New Roman"/>
          <w:sz w:val="20"/>
        </w:rPr>
        <w:t xml:space="preserve">(A) that restricts in a customary manner the subletting, assignment or transfer of any property or asset that is subject to a lease, license or similar contract or agreement, or the assignment or transfer of any lease, license or other contract or agreement; </w:t>
      </w:r>
    </w:p>
    <w:p>
      <w:pPr>
        <w:pStyle w:val="TextBody"/>
        <w:bidi w:val="0"/>
        <w:spacing w:before="120" w:after="0"/>
        <w:jc w:val="left"/>
        <w:rPr>
          <w:rFonts w:ascii="Times New Roman" w:hAnsi="Times New Roman"/>
          <w:sz w:val="20"/>
        </w:rPr>
      </w:pPr>
      <w:r>
        <w:rPr>
          <w:rFonts w:ascii="Times New Roman" w:hAnsi="Times New Roman"/>
          <w:sz w:val="20"/>
        </w:rPr>
        <w:t xml:space="preserve">(B) contained in mortgages, pledges, charges or other security agreements permitted under this Agreement or securing Indebtedness of the Borrower or a Restricted Subsidiary permitted under this Agreement to the extent such encumbrances or restrictions restrict the transfer or encumbrance of the property or assets subject to such mortgages, pledges, charges or other security agreements; </w:t>
      </w:r>
    </w:p>
    <w:p>
      <w:pPr>
        <w:pStyle w:val="TextBody"/>
        <w:bidi w:val="0"/>
        <w:spacing w:before="120" w:after="0"/>
        <w:jc w:val="left"/>
        <w:rPr>
          <w:rFonts w:ascii="Times New Roman" w:hAnsi="Times New Roman"/>
          <w:sz w:val="20"/>
        </w:rPr>
      </w:pPr>
      <w:r>
        <w:rPr>
          <w:rFonts w:ascii="Times New Roman" w:hAnsi="Times New Roman"/>
          <w:sz w:val="20"/>
        </w:rPr>
        <w:t xml:space="preserve">(C) contained in any trading, netting, operating, construction, service, supply, purchase, sale or other agreement to which the Borrower or any of its Restricted Subsidiaries is a party entered into in the ordinary course of business or consistent with past practice; </w:t>
      </w:r>
      <w:r>
        <w:rPr>
          <w:rFonts w:ascii="Times New Roman" w:hAnsi="Times New Roman"/>
          <w:i/>
          <w:sz w:val="20"/>
        </w:rPr>
        <w:t xml:space="preserve">provided </w:t>
      </w:r>
      <w:r>
        <w:rPr>
          <w:rFonts w:ascii="Times New Roman" w:hAnsi="Times New Roman"/>
          <w:sz w:val="20"/>
        </w:rPr>
        <w:t xml:space="preserve">that such agreement prohibits the encumbrance of solely the property or assets of the Borrower or such Restricted Subsidiary that are subject to such agreement, the payment rights arising thereunder or the proceeds thereof and does not extend to any other asset or property of the Borrower or such Restricted Subsidiary or the assets or property of another Restricted Subsidiary; or </w:t>
      </w:r>
    </w:p>
    <w:p>
      <w:pPr>
        <w:pStyle w:val="TextBody"/>
        <w:bidi w:val="0"/>
        <w:spacing w:before="120" w:after="0"/>
        <w:jc w:val="left"/>
        <w:rPr>
          <w:rFonts w:ascii="Times New Roman" w:hAnsi="Times New Roman"/>
          <w:sz w:val="20"/>
        </w:rPr>
      </w:pPr>
      <w:r>
        <w:rPr>
          <w:rFonts w:ascii="Times New Roman" w:hAnsi="Times New Roman"/>
          <w:sz w:val="20"/>
        </w:rPr>
        <w:t xml:space="preserve">(D) pursuant to customary provisions restricting dispositions of real property interests set forth in any reciprocal easement agreements of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(vi) any encumbrance or restriction pursuant to Purchase Money Obligations and Capitalized Leases permitted under this Agreement, in each case, that impose encumbrances or restrictions on the property so acquired; </w:t>
      </w:r>
    </w:p>
    <w:p>
      <w:pPr>
        <w:pStyle w:val="TextBody"/>
        <w:bidi w:val="0"/>
        <w:spacing w:before="120" w:after="0"/>
        <w:jc w:val="left"/>
        <w:rPr>
          <w:rFonts w:ascii="Times New Roman" w:hAnsi="Times New Roman"/>
          <w:sz w:val="20"/>
        </w:rPr>
      </w:pPr>
      <w:r>
        <w:rPr>
          <w:rFonts w:ascii="Times New Roman" w:hAnsi="Times New Roman"/>
          <w:sz w:val="20"/>
        </w:rPr>
        <w:t xml:space="preserve">(vii) any encumbrance or restriction imposed pursuant to an agreement entered into for the direct or indirect sale or disposition to a Person of all or substantially all the Equity Interests or assets of the Borrower or any Restricted Subsidiary (or the property or assets that are subject to such restriction) pending the closing of such sale or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customary provisions in leases, licenses, equityholder agreements, joint venture agreements, organizational documents and other similar agreements and instruments; </w:t>
      </w:r>
    </w:p>
    <w:p>
      <w:pPr>
        <w:pStyle w:val="TextBody"/>
        <w:bidi w:val="0"/>
        <w:spacing w:before="120" w:after="0"/>
        <w:jc w:val="left"/>
        <w:rPr>
          <w:rFonts w:ascii="Times New Roman" w:hAnsi="Times New Roman"/>
          <w:sz w:val="20"/>
        </w:rPr>
      </w:pPr>
      <w:r>
        <w:rPr>
          <w:rFonts w:ascii="Times New Roman" w:hAnsi="Times New Roman"/>
          <w:sz w:val="20"/>
        </w:rPr>
        <w:t xml:space="preserve">(ix) encumbrances or restrictions arising or existing by reason of applicable law or any applicable rule, regulation or order, or required by any regulatory authority; </w:t>
      </w:r>
    </w:p>
    <w:p>
      <w:pPr>
        <w:pStyle w:val="TextBody"/>
        <w:bidi w:val="0"/>
        <w:spacing w:before="120" w:after="0"/>
        <w:jc w:val="left"/>
        <w:rPr>
          <w:rFonts w:ascii="Times New Roman" w:hAnsi="Times New Roman"/>
          <w:sz w:val="20"/>
        </w:rPr>
      </w:pPr>
      <w:r>
        <w:rPr>
          <w:rFonts w:ascii="Times New Roman" w:hAnsi="Times New Roman"/>
          <w:sz w:val="20"/>
        </w:rPr>
        <w:t xml:space="preserve">(x) any encumbrance or restriction on cash or other deposits or net worth imposed by customers under agreements entered into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any encumbrance or restriction pursuant to Hedge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(xii) other Indebtedness of Foreign Subsidiaries permitted to be incurred or issued subsequent to the Closing Date pursuant to </w:t>
      </w:r>
      <w:r>
        <w:rPr>
          <w:rFonts w:ascii="Times New Roman" w:hAnsi="Times New Roman"/>
          <w:sz w:val="20"/>
          <w:u w:val="single"/>
        </w:rPr>
        <w:t>Section 7.03</w:t>
      </w:r>
      <w:r>
        <w:rPr>
          <w:rFonts w:ascii="Times New Roman" w:hAnsi="Times New Roman"/>
          <w:sz w:val="20"/>
        </w:rPr>
        <w:t xml:space="preserve"> that impose restrictions solely on the Foreign Subsidiaries party thereto or their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(xiii) [reserved]; </w:t>
      </w:r>
    </w:p>
    <w:p>
      <w:pPr>
        <w:pStyle w:val="TextBody"/>
        <w:bidi w:val="0"/>
        <w:spacing w:before="120" w:after="0"/>
        <w:jc w:val="left"/>
        <w:rPr>
          <w:rFonts w:ascii="Times New Roman" w:hAnsi="Times New Roman"/>
          <w:sz w:val="20"/>
        </w:rPr>
      </w:pPr>
      <w:r>
        <w:rPr>
          <w:rFonts w:ascii="Times New Roman" w:hAnsi="Times New Roman"/>
          <w:sz w:val="20"/>
        </w:rPr>
        <w:t xml:space="preserve">(xiv) any encumbrance or restriction arising pursuant to an agreement or instrument relating to any Indebtedness permitted to be incurred subsequent to the Closing Date pursuant to </w:t>
      </w:r>
      <w:r>
        <w:rPr>
          <w:rFonts w:ascii="Times New Roman" w:hAnsi="Times New Roman"/>
          <w:sz w:val="20"/>
          <w:u w:val="single"/>
        </w:rPr>
        <w:t>Section 7.03</w:t>
      </w:r>
      <w:r>
        <w:rPr>
          <w:rFonts w:ascii="Times New Roman" w:hAnsi="Times New Roman"/>
          <w:sz w:val="20"/>
        </w:rPr>
        <w:t xml:space="preserve"> if the encumbrances and restrictions contained in any such agreement or instrument (i) taken as a whole, are not materially less favorable to the Lenders than the encumbrances and restrictions contained in this Agreement, together with the other Loan Documents, as in effect on the Closing Date, (ii) at the time of entry into such agreement or instrument, are determined by the Borrower in good faith to not adversely affect, in any material respect, the Borrower’s ability to make principal or interest payments on the Loans or (iii) apply only during the continuance of a default in respect of a payment relating to such agreement or instrument; </w:t>
      </w:r>
    </w:p>
    <w:p>
      <w:pPr>
        <w:pStyle w:val="TextBody"/>
        <w:bidi w:val="0"/>
        <w:spacing w:before="120" w:after="0"/>
        <w:jc w:val="left"/>
        <w:rPr>
          <w:rFonts w:ascii="Times New Roman" w:hAnsi="Times New Roman"/>
          <w:sz w:val="20"/>
        </w:rPr>
      </w:pPr>
      <w:r>
        <w:rPr>
          <w:rFonts w:ascii="Times New Roman" w:hAnsi="Times New Roman"/>
          <w:sz w:val="20"/>
        </w:rPr>
        <w:t xml:space="preserve">(xv) any encumbrance or restriction existing by reason of any Lien permitted under </w:t>
      </w:r>
      <w:r>
        <w:rPr>
          <w:rFonts w:ascii="Times New Roman" w:hAnsi="Times New Roman"/>
          <w:sz w:val="20"/>
          <w:u w:val="single"/>
        </w:rPr>
        <w:t>Section 7.01</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(xvi) any encumbrance or restriction pursuant to an agreement or instrument effecting a refinancing of Indebtedness incurred pursuant to, or that otherwise refinances, an agreement or instrument referred to in the clauses above or this clause (an “</w:t>
      </w:r>
      <w:r>
        <w:rPr>
          <w:rFonts w:ascii="Times New Roman" w:hAnsi="Times New Roman"/>
          <w:b/>
          <w:sz w:val="20"/>
        </w:rPr>
        <w:t>Initial Agreement</w:t>
      </w:r>
      <w:r>
        <w:rPr>
          <w:rFonts w:ascii="Times New Roman" w:hAnsi="Times New Roman"/>
          <w:sz w:val="20"/>
        </w:rPr>
        <w:t xml:space="preserve">”) or contained in any amendment, supplement or other modification to an agreement referred to in the clauses above or this clause;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encumbrances and restrictions with respect to such Restricted Subsidiary contained in any such agreement or instrument (i) are no less favorable in any material respect to the Lenders taken as a whole than the encumbrances and restrictions contained in the Initial Agreement or Initial Agreements to which such refinancing or amendment, supplement or other modification relates (as determined in good faith by the Borrower) or (ii) are determined by the Borrower in good faith, at the time of entering into such refinancing, amendment, supplement or other modification, will not adversely affect, in any material respect, the Borrower’s ability to make principal or interest payments on the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7.09</w:t>
      </w:r>
      <w:r>
        <w:rPr>
          <w:rFonts w:ascii="Times New Roman" w:hAnsi="Times New Roman"/>
          <w:sz w:val="20"/>
        </w:rPr>
        <w:t xml:space="preserve"> </w:t>
      </w:r>
      <w:r>
        <w:rPr>
          <w:rFonts w:ascii="Times New Roman" w:hAnsi="Times New Roman"/>
          <w:b/>
          <w:sz w:val="20"/>
          <w:u w:val="single"/>
        </w:rPr>
        <w:t>Junior Debt Prepayments</w:t>
      </w:r>
      <w:r>
        <w:rPr>
          <w:rFonts w:ascii="Times New Roman" w:hAnsi="Times New Roman"/>
          <w:sz w:val="20"/>
        </w:rPr>
        <w:t>. Prepay, repay, redeem, repurchase, defease or otherwise acquire or satisfy prior to the date that is one year before the scheduled maturity thereof any principal amount in respect of a Junior Financing (any such prepayment, repayment, redemption, purchase, defeasance or satisfaction, a “</w:t>
      </w:r>
      <w:r>
        <w:rPr>
          <w:rFonts w:ascii="Times New Roman" w:hAnsi="Times New Roman"/>
          <w:b/>
          <w:sz w:val="20"/>
        </w:rPr>
        <w:t>Junior Debt Repayment</w:t>
      </w:r>
      <w:r>
        <w:rPr>
          <w:rFonts w:ascii="Times New Roman" w:hAnsi="Times New Roman"/>
          <w:sz w:val="20"/>
        </w:rPr>
        <w:t>”), except (each of the following, a “</w:t>
      </w:r>
      <w:r>
        <w:rPr>
          <w:rFonts w:ascii="Times New Roman" w:hAnsi="Times New Roman"/>
          <w:b/>
          <w:sz w:val="20"/>
        </w:rPr>
        <w:t>Permitted Junior Debt Repayment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Junior Debt Repayments with the proceeds of, or in exchange for, any Junior Financing or Junior Debt permitted hereunder</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Junior Debt Repayments (A) made with Qualified Equity Interests of the Borrower or any Parent Entity, with the proceeds of an issuance of any such Equity Interests or with the proceeds of a contribution to the capital of the Borrower after the Closing Date or (B) consisting of the conversion of any Junior Financing Equity Interest; </w:t>
      </w:r>
    </w:p>
    <w:p>
      <w:pPr>
        <w:pStyle w:val="TextBody"/>
        <w:bidi w:val="0"/>
        <w:spacing w:before="120" w:after="0"/>
        <w:jc w:val="left"/>
        <w:rPr>
          <w:rFonts w:ascii="Times New Roman" w:hAnsi="Times New Roman"/>
          <w:sz w:val="20"/>
        </w:rPr>
      </w:pPr>
      <w:r>
        <w:rPr>
          <w:rFonts w:ascii="Times New Roman" w:hAnsi="Times New Roman"/>
          <w:sz w:val="20"/>
        </w:rPr>
        <w:t xml:space="preserve">(iii) Junior Debt Repayment of Indebtedness of the Borrower or any Restricted Subsidiary owed to the Borrower or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Junior Debt Repayments within sixty (60) days of giving notice thereof if at the date of such notice, such payment would have been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(vi) [reserved]; </w:t>
      </w:r>
    </w:p>
    <w:p>
      <w:pPr>
        <w:pStyle w:val="TextBody"/>
        <w:bidi w:val="0"/>
        <w:spacing w:before="120" w:after="0"/>
        <w:jc w:val="left"/>
        <w:rPr>
          <w:rFonts w:ascii="Times New Roman" w:hAnsi="Times New Roman"/>
          <w:sz w:val="20"/>
        </w:rPr>
      </w:pPr>
      <w:r>
        <w:rPr>
          <w:rFonts w:ascii="Times New Roman" w:hAnsi="Times New Roman"/>
          <w:sz w:val="20"/>
        </w:rPr>
        <w:t xml:space="preserve">(vii) Junior Debt Repayments consisting of the payment of regularly scheduled interest (including at the default rate) and principal payments, payments of fees, expenses, penalty interest and indemnification obligations in connection with Indebtedness permitted under </w:t>
      </w:r>
      <w:r>
        <w:rPr>
          <w:rFonts w:ascii="Times New Roman" w:hAnsi="Times New Roman"/>
          <w:sz w:val="20"/>
          <w:u w:val="single"/>
        </w:rPr>
        <w:t>Section 7.03</w:t>
      </w:r>
      <w:r>
        <w:rPr>
          <w:rFonts w:ascii="Times New Roman" w:hAnsi="Times New Roman"/>
          <w:sz w:val="20"/>
        </w:rPr>
        <w:t xml:space="preserve"> when due, other than payments prohibited by any applicable subordination provisions; </w:t>
      </w:r>
    </w:p>
    <w:p>
      <w:pPr>
        <w:pStyle w:val="TextBody"/>
        <w:bidi w:val="0"/>
        <w:spacing w:before="120" w:after="0"/>
        <w:jc w:val="left"/>
        <w:rPr>
          <w:rFonts w:ascii="Times New Roman" w:hAnsi="Times New Roman"/>
          <w:sz w:val="20"/>
        </w:rPr>
      </w:pPr>
      <w:r>
        <w:rPr>
          <w:rFonts w:ascii="Times New Roman" w:hAnsi="Times New Roman"/>
          <w:sz w:val="20"/>
        </w:rPr>
        <w:t>(viii) Junior Debt Repayments consisting of a payment to avoid the application of Section 163(e)(5) of the Code;</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[reserved]; </w:t>
      </w:r>
    </w:p>
    <w:p>
      <w:pPr>
        <w:pStyle w:val="TextBody"/>
        <w:bidi w:val="0"/>
        <w:spacing w:before="120" w:after="0"/>
        <w:jc w:val="left"/>
        <w:rPr>
          <w:rFonts w:ascii="Times New Roman" w:hAnsi="Times New Roman"/>
          <w:sz w:val="20"/>
        </w:rPr>
      </w:pPr>
      <w:r>
        <w:rPr>
          <w:rFonts w:ascii="Times New Roman" w:hAnsi="Times New Roman"/>
          <w:sz w:val="20"/>
        </w:rPr>
        <w:t xml:space="preserve">(x)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w:t>
      </w:r>
    </w:p>
    <w:p>
      <w:pPr>
        <w:pStyle w:val="TextBody"/>
        <w:bidi w:val="0"/>
        <w:spacing w:before="120" w:after="0"/>
        <w:jc w:val="left"/>
        <w:rPr>
          <w:rFonts w:ascii="Times New Roman" w:hAnsi="Times New Roman"/>
          <w:sz w:val="20"/>
        </w:rPr>
      </w:pPr>
      <w:r>
        <w:rPr>
          <w:rFonts w:ascii="Times New Roman" w:hAnsi="Times New Roman"/>
          <w:sz w:val="20"/>
        </w:rPr>
        <w:t xml:space="preserve">(xi) any such purchase, repurchase, redemption, defeasance or other acquisition or retirement for value of any Indebtedness owing to the Borrower or a Guarantor; </w:t>
      </w:r>
    </w:p>
    <w:p>
      <w:pPr>
        <w:pStyle w:val="TextBody"/>
        <w:bidi w:val="0"/>
        <w:spacing w:before="120" w:after="0"/>
        <w:jc w:val="left"/>
        <w:rPr>
          <w:rFonts w:ascii="Times New Roman" w:hAnsi="Times New Roman"/>
          <w:sz w:val="20"/>
        </w:rPr>
      </w:pPr>
      <w:r>
        <w:rPr>
          <w:rFonts w:ascii="Times New Roman" w:hAnsi="Times New Roman"/>
          <w:sz w:val="20"/>
        </w:rPr>
        <w:t xml:space="preserve">(xii) Junior Debt Repayments in connection with any Conversion Settlement; </w:t>
      </w:r>
    </w:p>
    <w:p>
      <w:pPr>
        <w:pStyle w:val="TextBody"/>
        <w:bidi w:val="0"/>
        <w:spacing w:before="120" w:after="0"/>
        <w:jc w:val="left"/>
        <w:rPr>
          <w:rFonts w:ascii="Times New Roman" w:hAnsi="Times New Roman"/>
          <w:sz w:val="20"/>
        </w:rPr>
      </w:pPr>
      <w:r>
        <w:rPr>
          <w:rFonts w:ascii="Times New Roman" w:hAnsi="Times New Roman"/>
          <w:sz w:val="20"/>
        </w:rPr>
        <w:t xml:space="preserve">(xiii) [reserved]; </w:t>
      </w:r>
    </w:p>
    <w:p>
      <w:pPr>
        <w:pStyle w:val="TextBody"/>
        <w:bidi w:val="0"/>
        <w:spacing w:before="120" w:after="0"/>
        <w:jc w:val="left"/>
        <w:rPr>
          <w:rFonts w:ascii="Times New Roman" w:hAnsi="Times New Roman"/>
          <w:sz w:val="20"/>
        </w:rPr>
      </w:pPr>
      <w:r>
        <w:rPr>
          <w:rFonts w:ascii="Times New Roman" w:hAnsi="Times New Roman"/>
          <w:sz w:val="20"/>
        </w:rPr>
        <w:t xml:space="preserve">(xiv)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Junior Debt Repayments of Jones Act Notes; and </w:t>
      </w:r>
    </w:p>
    <w:p>
      <w:pPr>
        <w:pStyle w:val="TextBody"/>
        <w:bidi w:val="0"/>
        <w:spacing w:before="120" w:after="0"/>
        <w:jc w:val="left"/>
        <w:rPr>
          <w:rFonts w:ascii="Times New Roman" w:hAnsi="Times New Roman"/>
          <w:sz w:val="20"/>
        </w:rPr>
      </w:pPr>
      <w:r>
        <w:rPr>
          <w:rFonts w:ascii="Times New Roman" w:hAnsi="Times New Roman"/>
          <w:sz w:val="20"/>
        </w:rPr>
        <w:t xml:space="preserve">(xvi) The amount of any Junior Debt Repayment at any time shall be the amount of cash and the Fair Market Value of other property used to make the Junior Debt Repayment at the time such Junior Debt Repayment is made. For purposes of determining compliance with this </w:t>
      </w:r>
      <w:r>
        <w:rPr>
          <w:rFonts w:ascii="Times New Roman" w:hAnsi="Times New Roman"/>
          <w:sz w:val="20"/>
          <w:u w:val="single"/>
        </w:rPr>
        <w:t>Section 7.09(a)</w:t>
      </w:r>
      <w:r>
        <w:rPr>
          <w:rFonts w:ascii="Times New Roman" w:hAnsi="Times New Roman"/>
          <w:sz w:val="20"/>
        </w:rPr>
        <w:t xml:space="preserve">, in the event that any prepayment, repayment, redemption, purchase, defeasance or satisfaction (or any portion thereof) meets the criteria of more than one of the categories set forth above, the Borrower may, in their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FINANCIAL COVENANT </w:t>
      </w:r>
    </w:p>
    <w:p>
      <w:pPr>
        <w:pStyle w:val="TextBody"/>
        <w:bidi w:val="0"/>
        <w:spacing w:before="240" w:after="0"/>
        <w:jc w:val="left"/>
        <w:rPr>
          <w:rFonts w:ascii="Times New Roman" w:hAnsi="Times New Roman"/>
          <w:sz w:val="20"/>
        </w:rPr>
      </w:pPr>
      <w:r>
        <w:rPr>
          <w:rFonts w:ascii="Times New Roman" w:hAnsi="Times New Roman"/>
          <w:sz w:val="20"/>
        </w:rPr>
        <w:t xml:space="preserve">Until the Commitments have expired or terminated and the principal of and interest on each Loan and all fees payable hereunder and all other amounts payable under the Loan Documents shall have been paid in full, the Borrower and each of the Restricted Subsidiaries covenant and agree that: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t>
      </w:r>
      <w:r>
        <w:rPr>
          <w:rFonts w:ascii="Times New Roman" w:hAnsi="Times New Roman"/>
          <w:b/>
          <w:sz w:val="20"/>
          <w:u w:val="single"/>
        </w:rPr>
        <w:t>Financial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[Reserved].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Minimum Liquidity</w:t>
      </w:r>
      <w:r>
        <w:rPr>
          <w:rFonts w:ascii="Times New Roman" w:hAnsi="Times New Roman"/>
          <w:sz w:val="20"/>
        </w:rPr>
        <w:t>. Commencing with the Test Period ending on the last day of the first full fiscal quarter ended after the Closing Date, the Borrower shall not permit the Liquidity on the last day of each Test Period (each such date, a “</w:t>
      </w:r>
      <w:r>
        <w:rPr>
          <w:rFonts w:ascii="Times New Roman" w:hAnsi="Times New Roman"/>
          <w:b/>
          <w:sz w:val="20"/>
        </w:rPr>
        <w:t>Measurement Date</w:t>
      </w:r>
      <w:r>
        <w:rPr>
          <w:rFonts w:ascii="Times New Roman" w:hAnsi="Times New Roman"/>
          <w:sz w:val="20"/>
        </w:rPr>
        <w:t xml:space="preserve">”) to be less than $25,000,000.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EVENTS OF DEFAULT AND REMEDIES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t>
      </w:r>
      <w:r>
        <w:rPr>
          <w:rFonts w:ascii="Times New Roman" w:hAnsi="Times New Roman"/>
          <w:b/>
          <w:sz w:val="20"/>
          <w:u w:val="single"/>
        </w:rPr>
        <w:t>Events of Default</w:t>
      </w:r>
      <w:r>
        <w:rPr>
          <w:rFonts w:ascii="Times New Roman" w:hAnsi="Times New Roman"/>
          <w:sz w:val="20"/>
        </w:rPr>
        <w:t xml:space="preserve">. Each of the events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(j)</w:t>
      </w:r>
      <w:r>
        <w:rPr>
          <w:rFonts w:ascii="Times New Roman" w:hAnsi="Times New Roman"/>
          <w:sz w:val="20"/>
        </w:rPr>
        <w:t xml:space="preserve"> of this </w:t>
      </w:r>
      <w:r>
        <w:rPr>
          <w:rFonts w:ascii="Times New Roman" w:hAnsi="Times New Roman"/>
          <w:sz w:val="20"/>
          <w:u w:val="single"/>
        </w:rPr>
        <w:t>Section 9.01</w:t>
      </w:r>
      <w:r>
        <w:rPr>
          <w:rFonts w:ascii="Times New Roman" w:hAnsi="Times New Roman"/>
          <w:sz w:val="20"/>
        </w:rPr>
        <w:t xml:space="preserve"> constitutes an “</w:t>
      </w:r>
      <w:r>
        <w:rPr>
          <w:rFonts w:ascii="Times New Roman" w:hAnsi="Times New Roman"/>
          <w:b/>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Non-Payment</w:t>
      </w:r>
      <w:r>
        <w:rPr>
          <w:rFonts w:ascii="Times New Roman" w:hAnsi="Times New Roman"/>
          <w:sz w:val="20"/>
        </w:rPr>
        <w:t xml:space="preserve">. Any Loan Party fails to pay (i) when and as required to be paid pursuant to the terms of this Agreement, any amount of principal or interest of any Loan or any applicable Prepayment Fee, or (ii) within five (5) Business Days after the same becomes due, any fee or reimbursement obligation or other amount payable pursuant to the terms of a Loan Document;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Covenants</w:t>
      </w:r>
      <w:r>
        <w:rPr>
          <w:rFonts w:ascii="Times New Roman" w:hAnsi="Times New Roman"/>
          <w:sz w:val="20"/>
        </w:rPr>
        <w:t xml:space="preserve">. The Borrower or any Guarantor fails to perform or observe any covenant contained in </w:t>
      </w:r>
      <w:r>
        <w:rPr>
          <w:rFonts w:ascii="Times New Roman" w:hAnsi="Times New Roman"/>
          <w:sz w:val="20"/>
          <w:u w:val="single"/>
        </w:rPr>
        <w:t>Section 6.03(a)</w:t>
      </w:r>
      <w:r>
        <w:rPr>
          <w:rFonts w:ascii="Times New Roman" w:hAnsi="Times New Roman"/>
          <w:sz w:val="20"/>
        </w:rPr>
        <w:t xml:space="preserve"> (solely to the extent and only for so long as such notice has not been delivered), </w:t>
      </w:r>
      <w:r>
        <w:rPr>
          <w:rFonts w:ascii="Times New Roman" w:hAnsi="Times New Roman"/>
          <w:sz w:val="20"/>
          <w:u w:val="single"/>
        </w:rPr>
        <w:t>Section 6.05</w:t>
      </w:r>
      <w:r>
        <w:rPr>
          <w:rFonts w:ascii="Times New Roman" w:hAnsi="Times New Roman"/>
          <w:sz w:val="20"/>
        </w:rPr>
        <w:t xml:space="preserve"> (solely with respect to the Borrowers), </w:t>
      </w:r>
      <w:r>
        <w:rPr>
          <w:rFonts w:ascii="Times New Roman" w:hAnsi="Times New Roman"/>
          <w:sz w:val="20"/>
          <w:u w:val="single"/>
        </w:rPr>
        <w:t>Section 6.15</w:t>
      </w:r>
      <w:r>
        <w:rPr>
          <w:rFonts w:ascii="Times New Roman" w:hAnsi="Times New Roman"/>
          <w:sz w:val="20"/>
        </w:rPr>
        <w:t xml:space="preserve">, </w:t>
      </w:r>
      <w:r>
        <w:rPr>
          <w:rFonts w:ascii="Times New Roman" w:hAnsi="Times New Roman"/>
          <w:sz w:val="20"/>
          <w:u w:val="single"/>
        </w:rPr>
        <w:t>Section 8.01</w:t>
      </w:r>
      <w:r>
        <w:rPr>
          <w:rFonts w:ascii="Times New Roman" w:hAnsi="Times New Roman"/>
          <w:sz w:val="20"/>
        </w:rPr>
        <w:t xml:space="preserve"> and </w:t>
      </w:r>
      <w:r>
        <w:rPr>
          <w:rFonts w:ascii="Times New Roman" w:hAnsi="Times New Roman"/>
          <w:sz w:val="20"/>
          <w:u w:val="single"/>
        </w:rPr>
        <w:t>Article VII</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Defaults</w:t>
      </w:r>
      <w:r>
        <w:rPr>
          <w:rFonts w:ascii="Times New Roman" w:hAnsi="Times New Roman"/>
          <w:sz w:val="20"/>
        </w:rPr>
        <w:t xml:space="preserve">. A Loan Party fails to perform or observe any other covenant (not specified in </w:t>
      </w:r>
      <w:r>
        <w:rPr>
          <w:rFonts w:ascii="Times New Roman" w:hAnsi="Times New Roman"/>
          <w:sz w:val="20"/>
          <w:u w:val="single"/>
        </w:rPr>
        <w:t>Section 9.01(a)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contained in any Loan Document on its part to be performed or observed and, (i) with respect to the covenants contained in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Sections 6.02(a)</w:t>
      </w:r>
      <w:r>
        <w:rPr>
          <w:rFonts w:ascii="Times New Roman" w:hAnsi="Times New Roman"/>
          <w:sz w:val="20"/>
        </w:rPr>
        <w:t xml:space="preserve"> and </w:t>
      </w:r>
      <w:r>
        <w:rPr>
          <w:rFonts w:ascii="Times New Roman" w:hAnsi="Times New Roman"/>
          <w:sz w:val="20"/>
          <w:u w:val="single"/>
        </w:rPr>
        <w:t>6.02(b)</w:t>
      </w:r>
      <w:r>
        <w:rPr>
          <w:rFonts w:ascii="Times New Roman" w:hAnsi="Times New Roman"/>
          <w:sz w:val="20"/>
        </w:rPr>
        <w:t xml:space="preserve">, such failure continues for fifteen (15) days, and (ii) with respect to any other affirmative covenants hereunder which, when breached, are capable of being cured, such failure continues for thirty (30) days after receipt by the Borrower of written notice thereof from the Administrative Agent (it being acknowledged that a breach of </w:t>
      </w:r>
      <w:r>
        <w:rPr>
          <w:rFonts w:ascii="Times New Roman" w:hAnsi="Times New Roman"/>
          <w:sz w:val="20"/>
          <w:u w:val="single"/>
        </w:rPr>
        <w:t>Sections 6.14(a)(iii)</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is not capable of being cured); 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Representations and Warranties</w:t>
      </w:r>
      <w:r>
        <w:rPr>
          <w:rFonts w:ascii="Times New Roman" w:hAnsi="Times New Roman"/>
          <w:sz w:val="20"/>
        </w:rPr>
        <w:t xml:space="preserve">. Any representation or warranty made or deemed by any Loan Party in any Loan Document, or in any document required to be delivered pursuant to the terms of a Loan Document shall be untrue in any material respect (or, with respect to any representation or warranty qualified by materiality or “Material Adverse Effect,” shall be untrue in any respect) when made or deemed made; and in the case of any representation and warranty made or deemed made after the Closing Date, such representation or warranty shall remain untrue (in any material respect or in any respect, as applicable) for a period of thirty (30) days after written notice thereof from the Administrative Agent to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Cross-Default</w:t>
      </w:r>
      <w:r>
        <w:rPr>
          <w:rFonts w:ascii="Times New Roman" w:hAnsi="Times New Roman"/>
          <w:sz w:val="20"/>
        </w:rPr>
        <w:t xml:space="preserve">. A Loan Party: </w:t>
      </w:r>
    </w:p>
    <w:p>
      <w:pPr>
        <w:pStyle w:val="TextBody"/>
        <w:bidi w:val="0"/>
        <w:spacing w:before="120" w:after="0"/>
        <w:jc w:val="left"/>
        <w:rPr>
          <w:rFonts w:ascii="Times New Roman" w:hAnsi="Times New Roman"/>
          <w:sz w:val="20"/>
        </w:rPr>
      </w:pPr>
      <w:r>
        <w:rPr>
          <w:rFonts w:ascii="Times New Roman" w:hAnsi="Times New Roman"/>
          <w:sz w:val="20"/>
        </w:rPr>
        <w:t xml:space="preserve">(i) fails to make any payment of any principal or interest beyond the applicable grace period, if any, whether by scheduled maturity, required prepayment, acceleration, demand, or otherwise, in respect of its Material Indebtedness, the Indebtedness under the First Lien RCF Credit Agreement or the First Lien RCF Credit Agreement Refinancing Indebtedness; or </w:t>
      </w:r>
    </w:p>
    <w:p>
      <w:pPr>
        <w:pStyle w:val="TextBody"/>
        <w:bidi w:val="0"/>
        <w:spacing w:before="120" w:after="0"/>
        <w:jc w:val="left"/>
        <w:rPr>
          <w:rFonts w:ascii="Times New Roman" w:hAnsi="Times New Roman"/>
          <w:sz w:val="20"/>
        </w:rPr>
      </w:pPr>
      <w:r>
        <w:rPr>
          <w:rFonts w:ascii="Times New Roman" w:hAnsi="Times New Roman"/>
          <w:sz w:val="20"/>
        </w:rPr>
        <w:t xml:space="preserve">(ii) fails to perform or observe any covenant, agreement or condition relating to any Material Indebtedness, the Indebtedness under the First Lien RCF Credit Agreement or the First Lien RCF Credit Agreement Refinancing Indebtedness or any other event or condition occurs, the effect of which failure or event or condition is to cause such Material Indebtedness, such Indebtedness under the First Lien RCF Credit Agreement or the First Lien RCF Credit Agreement Refinancing Indebtedness (and, in the case of Indebtedness under the First Lien RCF Credit Agreement or the First Lien RCF Credit Agreement Refinancing Indebtedness, such failure or event or condition continues uncured or unwaived for ten (10) Business Days; </w:t>
      </w:r>
      <w:r>
        <w:rPr>
          <w:rFonts w:ascii="Times New Roman" w:hAnsi="Times New Roman"/>
          <w:i/>
          <w:sz w:val="20"/>
        </w:rPr>
        <w:t>provided, however</w:t>
      </w:r>
      <w:r>
        <w:rPr>
          <w:rFonts w:ascii="Times New Roman" w:hAnsi="Times New Roman"/>
          <w:sz w:val="20"/>
        </w:rPr>
        <w:t xml:space="preserve">, such ten (10) Business Day period shall not apply to any payment default under the First Lien RCF Credit Agreement or the First Lien RCF Credit Agreement Refinancing Indebtedness nor shall such ten (10) Business Day period alter the rights of the Administrative Agent or any Secured Party under the provisions of Section 5.7(a) of the Junior Lien Intercreditor Agreement) becoming due prior to its scheduled maturity or to enable or permit (with all applicable grace periods having expired) the holder or holders (with the giving of notice or the lapse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time or both) of such Material Indebtedness, such Indebtedness under the First Lien RCF Credit Agreement or the First Lien RCF Credit Agreement Refinancing Indebtedness or any trustee or any agent on its or their behalf to cause such Material Indebtedness, such Indebtedness under the First Lien RCF Credit Agreement or the First Lien RCF Credit Agreement Refinancing Indebtedness to become due, or to require the prepayment, repurchase, redemption or defeasance thereof, prior to its stated maturity, in each case pursuant to its terms;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w:t>
      </w:r>
      <w:r>
        <w:rPr>
          <w:rFonts w:ascii="Times New Roman" w:hAnsi="Times New Roman"/>
          <w:sz w:val="20"/>
          <w:u w:val="single"/>
        </w:rPr>
        <w:t>clause (e)(ii)</w:t>
      </w:r>
      <w:r>
        <w:rPr>
          <w:rFonts w:ascii="Times New Roman" w:hAnsi="Times New Roman"/>
          <w:sz w:val="20"/>
        </w:rPr>
        <w:t xml:space="preserve"> shall not apply: (1) to any secured Indebtedness that becomes due as a result of the sale, transfer or other disposition (including as a result of a casualty or condemnation event) of the property or assets securing such Indebtedness or as a result of a “change of control” put right; (2) to the conversion of, or the satisfaction of any condition to the conversion of, any Indebtedness that is convertible or exchangeable for Equity Interests or to any Conversion Settlement; (3) to events of default, termination events or any other similar event under the documents governing Hedge Agreements or (4) to a refinancing of Indebtedness with other Indebtedness permitted by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Insolvency Proceedings, Etc</w:t>
      </w:r>
      <w:r>
        <w:rPr>
          <w:rFonts w:ascii="Times New Roman" w:hAnsi="Times New Roman"/>
          <w:sz w:val="20"/>
        </w:rPr>
        <w:t xml:space="preserve">. (i) Any Loan Party (A) institutes or consents to the institution of any proceeding under any Debtor Relief Law, (B) makes an assignment for the benefit of creditors or (C) applies for or consents to the appointment of any receiver, trustee, custodian, conservator, liquidator, rehabilitator, administrator, administrative receiver or similar officer for it or for all or any material part of its property; (ii) any receiver, trustee, custodian, conservator, liquidator, rehabilitator, administrator, administrative receiver or similar officer is appointed for a Loan Party or any material part of its property without the application or consent of such Loan Party and the appointment continues undischarged or unstayed for sixty (60) calendar days; (iii) any proceeding under any Debtor Relief Law relating to a Loan Party or to all or any material part of its property is instituted without the consent of such Loan Party and continues undismissed or unstayed for sixty (60) calendar days; or (iv) an order for relief is entered in any such proceeding; or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Judgments</w:t>
      </w:r>
      <w:r>
        <w:rPr>
          <w:rFonts w:ascii="Times New Roman" w:hAnsi="Times New Roman"/>
          <w:sz w:val="20"/>
        </w:rPr>
        <w:t xml:space="preserve">. There is entered against a Loan Party a final, enforceable, and non-appealable judgment by a court of competent jurisdiction for the payment of money in an aggregate amount exceeding the Threshold Amount (to the extent not covered by independent third-party insurance or another indemnity obligation) and such judgment or order is not satisfied, vacated, discharged or stayed or bonded for a period of sixty (60) consecutive days; or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Invalidity of Loan Documents</w:t>
      </w:r>
      <w:r>
        <w:rPr>
          <w:rFonts w:ascii="Times New Roman" w:hAnsi="Times New Roman"/>
          <w:sz w:val="20"/>
        </w:rPr>
        <w:t xml:space="preserve">. The material provisions of the Loan Documents, taken as a whole, at any time after their execution and delivery and for any reason cease to be in full force and effect, except (i) as expressly permitted by the Loan Documents (including as a result of a transaction permitted under </w:t>
      </w:r>
      <w:r>
        <w:rPr>
          <w:rFonts w:ascii="Times New Roman" w:hAnsi="Times New Roman"/>
          <w:sz w:val="20"/>
          <w:u w:val="single"/>
        </w:rPr>
        <w:t>Section 7.04</w:t>
      </w:r>
      <w:r>
        <w:rPr>
          <w:rFonts w:ascii="Times New Roman" w:hAnsi="Times New Roman"/>
          <w:sz w:val="20"/>
        </w:rPr>
        <w:t xml:space="preserve"> or </w:t>
      </w:r>
      <w:r>
        <w:rPr>
          <w:rFonts w:ascii="Times New Roman" w:hAnsi="Times New Roman"/>
          <w:sz w:val="20"/>
          <w:u w:val="single"/>
        </w:rPr>
        <w:t>7.05</w:t>
      </w:r>
      <w:r>
        <w:rPr>
          <w:rFonts w:ascii="Times New Roman" w:hAnsi="Times New Roman"/>
          <w:sz w:val="20"/>
        </w:rPr>
        <w:t xml:space="preserve">), (ii) as a result of the satisfaction of the Obligations or (iii) resulting from acts or omissions of a Secured Party or the application of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 Collateral Documents and Guarantee.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Collateral Document (or any material provision thereof) with respect to a material portion of the Collateral with a Fair Market Value exceeding the Threshold Amount after its execution and delivery shall for any reason cease to create a valid and perfected or published, as applicable, Lien, except (A) as otherwise permitted by, or as a result of a transaction not prohibited by, the Loan Documents, (B) resulting from the failure of the Administrative Agent or the Collateral Trustee or any of their agents or bailees to maintain possession or control of Collateral, (C) resulting from the making of a filing, or the failure to make a filing, under the Uniform Commercial Code or other applicable law, (D) as to Collateral consisting of real property, to the extent that (1) such losses are covered by a lender’s title insurance policy (unless the Borrower in good faith reasonably believe that payment thereunder will not be made by the applicable insurer) or (2) a deficiency arose through no fault of a Loan Party and such deficiency is corrected with reasonable diligence upon obtaining actual knowledge thereof or (E) resulting from acts or omissions of a Secured Party or the application of applicable law so long as such deficiency arose through no fault of a Loan Party and such deficiency is corrected with reasonable diligence upon obtaining actual knowledge thereof; or </w:t>
      </w:r>
    </w:p>
    <w:p>
      <w:pPr>
        <w:pStyle w:val="TextBody"/>
        <w:bidi w:val="0"/>
        <w:spacing w:before="120" w:after="0"/>
        <w:jc w:val="left"/>
        <w:rPr>
          <w:rFonts w:ascii="Times New Roman" w:hAnsi="Times New Roman"/>
          <w:sz w:val="20"/>
        </w:rPr>
      </w:pPr>
      <w:r>
        <w:rPr>
          <w:rFonts w:ascii="Times New Roman" w:hAnsi="Times New Roman"/>
          <w:sz w:val="20"/>
        </w:rPr>
        <w:t xml:space="preserve">(ii) Guarantee with respect to a Guarantor (other than an Excluded Subsidiary) shall for any reason cease to be in full force and effect, except (A) as otherwise permitted by, or as a result of a transaction not prohibited by, the Loan Documents, (B) upon the satisfaction in full of the Obligations, (C) upon the release of such Guarantor as provided for under the Loan Document or in accordance with its terms or (D) resulting from acts or omissions of a Secured Party or the application of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Change of Control</w:t>
      </w:r>
      <w:r>
        <w:rPr>
          <w:rFonts w:ascii="Times New Roman" w:hAnsi="Times New Roman"/>
          <w:sz w:val="20"/>
        </w:rPr>
        <w:t xml:space="preserve">. There occurs any Change of Control; provided, however, if the Borrower repays the outstanding principal balance of the Loans, all accrued and unpaid interest, the applicable Prepayment Fee and all other outstanding Obligations in full within five (5) Business Days following any Change of Control, such Change of Control shall not constitute an Event of Default hereunder; or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ERISA</w:t>
      </w:r>
      <w:r>
        <w:rPr>
          <w:rFonts w:ascii="Times New Roman" w:hAnsi="Times New Roman"/>
          <w:sz w:val="20"/>
        </w:rPr>
        <w:t xml:space="preserve">. (i) an ERISA Event or Foreign Plan Event shall have occurred, (ii) the PBGC shall institute proceedings (including giving notice of intent thereof) to terminate any Plan or Plans, (iii) the Borrower or any Guarantor or any ERISA Affiliate shall have been notified by the sponsor of a Multiemployer Plan that such Multiemployer Plan is being terminated, within the meaning of Title IV of ERISA, or (iv) the Borrower or any Guarantor shall engage in any non-exempt “prohibited transaction” (as defined in Section 406 of ERISA or Section 4975 of the Code) involving any Plan; and in each case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above, such event or condition, together with all other such events or conditions, if any,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no Event of Default or breach of any representation or warranty in </w:t>
      </w:r>
      <w:r>
        <w:rPr>
          <w:rFonts w:ascii="Times New Roman" w:hAnsi="Times New Roman"/>
          <w:sz w:val="20"/>
          <w:u w:val="single"/>
        </w:rPr>
        <w:t>Article V</w:t>
      </w:r>
      <w:r>
        <w:rPr>
          <w:rFonts w:ascii="Times New Roman" w:hAnsi="Times New Roman"/>
          <w:sz w:val="20"/>
        </w:rPr>
        <w:t xml:space="preserve"> or any covenant in </w:t>
      </w:r>
      <w:r>
        <w:rPr>
          <w:rFonts w:ascii="Times New Roman" w:hAnsi="Times New Roman"/>
          <w:sz w:val="20"/>
          <w:u w:val="single"/>
        </w:rPr>
        <w:t>Article VI</w:t>
      </w:r>
      <w:r>
        <w:rPr>
          <w:rFonts w:ascii="Times New Roman" w:hAnsi="Times New Roman"/>
          <w:sz w:val="20"/>
        </w:rPr>
        <w:t xml:space="preserve"> or </w:t>
      </w:r>
      <w:r>
        <w:rPr>
          <w:rFonts w:ascii="Times New Roman" w:hAnsi="Times New Roman"/>
          <w:sz w:val="20"/>
          <w:u w:val="single"/>
        </w:rPr>
        <w:t>VII</w:t>
      </w:r>
      <w:r>
        <w:rPr>
          <w:rFonts w:ascii="Times New Roman" w:hAnsi="Times New Roman"/>
          <w:sz w:val="20"/>
        </w:rPr>
        <w:t xml:space="preserve"> shall constitute a Default or Event of Default if such Event of Default or breach of such representation or warranty in </w:t>
      </w:r>
      <w:r>
        <w:rPr>
          <w:rFonts w:ascii="Times New Roman" w:hAnsi="Times New Roman"/>
          <w:sz w:val="20"/>
          <w:u w:val="single"/>
        </w:rPr>
        <w:t>Article V</w:t>
      </w:r>
      <w:r>
        <w:rPr>
          <w:rFonts w:ascii="Times New Roman" w:hAnsi="Times New Roman"/>
          <w:sz w:val="20"/>
        </w:rPr>
        <w:t xml:space="preserve"> or such covenant in </w:t>
      </w:r>
      <w:r>
        <w:rPr>
          <w:rFonts w:ascii="Times New Roman" w:hAnsi="Times New Roman"/>
          <w:sz w:val="20"/>
          <w:u w:val="single"/>
        </w:rPr>
        <w:t>Article VI</w:t>
      </w:r>
      <w:r>
        <w:rPr>
          <w:rFonts w:ascii="Times New Roman" w:hAnsi="Times New Roman"/>
          <w:sz w:val="20"/>
        </w:rPr>
        <w:t xml:space="preserve"> or </w:t>
      </w:r>
      <w:r>
        <w:rPr>
          <w:rFonts w:ascii="Times New Roman" w:hAnsi="Times New Roman"/>
          <w:sz w:val="20"/>
          <w:u w:val="single"/>
        </w:rPr>
        <w:t>VII</w:t>
      </w:r>
      <w:r>
        <w:rPr>
          <w:rFonts w:ascii="Times New Roman" w:hAnsi="Times New Roman"/>
          <w:sz w:val="20"/>
        </w:rPr>
        <w:t xml:space="preserve"> would not have occurred but for a fluctuation (or other adverse change) in Exchange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Agreement, the words “exists,” “is continuing” or similar expressions with respect thereto shall mean (x) with respect to a Default, that the Default has not yet been cured in accordance with this </w:t>
      </w:r>
      <w:r>
        <w:rPr>
          <w:rFonts w:ascii="Times New Roman" w:hAnsi="Times New Roman"/>
          <w:sz w:val="20"/>
          <w:u w:val="single"/>
        </w:rPr>
        <w:t>Section 9.01</w:t>
      </w:r>
      <w:r>
        <w:rPr>
          <w:rFonts w:ascii="Times New Roman" w:hAnsi="Times New Roman"/>
          <w:sz w:val="20"/>
        </w:rPr>
        <w:t xml:space="preserve"> or waived by the Lenders in accordance with </w:t>
      </w:r>
      <w:r>
        <w:rPr>
          <w:rFonts w:ascii="Times New Roman" w:hAnsi="Times New Roman"/>
          <w:sz w:val="20"/>
          <w:u w:val="single"/>
        </w:rPr>
        <w:t>Section 11.01</w:t>
      </w:r>
      <w:r>
        <w:rPr>
          <w:rFonts w:ascii="Times New Roman" w:hAnsi="Times New Roman"/>
          <w:sz w:val="20"/>
        </w:rPr>
        <w:t xml:space="preserve">, and (y) with respect to an Event of Default, that the Event of Default has not yet been waived by the Lenders in accordance with </w:t>
      </w:r>
      <w:r>
        <w:rPr>
          <w:rFonts w:ascii="Times New Roman" w:hAnsi="Times New Roman"/>
          <w:sz w:val="20"/>
          <w:u w:val="single"/>
        </w:rPr>
        <w:t>Section 11.01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w:t>
      </w:r>
      <w:r>
        <w:rPr>
          <w:rFonts w:ascii="Times New Roman" w:hAnsi="Times New Roman"/>
          <w:b/>
          <w:sz w:val="20"/>
          <w:u w:val="single"/>
        </w:rPr>
        <w:t>Remedies upon 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Except as otherwise provided in </w:t>
      </w:r>
      <w:r>
        <w:rPr>
          <w:rFonts w:ascii="Times New Roman" w:hAnsi="Times New Roman"/>
          <w:sz w:val="20"/>
          <w:u w:val="single"/>
        </w:rPr>
        <w:t>Section 9.02(b)</w:t>
      </w:r>
      <w:r>
        <w:rPr>
          <w:rFonts w:ascii="Times New Roman" w:hAnsi="Times New Roman"/>
          <w:sz w:val="20"/>
        </w:rPr>
        <w:t xml:space="preserve"> below, if any Event of Default occurs and is continuing, the Administrative Agent may, and shall at the request of the Required Lenders, take any or all of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(i) declare the Commitments of each Lender to be terminated, whereupon such Commitments and obligation shall be terminated; and </w:t>
      </w:r>
    </w:p>
    <w:p>
      <w:pPr>
        <w:pStyle w:val="TextBody"/>
        <w:bidi w:val="0"/>
        <w:spacing w:before="120" w:after="0"/>
        <w:jc w:val="left"/>
        <w:rPr>
          <w:rFonts w:ascii="Times New Roman" w:hAnsi="Times New Roman"/>
          <w:sz w:val="20"/>
        </w:rPr>
      </w:pPr>
      <w:r>
        <w:rPr>
          <w:rFonts w:ascii="Times New Roman" w:hAnsi="Times New Roman"/>
          <w:sz w:val="20"/>
        </w:rPr>
        <w:t xml:space="preserve">(ii) declare the unpaid principal amount of all outstanding Loans, all interest and premium accrued and unpaid thereon, and all other amounts owing or payable hereunder or under any other Loan Document to be immediately due and payable, without presentment, demand, protest or other notice of any kind, all of which are hereby expressly waived by the Borrower and each Guarantor; and </w:t>
      </w:r>
    </w:p>
    <w:p>
      <w:pPr>
        <w:pStyle w:val="TextBody"/>
        <w:bidi w:val="0"/>
        <w:spacing w:before="120" w:after="0"/>
        <w:jc w:val="left"/>
        <w:rPr>
          <w:rFonts w:ascii="Times New Roman" w:hAnsi="Times New Roman"/>
          <w:sz w:val="20"/>
        </w:rPr>
      </w:pPr>
      <w:r>
        <w:rPr>
          <w:rFonts w:ascii="Times New Roman" w:hAnsi="Times New Roman"/>
          <w:sz w:val="20"/>
        </w:rPr>
        <w:t xml:space="preserve">(iii) exercise on behalf of itself and the Lenders all rights and remedies available to it and the Lenders under the Loan Documents and/or under applicable Law;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upon the occurrence of an actual or deemed entry of an order for relief with respect to any Loan Party under any Debtor Relief Law, the Commitments of each Lender shall automatically terminate, the unpaid principal amount of all outstanding Loans and all interest and other amounts as aforesaid shall automatically become due and payable, in each case without further act of the Administrative Agent or any Lender.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Limitations on Remedies</w:t>
      </w:r>
      <w:r>
        <w:rPr>
          <w:rFonts w:ascii="Times New Roman" w:hAnsi="Times New Roman"/>
          <w:sz w:val="20"/>
        </w:rPr>
        <w:t xml:space="preserve">. Notwithstanding anything to the contrary in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Net Short Representations</w:t>
      </w:r>
      <w:r>
        <w:rPr>
          <w:rFonts w:ascii="Times New Roman" w:hAnsi="Times New Roman"/>
          <w:sz w:val="20"/>
        </w:rPr>
        <w:t xml:space="preserve">. Any notice of Default, Event of Default or acceleration provided to the Borrower by the Administrative Agent on behalf of one or more Lenders that have expressly requested that such notice be given to the Borrower must be accompanied by a written Net Short Representation from any such Lender (other than an Unrestricted Lender) delivered to the Borrower (with a copy to the Administrative Agent); </w:t>
      </w:r>
      <w:r>
        <w:rPr>
          <w:rFonts w:ascii="Times New Roman" w:hAnsi="Times New Roman"/>
          <w:i/>
          <w:sz w:val="20"/>
        </w:rPr>
        <w:t xml:space="preserve">provided </w:t>
      </w:r>
      <w:r>
        <w:rPr>
          <w:rFonts w:ascii="Times New Roman" w:hAnsi="Times New Roman"/>
          <w:sz w:val="20"/>
        </w:rPr>
        <w:t xml:space="preserve">that (A) in the absence of any such written Net Short Representation, each such Lender shall be deemed to have represented and warranted to the Borrower and the Administrative Agent that it is not a Net Short Lender (it being understood and agreed that the Borrower and the Administrative Agent shall be entitled to rely conclusively on each such representation and deemed representation (including, with respect to the Administrative Agent, as provided in </w:t>
      </w:r>
      <w:r>
        <w:rPr>
          <w:rFonts w:ascii="Times New Roman" w:hAnsi="Times New Roman"/>
          <w:sz w:val="20"/>
          <w:u w:val="single"/>
        </w:rPr>
        <w:t>Section 11.28(f)(i)</w:t>
      </w:r>
      <w:r>
        <w:rPr>
          <w:rFonts w:ascii="Times New Roman" w:hAnsi="Times New Roman"/>
          <w:sz w:val="20"/>
        </w:rPr>
        <w:t xml:space="preserve">)) and (B) no Net Short Representation shall be required to be delivered during the pendency of a Default or Event of Default caused by a bankruptcy or similar insolvency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w:t>
      </w:r>
      <w:r>
        <w:rPr>
          <w:rFonts w:ascii="Times New Roman" w:hAnsi="Times New Roman"/>
          <w:b/>
          <w:sz w:val="20"/>
          <w:u w:val="single"/>
        </w:rPr>
        <w:t>Application of Funds</w:t>
      </w:r>
      <w:r>
        <w:rPr>
          <w:rFonts w:ascii="Times New Roman" w:hAnsi="Times New Roman"/>
          <w:sz w:val="20"/>
        </w:rPr>
        <w:t xml:space="preserve">. After the exercise of remedies provided for in </w:t>
      </w:r>
      <w:r>
        <w:rPr>
          <w:rFonts w:ascii="Times New Roman" w:hAnsi="Times New Roman"/>
          <w:sz w:val="20"/>
          <w:u w:val="single"/>
        </w:rPr>
        <w:t>Section 9.02</w:t>
      </w:r>
      <w:r>
        <w:rPr>
          <w:rFonts w:ascii="Times New Roman" w:hAnsi="Times New Roman"/>
          <w:sz w:val="20"/>
        </w:rPr>
        <w:t xml:space="preserve"> (or after the Loans have automatically become immediately due and payable as set forth in the proviso to </w:t>
      </w:r>
      <w:r>
        <w:rPr>
          <w:rFonts w:ascii="Times New Roman" w:hAnsi="Times New Roman"/>
          <w:sz w:val="20"/>
          <w:u w:val="single"/>
        </w:rPr>
        <w:t>Section 9.02(a)</w:t>
      </w:r>
      <w:r>
        <w:rPr>
          <w:rFonts w:ascii="Times New Roman" w:hAnsi="Times New Roman"/>
          <w:sz w:val="20"/>
        </w:rPr>
        <w:t>), all amounts received on account of the Obligations (and proceeds of Collateral), all payments or distributions of any kind or nature and all adequate protection payments or plan distributions in any insolvency or similar proceeding (in each case, whether received from any Loan Party, in connection with an exercise of remedies, a credit bid or otherwise) shall, subject to the Senior Lien Intercreditor Agreement and any other applicable Intercreditor Agreement, be applied by the Administrative Agent in the following order (the “</w:t>
      </w:r>
      <w:r>
        <w:rPr>
          <w:rFonts w:ascii="Times New Roman" w:hAnsi="Times New Roman"/>
          <w:b/>
          <w:sz w:val="20"/>
        </w:rPr>
        <w:t>Priority Waterfall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payment of that portion of the Obligations constituting fees, indemnities, expenses and other amounts (other than principal and interest, but including Attorney Costs payable under </w:t>
      </w:r>
      <w:r>
        <w:rPr>
          <w:rFonts w:ascii="Times New Roman" w:hAnsi="Times New Roman"/>
          <w:sz w:val="20"/>
          <w:u w:val="single"/>
        </w:rPr>
        <w:t>Section 11.04</w:t>
      </w:r>
      <w:r>
        <w:rPr>
          <w:rFonts w:ascii="Times New Roman" w:hAnsi="Times New Roman"/>
          <w:sz w:val="20"/>
        </w:rPr>
        <w:t xml:space="preserve"> and amounts payable under </w:t>
      </w:r>
      <w:r>
        <w:rPr>
          <w:rFonts w:ascii="Times New Roman" w:hAnsi="Times New Roman"/>
          <w:sz w:val="20"/>
          <w:u w:val="single"/>
        </w:rPr>
        <w:t>Article III</w:t>
      </w:r>
      <w:r>
        <w:rPr>
          <w:rFonts w:ascii="Times New Roman" w:hAnsi="Times New Roman"/>
          <w:sz w:val="20"/>
        </w:rPr>
        <w:t xml:space="preserve">) payable to the Administrative Agent and the Collateral Trustee in their capacities as such;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payment in full of Unfunded Advances;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payment of that portion of the Obligations constituting fees, indemnities and other amounts (other than principal and interest) payable to the Lenders (including Attorney Costs payable under </w:t>
      </w:r>
      <w:r>
        <w:rPr>
          <w:rFonts w:ascii="Times New Roman" w:hAnsi="Times New Roman"/>
          <w:sz w:val="20"/>
          <w:u w:val="single"/>
        </w:rPr>
        <w:t>Section 11.04</w:t>
      </w:r>
      <w:r>
        <w:rPr>
          <w:rFonts w:ascii="Times New Roman" w:hAnsi="Times New Roman"/>
          <w:sz w:val="20"/>
        </w:rPr>
        <w:t xml:space="preserve"> and amounts payable under </w:t>
      </w:r>
      <w:r>
        <w:rPr>
          <w:rFonts w:ascii="Times New Roman" w:hAnsi="Times New Roman"/>
          <w:sz w:val="20"/>
          <w:u w:val="single"/>
        </w:rPr>
        <w:t>Article III</w:t>
      </w:r>
      <w:r>
        <w:rPr>
          <w:rFonts w:ascii="Times New Roman" w:hAnsi="Times New Roman"/>
          <w:sz w:val="20"/>
        </w:rPr>
        <w:t xml:space="preserve">) ratably among them in proportion to the amounts described in this clause Third payable to them;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to payment of that portion of the Obligations constituting accrued and unpaid interest on the Loans, ratably among the Lenders in proportion to the respective amounts described in this clause Fourth held by them; </w:t>
      </w:r>
    </w:p>
    <w:p>
      <w:pPr>
        <w:pStyle w:val="TextBody"/>
        <w:bidi w:val="0"/>
        <w:spacing w:before="120" w:after="0"/>
        <w:jc w:val="left"/>
        <w:rPr>
          <w:rFonts w:ascii="Times New Roman" w:hAnsi="Times New Roman"/>
          <w:sz w:val="20"/>
        </w:rPr>
      </w:pPr>
      <w:r>
        <w:rPr>
          <w:rFonts w:ascii="Times New Roman" w:hAnsi="Times New Roman"/>
          <w:i/>
          <w:sz w:val="20"/>
        </w:rPr>
        <w:t>Fifth</w:t>
      </w:r>
      <w:r>
        <w:rPr>
          <w:rFonts w:ascii="Times New Roman" w:hAnsi="Times New Roman"/>
          <w:sz w:val="20"/>
        </w:rPr>
        <w:t xml:space="preserve">, to payment of that portion of the Obligations constituting unpaid principal of the Loans; </w:t>
      </w:r>
    </w:p>
    <w:p>
      <w:pPr>
        <w:pStyle w:val="TextBody"/>
        <w:bidi w:val="0"/>
        <w:spacing w:before="120" w:after="0"/>
        <w:jc w:val="left"/>
        <w:rPr>
          <w:rFonts w:ascii="Times New Roman" w:hAnsi="Times New Roman"/>
          <w:sz w:val="20"/>
        </w:rPr>
      </w:pPr>
      <w:r>
        <w:rPr>
          <w:rFonts w:ascii="Times New Roman" w:hAnsi="Times New Roman"/>
          <w:i/>
          <w:sz w:val="20"/>
        </w:rPr>
        <w:t>Sixth</w:t>
      </w:r>
      <w:r>
        <w:rPr>
          <w:rFonts w:ascii="Times New Roman" w:hAnsi="Times New Roman"/>
          <w:sz w:val="20"/>
        </w:rPr>
        <w:t xml:space="preserve">, to the payment of all other Obligations that are due and payable to the Lenders on such date, ratably based upon the respective aggregate amounts of all such Obligations owing to the Lenders on such date; </w:t>
      </w:r>
    </w:p>
    <w:p>
      <w:pPr>
        <w:pStyle w:val="TextBody"/>
        <w:bidi w:val="0"/>
        <w:spacing w:before="120" w:after="0"/>
        <w:jc w:val="left"/>
        <w:rPr>
          <w:rFonts w:ascii="Times New Roman" w:hAnsi="Times New Roman"/>
          <w:sz w:val="20"/>
        </w:rPr>
      </w:pPr>
      <w:r>
        <w:rPr>
          <w:rFonts w:ascii="Times New Roman" w:hAnsi="Times New Roman"/>
          <w:i/>
          <w:sz w:val="20"/>
        </w:rPr>
        <w:t>Seventh</w:t>
      </w:r>
      <w:r>
        <w:rPr>
          <w:rFonts w:ascii="Times New Roman" w:hAnsi="Times New Roman"/>
          <w:sz w:val="20"/>
        </w:rPr>
        <w:t xml:space="preserve">, to the payment of all other Obligations that are due and payable to the Administrative Agent and the other Secured Parties on such date, ratably based upon the respective aggregate amounts of all such Obligations owing to the Administrative Agent and other Secured Parties on such date; and </w:t>
      </w:r>
    </w:p>
    <w:p>
      <w:pPr>
        <w:pStyle w:val="TextBody"/>
        <w:bidi w:val="0"/>
        <w:spacing w:before="120" w:after="0"/>
        <w:jc w:val="left"/>
        <w:rPr>
          <w:rFonts w:ascii="Times New Roman" w:hAnsi="Times New Roman"/>
          <w:sz w:val="20"/>
        </w:rPr>
      </w:pPr>
      <w:r>
        <w:rPr>
          <w:rFonts w:ascii="Times New Roman" w:hAnsi="Times New Roman"/>
          <w:i/>
          <w:sz w:val="20"/>
        </w:rPr>
        <w:t>Last</w:t>
      </w:r>
      <w:r>
        <w:rPr>
          <w:rFonts w:ascii="Times New Roman" w:hAnsi="Times New Roman"/>
          <w:sz w:val="20"/>
        </w:rPr>
        <w:t xml:space="preserve">, the balance, if any, after all of the Obligations have been paid in full, to the Borrower or as otherwise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ADMINISTRATIVE AGENT AND OTHER AGENTS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w:t>
      </w:r>
      <w:r>
        <w:rPr>
          <w:rFonts w:ascii="Times New Roman" w:hAnsi="Times New Roman"/>
          <w:b/>
          <w:sz w:val="20"/>
          <w:u w:val="single"/>
        </w:rPr>
        <w:t>Appointment and Authority of the Administrative Agent and Collateral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hereby irrevocably appoints Stonebriar Commercial Finance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hAnsi="Times New Roman"/>
          <w:sz w:val="20"/>
          <w:u w:val="single"/>
        </w:rPr>
        <w:t>Article X</w:t>
      </w:r>
      <w:r>
        <w:rPr>
          <w:rFonts w:ascii="Times New Roman" w:hAnsi="Times New Roman"/>
          <w:sz w:val="20"/>
        </w:rPr>
        <w:t xml:space="preserve"> (other than </w:t>
      </w:r>
      <w:r>
        <w:rPr>
          <w:rFonts w:ascii="Times New Roman" w:hAnsi="Times New Roman"/>
          <w:sz w:val="20"/>
          <w:u w:val="single"/>
        </w:rPr>
        <w:t>Sections 10.09</w:t>
      </w:r>
      <w:r>
        <w:rPr>
          <w:rFonts w:ascii="Times New Roman" w:hAnsi="Times New Roman"/>
          <w:sz w:val="20"/>
        </w:rPr>
        <w:t xml:space="preserve"> and </w:t>
      </w:r>
      <w:r>
        <w:rPr>
          <w:rFonts w:ascii="Times New Roman" w:hAnsi="Times New Roman"/>
          <w:sz w:val="20"/>
          <w:u w:val="single"/>
        </w:rPr>
        <w:t>10.11</w:t>
      </w:r>
      <w:r>
        <w:rPr>
          <w:rFonts w:ascii="Times New Roman" w:hAnsi="Times New Roman"/>
          <w:sz w:val="20"/>
        </w:rPr>
        <w:t xml:space="preserve">) are solely for the benefit of the Administrative Agent and the Lenders, and neither the Borrower nor any Loan Party shall have any rights as a third party beneficiary of any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(b) Each Lender hereby irrevocably appoints Wilmington Trust, National Association to act on its behalf as the Collateral Trustee hereunder and under the other Loan Documents and authorizes the Collateral Trustee to take such actions on its behalf and to exercise such powers as are delegated to the Collateral Trustee by the terms hereof or thereof, together with such actions and powers as are reasonably incidental thereto. Wilmington Trust, National Association shall also irrevocably act as the “collateral agent” or “collateral trustee” and “security trustee” under the Loan Documents, and each of the Lenders hereby irrevocably appoints and authorizes the Collateral Trustee to act as the agent of (and to hold any security interest created by the Collateral Documents for and on behalf of or in trust for) such Lender for purposes of acquiring, holding and enforcing any and all Liens on Collateral granted by any of the Loan Parties to secure any of the Obligations, together with such powers and discretion as are reasonably incidental thereto. In this connection, the Collateral Trustee, as “collateral agent” or “collateral trustee” and “security trustee” (and any co-agents, sub-agents and attorneys-in-fact appointed by the Administrative Agent pursuant to </w:t>
      </w:r>
      <w:r>
        <w:rPr>
          <w:rFonts w:ascii="Times New Roman" w:hAnsi="Times New Roman"/>
          <w:sz w:val="20"/>
          <w:u w:val="single"/>
        </w:rPr>
        <w:t>Sections 10.05</w:t>
      </w:r>
      <w:r>
        <w:rPr>
          <w:rFonts w:ascii="Times New Roman" w:hAnsi="Times New Roman"/>
          <w:sz w:val="20"/>
        </w:rPr>
        <w:t xml:space="preserve"> and </w:t>
      </w:r>
      <w:r>
        <w:rPr>
          <w:rFonts w:ascii="Times New Roman" w:hAnsi="Times New Roman"/>
          <w:sz w:val="20"/>
          <w:u w:val="single"/>
        </w:rPr>
        <w:t>10.12</w:t>
      </w:r>
      <w:r>
        <w:rPr>
          <w:rFonts w:ascii="Times New Roman" w:hAnsi="Times New Roman"/>
          <w:sz w:val="20"/>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sz w:val="20"/>
          <w:u w:val="single"/>
        </w:rPr>
        <w:t>Article X</w:t>
      </w:r>
      <w:r>
        <w:rPr>
          <w:rFonts w:ascii="Times New Roman" w:hAnsi="Times New Roman"/>
          <w:sz w:val="20"/>
        </w:rPr>
        <w:t xml:space="preserve"> (including </w:t>
      </w:r>
      <w:r>
        <w:rPr>
          <w:rFonts w:ascii="Times New Roman" w:hAnsi="Times New Roman"/>
          <w:sz w:val="20"/>
          <w:u w:val="single"/>
        </w:rPr>
        <w:t>Section 10.07</w:t>
      </w:r>
      <w:r>
        <w:rPr>
          <w:rFonts w:ascii="Times New Roman" w:hAnsi="Times New Roman"/>
          <w:sz w:val="20"/>
        </w:rPr>
        <w:t xml:space="preserve">, as though such co-agents, sub-agents and attorneys-in-fact were the “collateral agent” or “collateral trustee” and “security trustee” under the Loan Documents) as if set forth in full herein with respect thereto. Without limiting the generality of the foregoing, the Lenders hereby expressly authorize the Collateral Trustee to execute any and all documents (including releases) with respect to the Collateral and the rights of the Secured Parties with respect thereto (including the Senior Lien Intercreditor Agreement), as contemplated by and in accordance with the provisions of this Agreement and the Collateral Documents and acknowledge and agree that any such action by any Agent shall bind the Lenders.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10.02</w:t>
      </w:r>
      <w:r>
        <w:rPr>
          <w:rFonts w:ascii="Times New Roman" w:hAnsi="Times New Roman"/>
          <w:sz w:val="20"/>
        </w:rPr>
        <w:t xml:space="preserve"> </w:t>
      </w:r>
      <w:r>
        <w:rPr>
          <w:rFonts w:ascii="Times New Roman" w:hAnsi="Times New Roman"/>
          <w:b/>
          <w:sz w:val="20"/>
          <w:u w:val="single"/>
        </w:rPr>
        <w:t>Rights as a Lender</w:t>
      </w:r>
      <w:r>
        <w:rPr>
          <w:rFonts w:ascii="Times New Roman" w:hAnsi="Times New Roman"/>
          <w:sz w:val="20"/>
        </w:rPr>
        <w:t xml:space="preserve">. Any Lender that is also serving as an Agent (including as Administrative Agent) hereunder shall have the same rights and powers (and no additional duties or obligations) in its capacity as a Lender as any other Lender and may exercise the same as though it were not an Agent, and the term “Lender” or “Lenders” shall, unless otherwise expressly indicated or unless the context otherwise requires, include each Lender (if any) serving as an Agent hereunder in its individual capacity. Any Person serving as an Agent and its Affiliates may accept deposits from, lend money to, own securities of, act as the financial advisor or in any other advisory capacity for and generally engage in any kind of banking, trust or other business with the Borrower or any Subsidiary or other Affiliate thereof as if such Person were not an Agent hereunder and without any duty to account therefor to the Lenders, and may accept fees and other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the Borrower for services in connection herewith and otherwise without having to account for the same to the Lenders. The Lenders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10.03</w:t>
      </w:r>
      <w:r>
        <w:rPr>
          <w:rFonts w:ascii="Times New Roman" w:hAnsi="Times New Roman"/>
          <w:sz w:val="20"/>
        </w:rPr>
        <w:t xml:space="preserve"> </w:t>
      </w:r>
      <w:r>
        <w:rPr>
          <w:rFonts w:ascii="Times New Roman" w:hAnsi="Times New Roman"/>
          <w:b/>
          <w:sz w:val="20"/>
          <w:u w:val="single"/>
        </w:rPr>
        <w:t>Exculpatory Provisions</w:t>
      </w:r>
      <w:r>
        <w:rPr>
          <w:rFonts w:ascii="Times New Roman" w:hAnsi="Times New Roman"/>
          <w:sz w:val="20"/>
        </w:rPr>
        <w:t xml:space="preserve">. None of the Administrative Agent, the Collateral Trustee, any of the other Agents, any of their respective Affiliates, nor any of the officers, partners, directors, employees or agents of the foregoing shall have any duties or obligations except those expressly set forth in the Loan Documents. Without limiting the generality of the foregoing or </w:t>
      </w:r>
      <w:r>
        <w:rPr>
          <w:rFonts w:ascii="Times New Roman" w:hAnsi="Times New Roman"/>
          <w:sz w:val="20"/>
          <w:u w:val="single"/>
        </w:rPr>
        <w:t>Section 10.11</w:t>
      </w:r>
      <w:r>
        <w:rPr>
          <w:rFonts w:ascii="Times New Roman" w:hAnsi="Times New Roman"/>
          <w:sz w:val="20"/>
        </w:rPr>
        <w:t xml:space="preserve">, an Agent or any of their respective officers, partners, directors, employees or agents: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 </w:t>
      </w:r>
    </w:p>
    <w:p>
      <w:pPr>
        <w:pStyle w:val="TextBody"/>
        <w:bidi w:val="0"/>
        <w:spacing w:before="12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hAnsi="Times New Roman"/>
          <w:i/>
          <w:sz w:val="20"/>
        </w:rPr>
        <w:t xml:space="preserve">provided </w:t>
      </w:r>
      <w:r>
        <w:rPr>
          <w:rFonts w:ascii="Times New Roman" w:hAnsi="Times New Roman"/>
          <w:sz w:val="20"/>
        </w:rPr>
        <w:t xml:space="preserve">that, notwithstanding any direction by the Required Lenders to the contrary, no Agent shall be required to take any action that, in its opinion or the opinion of its counsel, may expose such Agent to liability, risk its own funds or incur any financial liability or that is contrary to any Loan Document or applicable Law,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 </w:t>
      </w:r>
    </w:p>
    <w:p>
      <w:pPr>
        <w:pStyle w:val="TextBody"/>
        <w:bidi w:val="0"/>
        <w:spacing w:before="120" w:after="0"/>
        <w:jc w:val="left"/>
        <w:rPr>
          <w:rFonts w:ascii="Times New Roman" w:hAnsi="Times New Roman"/>
          <w:sz w:val="20"/>
        </w:rPr>
      </w:pPr>
      <w:r>
        <w:rPr>
          <w:rFonts w:ascii="Times New Roman" w:hAnsi="Times New Roman"/>
          <w:sz w:val="20"/>
        </w:rPr>
        <w:t xml:space="preserve">(c) shall not, except as expressly set forth herein and in the other Loan Documents, have any duty to disclose, and shall not be liable for the failure to disclose, any information relating to the Borrower or any of their Affiliates that is communicated to or obtained by any Person serving as an Agent or any of its Affiliates in any capacity; </w:t>
      </w:r>
    </w:p>
    <w:p>
      <w:pPr>
        <w:pStyle w:val="TextBody"/>
        <w:bidi w:val="0"/>
        <w:spacing w:before="120" w:after="0"/>
        <w:jc w:val="left"/>
        <w:rPr>
          <w:rFonts w:ascii="Times New Roman" w:hAnsi="Times New Roman"/>
          <w:sz w:val="20"/>
        </w:rPr>
      </w:pPr>
      <w:r>
        <w:rPr>
          <w:rFonts w:ascii="Times New Roman" w:hAnsi="Times New Roman"/>
          <w:sz w:val="20"/>
        </w:rPr>
        <w:t xml:space="preserve">(d) shall have no responsibility or liability for any loss which may result from any investment or sale of investment made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shall have no obligation to file UCC financing statements or monitor security interests and the perfection thereof; and </w:t>
      </w:r>
    </w:p>
    <w:p>
      <w:pPr>
        <w:pStyle w:val="TextBody"/>
        <w:bidi w:val="0"/>
        <w:spacing w:before="120" w:after="0"/>
        <w:jc w:val="left"/>
        <w:rPr>
          <w:rFonts w:ascii="Times New Roman" w:hAnsi="Times New Roman"/>
          <w:sz w:val="20"/>
        </w:rPr>
      </w:pPr>
      <w:r>
        <w:rPr>
          <w:rFonts w:ascii="Times New Roman" w:hAnsi="Times New Roman"/>
          <w:sz w:val="20"/>
        </w:rPr>
        <w:t xml:space="preserve">(f) shall not be liable to the Lenders for any action taken or omitted to be taken under or in connection with any of the Loan Documents except to the extent caused by such Agent’s gross negligence or willful misconduct, as determined by a final, non-appealable judgment of a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Agents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w:t>
      </w:r>
      <w:r>
        <w:rPr>
          <w:rFonts w:ascii="Times New Roman" w:hAnsi="Times New Roman"/>
          <w:sz w:val="20"/>
          <w:u w:val="single"/>
        </w:rPr>
        <w:t>Sections 9.02</w:t>
      </w:r>
      <w:r>
        <w:rPr>
          <w:rFonts w:ascii="Times New Roman" w:hAnsi="Times New Roman"/>
          <w:sz w:val="20"/>
        </w:rPr>
        <w:t xml:space="preserve"> and </w:t>
      </w:r>
      <w:r>
        <w:rPr>
          <w:rFonts w:ascii="Times New Roman" w:hAnsi="Times New Roman"/>
          <w:sz w:val="20"/>
          <w:u w:val="single"/>
        </w:rPr>
        <w:t>11.01</w:t>
      </w:r>
      <w:r>
        <w:rPr>
          <w:rFonts w:ascii="Times New Roman" w:hAnsi="Times New Roman"/>
          <w:sz w:val="20"/>
        </w:rPr>
        <w:t xml:space="preserve">) or (ii) in the absence of its own gross negligence or willful misconduct as determined by a final, non-appealable judgment of a court of competent jurisdiction, in connection with its duties expressly set forth herein. The Agents shall be deemed not to have knowledge of any Default or Event of Default unless and until notice describing such Default or Event of Default is given to the Agents by the Borrower or the Required Lenders in writing. The permissive rights of the Agents set forth in this Agreement shall not be construed as a duty or obligation of the Agents. </w:t>
      </w:r>
    </w:p>
    <w:p>
      <w:pPr>
        <w:pStyle w:val="TextBody"/>
        <w:bidi w:val="0"/>
        <w:spacing w:before="240" w:after="0"/>
        <w:jc w:val="left"/>
        <w:rPr>
          <w:rFonts w:ascii="Times New Roman" w:hAnsi="Times New Roman"/>
          <w:sz w:val="20"/>
        </w:rPr>
      </w:pPr>
      <w:r>
        <w:rPr>
          <w:rFonts w:ascii="Times New Roman" w:hAnsi="Times New Roman"/>
          <w:sz w:val="20"/>
        </w:rPr>
        <w:t xml:space="preserve">No Agent-Related Person shall be responsible for or have any duty to ascertain or inquire into (i) any recital, statement, warranty or representation made in or in connection with any Loan Document, (ii) the contents of any certificate, report, statement or agreement or other document delivered hereunder or thereunder or in connection herewith or therewith or referred to or provided for in, or received by the Administrative Agent under or in connection with any Loan Document,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Agents, or to inspect the properties, books or records of any Loan Party or any Affiliate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10.04</w:t>
      </w:r>
      <w:r>
        <w:rPr>
          <w:rFonts w:ascii="Times New Roman" w:hAnsi="Times New Roman"/>
          <w:sz w:val="20"/>
        </w:rPr>
        <w:t xml:space="preserve"> </w:t>
      </w:r>
      <w:r>
        <w:rPr>
          <w:rFonts w:ascii="Times New Roman" w:hAnsi="Times New Roman"/>
          <w:b/>
          <w:sz w:val="20"/>
          <w:u w:val="single"/>
        </w:rPr>
        <w:t>Reliance by the Agents</w:t>
      </w:r>
      <w:r>
        <w:rPr>
          <w:rFonts w:ascii="Times New Roman" w:hAnsi="Times New Roman"/>
          <w:sz w:val="20"/>
        </w:rPr>
        <w:t xml:space="preserve">. The Agents shall be entitled to rely upon, and shall not incur any liability for relying upon, any notice, request, certificate, consent, statement, instrument, legal order,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each Agent may presume that such condition is satisfactory to such Lender unless the Agents shall have received notice to the contrary from such Lender prior to the making of such Loan. Each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Each Agent shall be fully justified in failing or refusing to take any action that is not required or explicitly approved by the Lenders under any Loan Document unless it shall first receive such advice or concurrence of the Required Lenders (or other requisite percentage of Lenders) as it deems appropriate and, if it so requests, it shall first be indemnified to its satisfaction by the Lenders against any and all liability and expense which may be incurred by it by reason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taking or continuing to take any such action. The Agents shall in all cases be fully protected in taking any action, or in refraining from taking any action, under any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Times New Roman" w:hAnsi="Times New Roman"/>
          <w:i/>
          <w:sz w:val="20"/>
        </w:rPr>
        <w:t xml:space="preserve">provided </w:t>
      </w:r>
      <w:r>
        <w:rPr>
          <w:rFonts w:ascii="Times New Roman" w:hAnsi="Times New Roman"/>
          <w:sz w:val="20"/>
        </w:rPr>
        <w:t xml:space="preserve">that the Agents shall not be required to take any action that, in their opinion or in the opinion of their counsel, may expose such Agent to liability or that is contrary to any Loan Document or applicable Law. Notwithstanding the foregoing, the Administrative Agent and the Collateral Trustee shall not act (or refrain from acting, as applicable) upon any direction from the Required Lenders (or other requisite percentage of Lenders) that would cause the Administrative Agent or the Collateral Trustee to be in breach of any express term or provision of this Agreement. The Required Lenders agree not to instruct the Administrative Agent or Collateral Trustee to take any action, or refrain from taking any action, that would, in each case, cause it to violate an express duty or obligation under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10.05</w:t>
      </w:r>
      <w:r>
        <w:rPr>
          <w:rFonts w:ascii="Times New Roman" w:hAnsi="Times New Roman"/>
          <w:sz w:val="20"/>
        </w:rPr>
        <w:t xml:space="preserve"> </w:t>
      </w:r>
      <w:r>
        <w:rPr>
          <w:rFonts w:ascii="Times New Roman" w:hAnsi="Times New Roman"/>
          <w:b/>
          <w:sz w:val="20"/>
          <w:u w:val="single"/>
        </w:rPr>
        <w:t>Delegation of Duties</w:t>
      </w:r>
      <w:r>
        <w:rPr>
          <w:rFonts w:ascii="Times New Roman" w:hAnsi="Times New Roman"/>
          <w:sz w:val="20"/>
        </w:rPr>
        <w:t xml:space="preserve">. Each Agent may perform any and all of its duties and exercise its rights and powers hereunder or under any other Loan Documents by or through any one or more sub agents appointed by such Agent. Each Agent and any such sub agent may perform any and all of its duties and exercise its rights and powers by or through their respective Agent-Related Persons. The exculpatory provisions of this </w:t>
      </w:r>
      <w:r>
        <w:rPr>
          <w:rFonts w:ascii="Times New Roman" w:hAnsi="Times New Roman"/>
          <w:sz w:val="20"/>
          <w:u w:val="single"/>
        </w:rPr>
        <w:t>Article X</w:t>
      </w:r>
      <w:r>
        <w:rPr>
          <w:rFonts w:ascii="Times New Roman" w:hAnsi="Times New Roman"/>
          <w:sz w:val="20"/>
        </w:rPr>
        <w:t xml:space="preserve"> shall apply to any such sub agent and to the Agent-Related Persons of the Agents and any such sub agent, and shall apply to their respective activities in connection with the syndication of the credit facilities provided for herein as well as activities as the Agents. Notwithstanding anything herein to the contrary, with respect to each sub agent appointed by an Agent, (i) such sub 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 agent, and (iii) such sub agent shall only have obligations to the Agent that appointed it as sub agent and not to any Loan Party, Lender or any other Person and no Loan Party, Lender or any other Person shall have any rights, directly or indirectly, as a third party beneficiary or otherwise, against such sub agent. Each Agent shall not be responsible for the negligence or misconduct of any subagents except to the extent that a court of competent jurisdiction determines in a final and non-appealable judgment that such Agent acted with gross negligence or willful misconduct in the selection of such sub agents.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w:t>
      </w:r>
      <w:r>
        <w:rPr>
          <w:rFonts w:ascii="Times New Roman" w:hAnsi="Times New Roman"/>
          <w:b/>
          <w:sz w:val="20"/>
          <w:u w:val="single"/>
        </w:rPr>
        <w:t>Non-Reliance on Agents and Other Lenders; Disclosure of Information by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 any other Lender or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w:t>
      </w:r>
    </w:p>
    <w:p>
      <w:pPr>
        <w:pStyle w:val="TextBody"/>
        <w:bidi w:val="0"/>
        <w:spacing w:before="120" w:after="0"/>
        <w:jc w:val="left"/>
        <w:rPr>
          <w:rFonts w:ascii="Times New Roman" w:hAnsi="Times New Roman"/>
          <w:sz w:val="20"/>
        </w:rPr>
      </w:pPr>
      <w:r>
        <w:rPr>
          <w:rFonts w:ascii="Times New Roman" w:hAnsi="Times New Roman"/>
          <w:sz w:val="20"/>
        </w:rPr>
        <w:t xml:space="preserve">(b) Each Lender, by delivering its signature page to this Agreement or an Assignment and Assumption and funding its Loans on the Closing Date, shall be deemed to have acknowledged receipt of, and consented to and approved, each Loan Document and each other document required to be approved by any Agent, Required Lenders or Lenders, as applicable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Each Lender acknowledges that certain Affiliates of the Loan Parties, including the Sponsors or entities controlled by the Sponsors, are Eligible Assignees hereunder and may purchase Loans hereunder from the Lenders from time to time, subject to the restrictions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10.07</w:t>
      </w:r>
      <w:r>
        <w:rPr>
          <w:rFonts w:ascii="Times New Roman" w:hAnsi="Times New Roman"/>
          <w:sz w:val="20"/>
        </w:rPr>
        <w:t xml:space="preserve"> </w:t>
      </w:r>
      <w:r>
        <w:rPr>
          <w:rFonts w:ascii="Times New Roman" w:hAnsi="Times New Roman"/>
          <w:b/>
          <w:sz w:val="20"/>
          <w:u w:val="single"/>
        </w:rPr>
        <w:t>Indemnification of Agents</w:t>
      </w:r>
      <w:r>
        <w:rPr>
          <w:rFonts w:ascii="Times New Roman" w:hAnsi="Times New Roman"/>
          <w:sz w:val="20"/>
        </w:rPr>
        <w:t xml:space="preserve">. Whether or not the transactions contemplated hereby are consummated, the Lenders shall indemnify upon demand each Agent and each other Agent-Related Person (solely to the extent any such Agent-Related Person was performing services on behalf of any Agent, as applicable) (to the extent not reimbursed by or on behalf of any Loan Party and without limiting the obligation of any Loan Party to do so), pro rata, and hold harmless the Administrative Agent, each Agent and each other Agent-Related Person (solely to the extent any such Agent-Related Person was performing services on behalf of any Agent, as applicable) from and against any and all Indemnified Liabilities incurred by it; </w:t>
      </w:r>
      <w:r>
        <w:rPr>
          <w:rFonts w:ascii="Times New Roman" w:hAnsi="Times New Roman"/>
          <w:i/>
          <w:sz w:val="20"/>
        </w:rPr>
        <w:t xml:space="preserve">provided </w:t>
      </w:r>
      <w:r>
        <w:rPr>
          <w:rFonts w:ascii="Times New Roman" w:hAnsi="Times New Roman"/>
          <w:sz w:val="20"/>
        </w:rPr>
        <w:t xml:space="preserve">that no Lender shall be liable for the payment to any Agent-Related Person of any portion of such Indemnified Liabilities resulting from such Agent-Related Person’s own gross negligence or willful misconduct, as determined by a final, non-appealable judgment of a court of competent jurisdiction; </w:t>
      </w:r>
      <w:r>
        <w:rPr>
          <w:rFonts w:ascii="Times New Roman" w:hAnsi="Times New Roman"/>
          <w:i/>
          <w:sz w:val="20"/>
        </w:rPr>
        <w:t xml:space="preserve">provided </w:t>
      </w:r>
      <w:r>
        <w:rPr>
          <w:rFonts w:ascii="Times New Roman" w:hAnsi="Times New Roman"/>
          <w:sz w:val="20"/>
        </w:rPr>
        <w:t xml:space="preserve">that, that no action taken in accordance with the terms of a Loan Document or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hAnsi="Times New Roman"/>
          <w:sz w:val="20"/>
          <w:u w:val="single"/>
        </w:rPr>
        <w:t>Section 10.07</w:t>
      </w:r>
      <w:r>
        <w:rPr>
          <w:rFonts w:ascii="Times New Roman" w:hAnsi="Times New Roman"/>
          <w:sz w:val="20"/>
        </w:rPr>
        <w:t xml:space="preserve">. If any indemnity furnished to any Agent for any purpose shall, in the opinion of such Agent be insufficient or become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Agent, as applicable, may call for additional indemnity and cease, or not commence, to do the acts indemnified against until such additional indemnity is furnished; </w:t>
      </w:r>
      <w:r>
        <w:rPr>
          <w:rFonts w:ascii="Times New Roman" w:hAnsi="Times New Roman"/>
          <w:i/>
          <w:sz w:val="20"/>
        </w:rPr>
        <w:t>provided</w:t>
      </w:r>
      <w:r>
        <w:rPr>
          <w:rFonts w:ascii="Times New Roman" w:hAnsi="Times New Roman"/>
          <w:sz w:val="20"/>
        </w:rPr>
        <w:t xml:space="preserve">, in no event shall this sentence require any Lender to indemnify any Agent against any Indemnified Liabilities in excess of such Lender’s pro rata share thereof; and </w:t>
      </w:r>
      <w:r>
        <w:rPr>
          <w:rFonts w:ascii="Times New Roman" w:hAnsi="Times New Roman"/>
          <w:i/>
          <w:sz w:val="20"/>
        </w:rPr>
        <w:t>provided further</w:t>
      </w:r>
      <w:r>
        <w:rPr>
          <w:rFonts w:ascii="Times New Roman" w:hAnsi="Times New Roman"/>
          <w:sz w:val="20"/>
        </w:rPr>
        <w:t xml:space="preserve">, this sentence shall not be deemed to require any Lender to indemnify any Agent against any Indemnified Liabilities described in the first proviso in the immediately preceding sentence. In the case of any investigation, litigation or proceeding giving rise to any Indemnified Liabilities, this </w:t>
      </w:r>
      <w:r>
        <w:rPr>
          <w:rFonts w:ascii="Times New Roman" w:hAnsi="Times New Roman"/>
          <w:sz w:val="20"/>
          <w:u w:val="single"/>
        </w:rPr>
        <w:t>Section 10.07</w:t>
      </w:r>
      <w:r>
        <w:rPr>
          <w:rFonts w:ascii="Times New Roman" w:hAnsi="Times New Roman"/>
          <w:sz w:val="20"/>
        </w:rPr>
        <w:t xml:space="preserve"> applies whether any such investigation, litigation or proceeding is brought by any Lender or any other Person. Without limitation of the foregoing, each Lender shall reimburse each Agent, as applicable,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 is not reimbursed for such expenses by or on behalf of the Borrower; </w:t>
      </w:r>
      <w:r>
        <w:rPr>
          <w:rFonts w:ascii="Times New Roman" w:hAnsi="Times New Roman"/>
          <w:i/>
          <w:sz w:val="20"/>
        </w:rPr>
        <w:t xml:space="preserve">provided </w:t>
      </w:r>
      <w:r>
        <w:rPr>
          <w:rFonts w:ascii="Times New Roman" w:hAnsi="Times New Roman"/>
          <w:sz w:val="20"/>
        </w:rPr>
        <w:t xml:space="preserve">that such reimbursement by the Lenders shall not affect the Borrower’s continuing reimbursement obligations with respect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failure of any Lender to indemnify or reimburse such Agent shall not relieve any other Lender of its obligation in respect thereof. The undertaking in this </w:t>
      </w:r>
      <w:r>
        <w:rPr>
          <w:rFonts w:ascii="Times New Roman" w:hAnsi="Times New Roman"/>
          <w:sz w:val="20"/>
          <w:u w:val="single"/>
        </w:rPr>
        <w:t>Section 10.07</w:t>
      </w:r>
      <w:r>
        <w:rPr>
          <w:rFonts w:ascii="Times New Roman" w:hAnsi="Times New Roman"/>
          <w:sz w:val="20"/>
        </w:rPr>
        <w:t xml:space="preserve"> shall survive termination of the Aggregate Commitments, the payment of all other Obligations and the resignation of the Administrative Agent, Collateral Trustee or other Agents.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10.08</w:t>
      </w:r>
      <w:r>
        <w:rPr>
          <w:rFonts w:ascii="Times New Roman" w:hAnsi="Times New Roman"/>
          <w:sz w:val="20"/>
        </w:rPr>
        <w:t xml:space="preserve"> </w:t>
      </w:r>
      <w:r>
        <w:rPr>
          <w:rFonts w:ascii="Times New Roman" w:hAnsi="Times New Roman"/>
          <w:b/>
          <w:sz w:val="20"/>
          <w:u w:val="single"/>
        </w:rPr>
        <w:t>No Other Duties; Other Agents, Etc.</w:t>
      </w:r>
      <w:r>
        <w:rPr>
          <w:rFonts w:ascii="Times New Roman" w:hAnsi="Times New Roman"/>
          <w:sz w:val="20"/>
        </w:rPr>
        <w:t xml:space="preserve">.Each Agent hereby agrees to act in its capacity as such upon the express conditions contained herein and the other Loan Documents, as applicable. Anything herein to the contrary notwithstanding, none of the Agents listed on the cover page hereof (or any of their respective Affiliates) shall have any powers, duties or responsibilities under this Agreement or any of the other Loan Documents, except (x) in its capacity, as applicable, as the Administrative Agent, the Collateral Trustee or a Lender hereunder and (y) as provided in </w:t>
      </w:r>
      <w:r>
        <w:rPr>
          <w:rFonts w:ascii="Times New Roman" w:hAnsi="Times New Roman"/>
          <w:sz w:val="20"/>
          <w:u w:val="single"/>
        </w:rPr>
        <w:t>Section 11.01(d)</w:t>
      </w:r>
      <w:r>
        <w:rPr>
          <w:rFonts w:ascii="Times New Roman" w:hAnsi="Times New Roman"/>
          <w:sz w:val="20"/>
        </w:rPr>
        <w:t xml:space="preserve"> and the last sentence of </w:t>
      </w:r>
      <w:r>
        <w:rPr>
          <w:rFonts w:ascii="Times New Roman" w:hAnsi="Times New Roman"/>
          <w:sz w:val="20"/>
          <w:u w:val="single"/>
        </w:rPr>
        <w:t>Section 11.01</w:t>
      </w:r>
      <w:r>
        <w:rPr>
          <w:rFonts w:ascii="Times New Roman" w:hAnsi="Times New Roman"/>
          <w:sz w:val="20"/>
        </w:rPr>
        <w:t xml:space="preserve">, and such Persons shall have the benefit of this </w:t>
      </w:r>
      <w:r>
        <w:rPr>
          <w:rFonts w:ascii="Times New Roman" w:hAnsi="Times New Roman"/>
          <w:sz w:val="20"/>
          <w:u w:val="single"/>
        </w:rPr>
        <w:t>Article X</w:t>
      </w:r>
      <w:r>
        <w:rPr>
          <w:rFonts w:ascii="Times New Roman" w:hAnsi="Times New Roman"/>
          <w:sz w:val="20"/>
        </w:rPr>
        <w:t xml:space="preserve">. Without limiting the foregoing, none of the Lenders or other Persons so identified shall have or be deemed to have any agency or fiduciary or trust relationship with any Lender, the Borrower or any of their respective Subsidiaries. Each Lender acknowledges that it has not relied, and will not rely, on any of the Lenders or other Persons so identified in deciding to enter into this Agreement or in taking or not taking action hereunder. Any Agent may resign from such role at any time, with immediate effect, by giving prior written notice thereof to the Administrative Agent and Borrower.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10.09</w:t>
      </w:r>
      <w:r>
        <w:rPr>
          <w:rFonts w:ascii="Times New Roman" w:hAnsi="Times New Roman"/>
          <w:sz w:val="20"/>
        </w:rPr>
        <w:t xml:space="preserve"> </w:t>
      </w:r>
      <w:r>
        <w:rPr>
          <w:rFonts w:ascii="Times New Roman" w:hAnsi="Times New Roman"/>
          <w:b/>
          <w:sz w:val="20"/>
          <w:u w:val="single"/>
        </w:rPr>
        <w:t>Resignation of Agent</w:t>
      </w:r>
      <w:r>
        <w:rPr>
          <w:rFonts w:ascii="Times New Roman" w:hAnsi="Times New Roman"/>
          <w:sz w:val="20"/>
        </w:rPr>
        <w:t xml:space="preserve">. The Agents may at any time give notice of its resignation to the Lenders and the Borrower. Upon receipt of any such notice of resignation, the Required Lenders shall have the right, subject to the consent of the Borrower (such consent not to be unreasonably withheld, conditioned or delayed), at all times other than during the existence of a Specified Event of Default, to appoint a successor, which shall be a Lender or a bank with an office in the United States, or an Affiliate of any such Lender or bank with an office in the United States. If no such successor shall have been so appointed by the Required Lenders and shall have accepted such appointment within thirty (30) days after the retiring Agent gives notice of its resignation, then the retiring Agent may on behalf of the Lenders, appoint a successor Agent meeting the qualifications set forth above; </w:t>
      </w:r>
      <w:r>
        <w:rPr>
          <w:rFonts w:ascii="Times New Roman" w:hAnsi="Times New Roman"/>
          <w:i/>
          <w:sz w:val="20"/>
        </w:rPr>
        <w:t xml:space="preserve">provided </w:t>
      </w:r>
      <w:r>
        <w:rPr>
          <w:rFonts w:ascii="Times New Roman" w:hAnsi="Times New Roman"/>
          <w:sz w:val="20"/>
        </w:rPr>
        <w:t xml:space="preserve">that if the retiring Agent shall notify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and the Lenders that no qualifying Person has accepted such appointment, then such resignation shall nonetheless become effective in accordance with such notice and (a) the retiring Agent shall be discharged from its duties and obligations hereunder and under the other Loan Documents (except that in the case of any collateral security held by the Collateral Trustee on behalf of the Lenders under any of the Loan Documents, the retiring Agent shall continue to hold such collateral security until such time as a successor of such Agent is appointed) and (b) except for any indemnity payments or other amounts owed to the retiring or retired Agents, all payments, communications and determinations provided to be made by, to or through the retiring Agent shall instead be made by or to each Lender directly, until such time as the Required Lenders appoint a successor Agent as provided for above in this Section. If neither the Required Lenders nor the retired Agent have appointed a successor Agent, the Required Lenders shall be deemed to have succeeded to and become vested with all the rights, powers, privileges and duties of the retiring Agent (subject to the proviso in the sentence above). Upon the acceptance of a successor’s appointment as replacement Agent hereunder and upon the execution and filing or recording of such financing statements, or amendments thereto, and such amendments or supplements to the Vessel Mortgages, and such other instruments or notices, as may be necessary or desirable, or as the Required Lenders may request, in order to perfect or continue the perfection of the Liens granted or purported to be granted by the Collateral Documents, such successor shall succeed to and become vested with all of the rights, powers, privileges and duties of the retiring (or retired) Agent (other than any rights to indemnity payments or other amounts owed to the retiring or retired Agent), and the retiring Agent shall be discharged from all of its duties and obligations hereunder or under the other Loan Documents (if not already discharged therefrom as provided above in this Section). The fees payable by the Borrower to a successor Agent shall be the same as those payable to its predecessor unless otherwise agreed between the Borrower and such successor. After the retiring Agent’s resignation hereunder and under the other Loan Documents, the provisions of this </w:t>
      </w:r>
      <w:r>
        <w:rPr>
          <w:rFonts w:ascii="Times New Roman" w:hAnsi="Times New Roman"/>
          <w:sz w:val="20"/>
          <w:u w:val="single"/>
        </w:rPr>
        <w:t>Article X</w:t>
      </w:r>
      <w:r>
        <w:rPr>
          <w:rFonts w:ascii="Times New Roman" w:hAnsi="Times New Roman"/>
          <w:sz w:val="20"/>
        </w:rPr>
        <w:t xml:space="preserve"> and </w:t>
      </w:r>
      <w:r>
        <w:rPr>
          <w:rFonts w:ascii="Times New Roman" w:hAnsi="Times New Roman"/>
          <w:sz w:val="20"/>
          <w:u w:val="single"/>
        </w:rPr>
        <w:t>Sections 11.04</w:t>
      </w:r>
      <w:r>
        <w:rPr>
          <w:rFonts w:ascii="Times New Roman" w:hAnsi="Times New Roman"/>
          <w:sz w:val="20"/>
        </w:rPr>
        <w:t xml:space="preserve"> and </w:t>
      </w:r>
      <w:r>
        <w:rPr>
          <w:rFonts w:ascii="Times New Roman" w:hAnsi="Times New Roman"/>
          <w:sz w:val="20"/>
          <w:u w:val="single"/>
        </w:rPr>
        <w:t>11.05</w:t>
      </w:r>
      <w:r>
        <w:rPr>
          <w:rFonts w:ascii="Times New Roman" w:hAnsi="Times New Roman"/>
          <w:sz w:val="20"/>
        </w:rPr>
        <w:t xml:space="preserve"> shall continue in effect for the benefit of such retiring Agent, its sub-agents and their respective Agent-Related Persons in respect of any actions taken or omitted to be taken by any of them while the retiring Agent was acting as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10.10</w:t>
      </w:r>
      <w:r>
        <w:rPr>
          <w:rFonts w:ascii="Times New Roman" w:hAnsi="Times New Roman"/>
          <w:sz w:val="20"/>
        </w:rPr>
        <w:t xml:space="preserve"> </w:t>
      </w:r>
      <w:r>
        <w:rPr>
          <w:rFonts w:ascii="Times New Roman" w:hAnsi="Times New Roman"/>
          <w:b/>
          <w:sz w:val="20"/>
          <w:u w:val="single"/>
        </w:rPr>
        <w:t>Administrative Agent May File Proofs of Claim; Credit Bidding</w:t>
      </w:r>
      <w:r>
        <w:rPr>
          <w:rFonts w:ascii="Times New Roman" w:hAnsi="Times New Roman"/>
          <w:sz w:val="20"/>
        </w:rPr>
        <w:t xml:space="preserve">.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 verified statement pursuant to rule 2019 of the Federal Rules of Bankruptcy Procedure that, in its sole opinion, complies with such rule’s disclosure requirements for entities representing more than one creditor; </w:t>
      </w:r>
    </w:p>
    <w:p>
      <w:pPr>
        <w:pStyle w:val="TextBody"/>
        <w:bidi w:val="0"/>
        <w:spacing w:before="120" w:after="0"/>
        <w:jc w:val="left"/>
        <w:rPr>
          <w:rFonts w:ascii="Times New Roman" w:hAnsi="Times New Roman"/>
          <w:sz w:val="20"/>
        </w:rPr>
      </w:pPr>
      <w:r>
        <w:rPr>
          <w:rFonts w:ascii="Times New Roman" w:hAnsi="Times New Roman"/>
          <w:sz w:val="20"/>
        </w:rPr>
        <w:t xml:space="preserve">(b)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hAnsi="Times New Roman"/>
          <w:sz w:val="20"/>
          <w:u w:val="single"/>
        </w:rPr>
        <w:t>Sections 2.06</w:t>
      </w:r>
      <w:r>
        <w:rPr>
          <w:rFonts w:ascii="Times New Roman" w:hAnsi="Times New Roman"/>
          <w:sz w:val="20"/>
        </w:rPr>
        <w:t xml:space="preserve"> and </w:t>
      </w:r>
      <w:r>
        <w:rPr>
          <w:rFonts w:ascii="Times New Roman" w:hAnsi="Times New Roman"/>
          <w:sz w:val="20"/>
          <w:u w:val="single"/>
        </w:rPr>
        <w:t>11.04</w:t>
      </w:r>
      <w:r>
        <w:rPr>
          <w:rFonts w:ascii="Times New Roman" w:hAnsi="Times New Roman"/>
          <w:sz w:val="20"/>
        </w:rPr>
        <w:t xml:space="preserve">) allowed in such judicial proceeding;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Administrative Agent under </w:t>
      </w:r>
      <w:r>
        <w:rPr>
          <w:rFonts w:ascii="Times New Roman" w:hAnsi="Times New Roman"/>
          <w:sz w:val="20"/>
          <w:u w:val="single"/>
        </w:rPr>
        <w:t>Sections 2.06</w:t>
      </w:r>
      <w:r>
        <w:rPr>
          <w:rFonts w:ascii="Times New Roman" w:hAnsi="Times New Roman"/>
          <w:sz w:val="20"/>
        </w:rPr>
        <w:t xml:space="preserve"> and </w:t>
      </w:r>
      <w:r>
        <w:rPr>
          <w:rFonts w:ascii="Times New Roman" w:hAnsi="Times New Roman"/>
          <w:sz w:val="20"/>
          <w:u w:val="single"/>
        </w:rPr>
        <w:t>11.04</w:t>
      </w:r>
      <w:r>
        <w:rPr>
          <w:rFonts w:ascii="Times New Roman" w:hAnsi="Times New Roman"/>
          <w:sz w:val="20"/>
        </w:rPr>
        <w:t xml:space="preserve">. To the extent that the payment of any such compensation, expenses, disbursements and advances of the Administrative Agent, its agents and counsel, and any other amounts due the Administrative Agent under </w:t>
      </w:r>
      <w:r>
        <w:rPr>
          <w:rFonts w:ascii="Times New Roman" w:hAnsi="Times New Roman"/>
          <w:sz w:val="20"/>
          <w:u w:val="single"/>
        </w:rPr>
        <w:t>Sections 2.06</w:t>
      </w:r>
      <w:r>
        <w:rPr>
          <w:rFonts w:ascii="Times New Roman" w:hAnsi="Times New Roman"/>
          <w:sz w:val="20"/>
        </w:rPr>
        <w:t xml:space="preserve"> and </w:t>
      </w:r>
      <w:r>
        <w:rPr>
          <w:rFonts w:ascii="Times New Roman" w:hAnsi="Times New Roman"/>
          <w:sz w:val="20"/>
          <w:u w:val="single"/>
        </w:rPr>
        <w:t>11.04</w:t>
      </w:r>
      <w:r>
        <w:rPr>
          <w:rFonts w:ascii="Times New Roman" w:hAnsi="Times New Roman"/>
          <w:sz w:val="20"/>
        </w:rPr>
        <w:t xml:space="preserve"> out of the estate in any such proceeding, shall be denied for any reason, payment of the same shall be secured by a Lien on, and shall be paid out of, any and all distributions, dividends, money, securities and other properties that the Lenders may be entitled to receive in such proceeding whether in liquidation or under any plan of reorganization or arrangement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Secured Obligations (as defined in the applicable Collateral Agreement) pursuant to a deed in lieu of foreclosure or otherwise) and in such manner purchase (either directly or through one or more acquisition vehicles) all or any portion of the Collateral (i) at any sale thereof conducted under the provisions of the U.S. Bankruptcy Code, including under Sections 363, 1123 or 1129 of the U.S. Bankruptcy Code,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(provided that any actions by the Administrative Agent with respect to such acquisition vehicle or vehicles, including any disposition of the assets or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of </w:t>
      </w:r>
      <w:r>
        <w:rPr>
          <w:rFonts w:ascii="Times New Roman" w:hAnsi="Times New Roman"/>
          <w:sz w:val="20"/>
          <w:u w:val="single"/>
        </w:rPr>
        <w:t>Section 11.01</w:t>
      </w:r>
      <w:r>
        <w:rPr>
          <w:rFonts w:ascii="Times New Roman" w:hAnsi="Times New Roman"/>
          <w:sz w:val="20"/>
        </w:rPr>
        <w:t xml:space="preserve"> of this Agreement), (C)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(D)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10.11</w:t>
      </w:r>
      <w:r>
        <w:rPr>
          <w:rFonts w:ascii="Times New Roman" w:hAnsi="Times New Roman"/>
          <w:sz w:val="20"/>
        </w:rPr>
        <w:t xml:space="preserve"> </w:t>
      </w:r>
      <w:r>
        <w:rPr>
          <w:rFonts w:ascii="Times New Roman" w:hAnsi="Times New Roman"/>
          <w:b/>
          <w:sz w:val="20"/>
          <w:u w:val="single"/>
        </w:rPr>
        <w:t>Collateral and Guaranty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Agent, each Lender, and each other Secured Party irrevocably authorizes the Administrative Agent and Collateral Trustee to be the agent for and representative of the Lenders with respect to the Guaranty, the Collateral and the Collateral Documents and agrees that, notwithstanding anything to the contrary in any Loan Document: </w:t>
      </w:r>
    </w:p>
    <w:p>
      <w:pPr>
        <w:pStyle w:val="TextBody"/>
        <w:bidi w:val="0"/>
        <w:spacing w:before="120" w:after="0"/>
        <w:jc w:val="left"/>
        <w:rPr>
          <w:rFonts w:ascii="Times New Roman" w:hAnsi="Times New Roman"/>
          <w:sz w:val="20"/>
        </w:rPr>
      </w:pPr>
      <w:r>
        <w:rPr>
          <w:rFonts w:ascii="Times New Roman" w:hAnsi="Times New Roman"/>
          <w:sz w:val="20"/>
        </w:rPr>
        <w:t>(i) Liens on any property granted to or held by an Agent or in favor of any Secured Party under any Loan Document will be automatically and immediately released, and each Secured Party irrevocably authorizes and directs the Agents to enter into, and each agrees that it will enter into, the necessary or advisable documents requested by the Borrower and associated therewith, upon the occurrence of any of the following events (each, a “</w:t>
      </w:r>
      <w:r>
        <w:rPr>
          <w:rFonts w:ascii="Times New Roman" w:hAnsi="Times New Roman"/>
          <w:b/>
          <w:sz w:val="20"/>
        </w:rPr>
        <w:t>Lien Release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payment in full in cash of all the Obligations (other than Contingent Obligations in respect of which no claim has been made); </w:t>
      </w:r>
    </w:p>
    <w:p>
      <w:pPr>
        <w:pStyle w:val="TextBody"/>
        <w:bidi w:val="0"/>
        <w:spacing w:before="120" w:after="0"/>
        <w:jc w:val="left"/>
        <w:rPr>
          <w:rFonts w:ascii="Times New Roman" w:hAnsi="Times New Roman"/>
          <w:sz w:val="20"/>
        </w:rPr>
      </w:pPr>
      <w:r>
        <w:rPr>
          <w:rFonts w:ascii="Times New Roman" w:hAnsi="Times New Roman"/>
          <w:sz w:val="20"/>
        </w:rPr>
        <w:t xml:space="preserve">(B) a transfer of the property subject to such Lien as part of, or in connection with, a transaction that is permitted by the terms of the Loan Documents to any Person that is not a Loan Party;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property owned by any Guarantor or with respect to which any Guarantor has rights, the release of such Guarantor from its obligations under its Guaranty or hereunder, as applicable, pursuant to clause (iv) below; </w:t>
      </w:r>
    </w:p>
    <w:p>
      <w:pPr>
        <w:pStyle w:val="TextBody"/>
        <w:bidi w:val="0"/>
        <w:spacing w:before="120" w:after="0"/>
        <w:jc w:val="left"/>
        <w:rPr>
          <w:rFonts w:ascii="Times New Roman" w:hAnsi="Times New Roman"/>
          <w:sz w:val="20"/>
        </w:rPr>
      </w:pPr>
      <w:r>
        <w:rPr>
          <w:rFonts w:ascii="Times New Roman" w:hAnsi="Times New Roman"/>
          <w:sz w:val="20"/>
        </w:rPr>
        <w:t xml:space="preserve">(D) the approval, authorization or ratification of the release of such Lien by the Required Lenders, or such percentage as may be required pursuant to </w:t>
      </w:r>
      <w:r>
        <w:rPr>
          <w:rFonts w:ascii="Times New Roman" w:hAnsi="Times New Roman"/>
          <w:sz w:val="20"/>
          <w:u w:val="single"/>
        </w:rPr>
        <w:t>Section 11.01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such property becoming an Excluded Asset, Excluded Vessel (including, for the avoidance of doubt, pursuant to any Permitted Reflagging Transaction), Excluded Equity Interest or an asset (other than any Vessel Collateral) owned by an Excluded Subsidiary or with respect to which an Excluded Subsidiary has rights; </w:t>
      </w:r>
    </w:p>
    <w:p>
      <w:pPr>
        <w:pStyle w:val="TextBody"/>
        <w:bidi w:val="0"/>
        <w:spacing w:before="120" w:after="0"/>
        <w:jc w:val="left"/>
        <w:rPr>
          <w:rFonts w:ascii="Times New Roman" w:hAnsi="Times New Roman"/>
          <w:sz w:val="20"/>
        </w:rPr>
      </w:pPr>
      <w:r>
        <w:rPr>
          <w:rFonts w:ascii="Times New Roman" w:hAnsi="Times New Roman"/>
          <w:sz w:val="20"/>
        </w:rPr>
        <w:t xml:space="preserve">(F) as to the assets (other than Vessel Collateral) owned by such Excluded Subsidiary (or with respect to which an Excluded Subsidiary has rights), upon any Person becoming an Excluded Subsidiary, in each case other than any Guarantor or any Shipowner; </w:t>
      </w:r>
    </w:p>
    <w:p>
      <w:pPr>
        <w:pStyle w:val="TextBody"/>
        <w:bidi w:val="0"/>
        <w:spacing w:before="120" w:after="0"/>
        <w:jc w:val="left"/>
        <w:rPr>
          <w:rFonts w:ascii="Times New Roman" w:hAnsi="Times New Roman"/>
          <w:sz w:val="20"/>
        </w:rPr>
      </w:pPr>
      <w:r>
        <w:rPr>
          <w:rFonts w:ascii="Times New Roman" w:hAnsi="Times New Roman"/>
          <w:sz w:val="20"/>
        </w:rPr>
        <w:t xml:space="preserve">(G) [reserved]; and/or </w:t>
      </w:r>
    </w:p>
    <w:p>
      <w:pPr>
        <w:pStyle w:val="TextBody"/>
        <w:bidi w:val="0"/>
        <w:spacing w:before="120" w:after="0"/>
        <w:jc w:val="left"/>
        <w:rPr>
          <w:rFonts w:ascii="Times New Roman" w:hAnsi="Times New Roman"/>
          <w:sz w:val="20"/>
        </w:rPr>
      </w:pPr>
      <w:r>
        <w:rPr>
          <w:rFonts w:ascii="Times New Roman" w:hAnsi="Times New Roman"/>
          <w:sz w:val="20"/>
        </w:rPr>
        <w:t xml:space="preserve">(H) with respect to Vessel Collateral, such Vessel Collateral becoming subject to a reflagging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(iii) upon the request of the Borrower (such request, the “</w:t>
      </w:r>
      <w:r>
        <w:rPr>
          <w:rFonts w:ascii="Times New Roman" w:hAnsi="Times New Roman"/>
          <w:b/>
          <w:sz w:val="20"/>
        </w:rPr>
        <w:t>Permitted Consent Event</w:t>
      </w:r>
      <w:r>
        <w:rPr>
          <w:rFonts w:ascii="Times New Roman" w:hAnsi="Times New Roman"/>
          <w:sz w:val="20"/>
        </w:rPr>
        <w:t xml:space="preserve">”), each Secured Party irrevocably authorizes and directs the Agents to enter into, and each Secured Party and the Agents agrees that the Agents will enter into, the necessary or advisable documents requested by the Borrower in connection with a transaction that is permitted by the terms of the Loan Documents; </w:t>
      </w:r>
      <w:r>
        <w:rPr>
          <w:rFonts w:ascii="Times New Roman" w:hAnsi="Times New Roman"/>
          <w:i/>
          <w:sz w:val="20"/>
        </w:rPr>
        <w:t>provided, however</w:t>
      </w:r>
      <w:r>
        <w:rPr>
          <w:rFonts w:ascii="Times New Roman" w:hAnsi="Times New Roman"/>
          <w:sz w:val="20"/>
        </w:rPr>
        <w:t xml:space="preserve">, the Agents shall not be required to enter into any documents to release any Collateral or subordinate any Lien on any Collateral except as expressly set forth herein; </w:t>
      </w:r>
    </w:p>
    <w:p>
      <w:pPr>
        <w:pStyle w:val="TextBody"/>
        <w:bidi w:val="0"/>
        <w:spacing w:before="120" w:after="0"/>
        <w:jc w:val="left"/>
        <w:rPr>
          <w:rFonts w:ascii="Times New Roman" w:hAnsi="Times New Roman"/>
          <w:sz w:val="20"/>
        </w:rPr>
      </w:pPr>
      <w:r>
        <w:rPr>
          <w:rFonts w:ascii="Times New Roman" w:hAnsi="Times New Roman"/>
          <w:sz w:val="20"/>
        </w:rPr>
        <w:t>(iv) a Guarantor will be automatically and immediately released from its obligations under the Guaranty upon (A) such Guarantor ceasing to be a Subsidiary of the Borrower, (B) such Guarantor becoming an Immaterial Subsidiary, or (C) such Guarantor becoming an Excluded Subsidiary as a result of a transaction permitted hereunder; provided that if such Guarantor becomes an Excluded Subsidiary solely as a result of such Guarantor becoming an Excluded Subsidiary of the type described in clause (a) of the definition thereof, such release shall only be permitted if, at the time such Guarantor becomes such an Excluded Subsidiary, (i) no Default or Event of Default has occurred and is continuing or would result therefrom and (ii) such Guarantor so becomes such an Excluded Subsidiary as a result of a joint venture or other strategic transaction permitted hereunder that was not entered into for the primary purpose of releasing the Guaranty of such Guarantor (as determined by the Borrower in good faith) (clauses (A)-(C), each a “</w:t>
      </w:r>
      <w:r>
        <w:rPr>
          <w:rFonts w:ascii="Times New Roman" w:hAnsi="Times New Roman"/>
          <w:b/>
          <w:sz w:val="20"/>
        </w:rPr>
        <w:t>Guaranty Release Event</w:t>
      </w:r>
      <w:r>
        <w:rPr>
          <w:rFonts w:ascii="Times New Roman" w:hAnsi="Times New Roman"/>
          <w:sz w:val="20"/>
        </w:rPr>
        <w:t xml:space="preserve">”), and each Secured Party irrevocably authorizes and directs the Agents to enter into, and each Agent agrees it will enter into, the necessary and advisable documents requested by the Borrower to (1) release (or acknowledge the release of) such Guarantor from its obligations under the Guaranty and (2) release (or acknowledge the release of) any Liens granted by such Subsidiary or Liens on the Equity Interests of such Subsidiary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Administrative Agent and the Collateral Trustee will exclusively exercise the rights and remedies under the Loan Documents, and neither the Lenders nor any other Secured Party will exercise such rights and remedies (other than the Required Lenders through the Administrative Agent); </w:t>
      </w:r>
      <w:r>
        <w:rPr>
          <w:rFonts w:ascii="Times New Roman" w:hAnsi="Times New Roman"/>
          <w:i/>
          <w:sz w:val="20"/>
        </w:rPr>
        <w:t xml:space="preserve">provided </w:t>
      </w:r>
      <w:r>
        <w:rPr>
          <w:rFonts w:ascii="Times New Roman" w:hAnsi="Times New Roman"/>
          <w:sz w:val="20"/>
        </w:rPr>
        <w:t xml:space="preserve">that the foregoing shall not preclude any Lender from exercising any right of set-off in accordance with the provisions of </w:t>
      </w:r>
      <w:r>
        <w:rPr>
          <w:rFonts w:ascii="Times New Roman" w:hAnsi="Times New Roman"/>
          <w:sz w:val="20"/>
          <w:u w:val="single"/>
        </w:rPr>
        <w:t>Section 11.09</w:t>
      </w:r>
      <w:r>
        <w:rPr>
          <w:rFonts w:ascii="Times New Roman" w:hAnsi="Times New Roman"/>
          <w:sz w:val="20"/>
        </w:rPr>
        <w:t xml:space="preserve"> or enforcing compliance with the provisions set forth in </w:t>
      </w:r>
      <w:r>
        <w:rPr>
          <w:rFonts w:ascii="Times New Roman" w:hAnsi="Times New Roman"/>
          <w:sz w:val="20"/>
          <w:u w:val="single"/>
        </w:rPr>
        <w:t>Section 11.01(b)</w:t>
      </w:r>
      <w:r>
        <w:rPr>
          <w:rFonts w:ascii="Times New Roman" w:hAnsi="Times New Roman"/>
          <w:sz w:val="20"/>
        </w:rPr>
        <w:t xml:space="preserve"> or from exercising rights and remedies (other than the enforcement of Collateral) with respect to any payment default after the occurrence of the Maturity Date with respect to any Loans made by it or filing proofs of claim or appearing and filing pleadings on its own behalf during the pendency of a proceeding relative to any Loan Party under the U.S. Bankruptcy Code or any other Debtor Relief Law; and </w:t>
      </w:r>
    </w:p>
    <w:p>
      <w:pPr>
        <w:pStyle w:val="TextBody"/>
        <w:bidi w:val="0"/>
        <w:spacing w:before="120" w:after="0"/>
        <w:jc w:val="left"/>
        <w:rPr>
          <w:rFonts w:ascii="Times New Roman" w:hAnsi="Times New Roman"/>
          <w:sz w:val="20"/>
        </w:rPr>
      </w:pPr>
      <w:r>
        <w:rPr>
          <w:rFonts w:ascii="Times New Roman" w:hAnsi="Times New Roman"/>
          <w:sz w:val="20"/>
        </w:rPr>
        <w:t xml:space="preserve">(vi) the Administrative Agent and Collateral Trustee shall, and the Lenders and other Secured Parties irrevocably authorize and instruct the Administrative Agent and Collateral Trustee to, from time to time on and after the Closing Date, without any further consent of any Lender or other Secured Party, enter into any Intercreditor Agreement or other intercreditor agreement with the collateral agent, collateral trustee or other representative of the holders of Indebtedness that is secured by a Lien on Collateral that is expressly permitted under this Agreement. </w:t>
      </w:r>
    </w:p>
    <w:p>
      <w:pPr>
        <w:pStyle w:val="TextBody"/>
        <w:bidi w:val="0"/>
        <w:spacing w:before="240" w:after="0"/>
        <w:jc w:val="left"/>
        <w:rPr>
          <w:rFonts w:ascii="Times New Roman" w:hAnsi="Times New Roman"/>
          <w:sz w:val="20"/>
        </w:rPr>
      </w:pPr>
      <w:r>
        <w:rPr>
          <w:rFonts w:ascii="Times New Roman" w:hAnsi="Times New Roman"/>
          <w:sz w:val="20"/>
        </w:rPr>
        <w:t>Each Agent, each Lender and each other Secured Party agrees that it will promptly take such action and execute any such documents as may be reasonably requested by the Borrower (such actions and such execution, the “</w:t>
      </w:r>
      <w:r>
        <w:rPr>
          <w:rFonts w:ascii="Times New Roman" w:hAnsi="Times New Roman"/>
          <w:b/>
          <w:sz w:val="20"/>
        </w:rPr>
        <w:t>Release Actions</w:t>
      </w:r>
      <w:r>
        <w:rPr>
          <w:rFonts w:ascii="Times New Roman" w:hAnsi="Times New Roman"/>
          <w:sz w:val="20"/>
        </w:rPr>
        <w:t xml:space="preserve">”), at the Borrower’s sole cost and expense, in connection with a Lien Release Event, Permitted Consent Event or Guaranty Release Event and that such actions are not discretionary. Without limitation, the Release Actions may include, as applicable, (a) executing (if required) and delivering to the Loan Parties (or any designee of the Loan Parties) any such lien releases, mortgage releases, discharges of security interests, pledges and guarantees and other similar discharge or release documents, as are reasonably requested by a Loan Party in connection with the release, as of record, of the Liens (and all notices of security interests and Liens previously filed) the subject of a Lien Release Event or the release of any applicable Guarantee in connection with a Guaranty Release Event and (b) delivering to the Loan Parties (or any designee of the Loan Parties) all instruments evidencing pledged debt and all equity certificates and any other collateral previously delivered in physical form by the Loan Parties to a Secured Party. </w:t>
      </w:r>
    </w:p>
    <w:p>
      <w:pPr>
        <w:pStyle w:val="TextBody"/>
        <w:bidi w:val="0"/>
        <w:spacing w:before="240" w:after="0"/>
        <w:jc w:val="left"/>
        <w:rPr>
          <w:rFonts w:ascii="Times New Roman" w:hAnsi="Times New Roman"/>
          <w:sz w:val="20"/>
        </w:rPr>
      </w:pPr>
      <w:r>
        <w:rPr>
          <w:rFonts w:ascii="Times New Roman" w:hAnsi="Times New Roman"/>
          <w:sz w:val="20"/>
        </w:rPr>
        <w:t>In connection with any Lien Release Event, Permitted Consent Event, Guaranty Release Event or Release Action, each of the Collateral Trustee and the Administrative Agent shall be entitled to rely and shall rely exclusively on an officer’s certificate of the Borrower (the “</w:t>
      </w:r>
      <w:r>
        <w:rPr>
          <w:rFonts w:ascii="Times New Roman" w:hAnsi="Times New Roman"/>
          <w:b/>
          <w:sz w:val="20"/>
        </w:rPr>
        <w:t>Release Certificate</w:t>
      </w:r>
      <w:r>
        <w:rPr>
          <w:rFonts w:ascii="Times New Roman" w:hAnsi="Times New Roman"/>
          <w:sz w:val="20"/>
        </w:rPr>
        <w:t>”) confirming that (a) such Lien Release Event, Guaranty Release Event or Permitted Consent Event, as applicable, has occurred or will upon consummation of one or more identified transactions (an “</w:t>
      </w:r>
      <w:r>
        <w:rPr>
          <w:rFonts w:ascii="Times New Roman" w:hAnsi="Times New Roman"/>
          <w:b/>
          <w:sz w:val="20"/>
        </w:rPr>
        <w:t>Identified Transaction</w:t>
      </w:r>
      <w:r>
        <w:rPr>
          <w:rFonts w:ascii="Times New Roman" w:hAnsi="Times New Roman"/>
          <w:sz w:val="20"/>
        </w:rPr>
        <w:t xml:space="preserve">”) occur, (b) the conditions to any such Lien Release Event, Guaranty Release Event or Permitted Consent Event have occurred or will occur upon consummation of an Identified Transaction, and (c) that any such Identified Transaction is permitted by (or not prohibited by) the Loan Documents. The Collateral Trustee and the Administrative Agent will be fully exculpated from any liability and shall be fully protected and shall not have any liability whatsoever to any Secured Party as a result of such reliance or the consummation of any Release Action. A Release Certificate may be delivered in advance of the consummation of any applicable Identified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Lender and each Secured Party irrevocably authorizes and irrevocably directs the Collateral Trustee and the Administrative Agent to take the Release Actions and consents to reliance on the Release Certificate. The Secured Parties agree not to give any Agent any instruction or direction inconsistent with the provisions of this </w:t>
      </w:r>
      <w:r>
        <w:rPr>
          <w:rFonts w:ascii="Times New Roman" w:hAnsi="Times New Roman"/>
          <w:sz w:val="20"/>
          <w:u w:val="single"/>
        </w:rPr>
        <w:t>Section 10.11</w:t>
      </w:r>
      <w:r>
        <w:rPr>
          <w:rFonts w:ascii="Times New Roman" w:hAnsi="Times New Roman"/>
          <w:sz w:val="20"/>
        </w:rPr>
        <w:t xml:space="preserve">. Neither the Administrative Agent nor the Collateral Trustee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Trustee’s Lien thereon, or contained in any certificate prepared or delivered by any Loan Party in connection with the Collateral or compliance with the terms set forth above or in a Loan Document, nor shall the Administrative Agent or Collateral Trustee be responsible or liable to the Lenders for any failure to monitor or maintain any portion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(b) Anything contained in any of the Loan Documents to the contrary notwithstanding, each Agent, each Lender and each Secured Party hereby agree that: </w:t>
      </w:r>
    </w:p>
    <w:p>
      <w:pPr>
        <w:pStyle w:val="TextBody"/>
        <w:bidi w:val="0"/>
        <w:spacing w:before="120" w:after="0"/>
        <w:jc w:val="left"/>
        <w:rPr>
          <w:rFonts w:ascii="Times New Roman" w:hAnsi="Times New Roman"/>
          <w:sz w:val="20"/>
        </w:rPr>
      </w:pPr>
      <w:r>
        <w:rPr>
          <w:rFonts w:ascii="Times New Roman" w:hAnsi="Times New Roman"/>
          <w:sz w:val="20"/>
        </w:rPr>
        <w:t xml:space="preserve">(i) no Lender or other Secured Party shall have any right individually to realize upon any of the Collateral or to enforce the Guaranty or any other Loan Document, it being understood and agreed that all powers, rights and remedies hereunder and under any of the Loan Documents may be exercised solely by the Administrative Agent or the Collateral Trustee, as applicable, for the benefit of the Lenders in accordance with the terms hereof and thereof, and all powers, rights and remedies under the Collateral Documents may be exercised solely by the Collateral Trustee for the benefit of the Lenders in accordance with the terms thereof;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of a foreclosure or similar enforcement action by the Collateral Trustee on any of the Collateral pursuant to a public or private sale or other disposition (including, without limitation, pursuant to Section 363(k), Section 1129(b)(2)(a)(ii) or otherwise of the U.S. Bankruptcy Code), only the Collateral Trustee (except with respect to a “credit bid” pursuant to Section 363(k), Section 1129(b)(2)(a)(ii) or otherwise of the U.S. Bankruptcy Code) may be the purchaser or licensor of any or all of such Collateral at any such sale or other disposition, and the Collateral Trustee, as agent for and representative of Lenders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Trustee at such sale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(iii) no provision of any Loan Documents shall require the creation, perfection or maintenance of pledges of or security interests or hypothecs in, or the obtaining of title insurance or abstracts with respect to, any Excluded Assets and any other particular assets, if and for so long as, in the reasonable judgment of the Administrative Agent (as so directed to the Collateral Trustee), the cost of creating, perfecting or maintaining such pledges or security interests or hypothecs in such other particular assets or obtaining title insurance or abstracts in respect of such other particular assets is excessive in view of the Fair Market Value of such assets or the practical benefit to the Lenders afforded thereby;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Administrative Agent (as so directed to the Collateral Trustee) may grant extensions of time for the creation or perfection of security interests or hypothecs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Borrower, that creation or perfection cannot be accomplished without undue effort or expense by the time or times at which it would otherwise be required by this Agreement or the Collateral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10.12</w:t>
      </w:r>
      <w:r>
        <w:rPr>
          <w:rFonts w:ascii="Times New Roman" w:hAnsi="Times New Roman"/>
          <w:sz w:val="20"/>
        </w:rPr>
        <w:t xml:space="preserve"> </w:t>
      </w:r>
      <w:r>
        <w:rPr>
          <w:rFonts w:ascii="Times New Roman" w:hAnsi="Times New Roman"/>
          <w:b/>
          <w:sz w:val="20"/>
          <w:u w:val="single"/>
        </w:rPr>
        <w:t>Appointment of Supplemental Administrative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collateral trustee, administrative sub-agent or administrative co-agent (any such additional individual or institution being referred to herein individually, as a “</w:t>
      </w:r>
      <w:r>
        <w:rPr>
          <w:rFonts w:ascii="Times New Roman" w:hAnsi="Times New Roman"/>
          <w:b/>
          <w:sz w:val="20"/>
        </w:rPr>
        <w:t>Supplemental Administrative Agent</w:t>
      </w:r>
      <w:r>
        <w:rPr>
          <w:rFonts w:ascii="Times New Roman" w:hAnsi="Times New Roman"/>
          <w:sz w:val="20"/>
        </w:rPr>
        <w:t>” and, collectively, as “</w:t>
      </w:r>
      <w:r>
        <w:rPr>
          <w:rFonts w:ascii="Times New Roman" w:hAnsi="Times New Roman"/>
          <w:b/>
          <w:sz w:val="20"/>
        </w:rPr>
        <w:t>Supplemental Administrative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hAnsi="Times New Roman"/>
          <w:sz w:val="20"/>
          <w:u w:val="single"/>
        </w:rPr>
        <w:t>Article X</w:t>
      </w:r>
      <w:r>
        <w:rPr>
          <w:rFonts w:ascii="Times New Roman" w:hAnsi="Times New Roman"/>
          <w:sz w:val="20"/>
        </w:rPr>
        <w:t xml:space="preserve"> and of </w:t>
      </w:r>
      <w:r>
        <w:rPr>
          <w:rFonts w:ascii="Times New Roman" w:hAnsi="Times New Roman"/>
          <w:sz w:val="20"/>
          <w:u w:val="single"/>
        </w:rPr>
        <w:t>Sections 11.04</w:t>
      </w:r>
      <w:r>
        <w:rPr>
          <w:rFonts w:ascii="Times New Roman" w:hAnsi="Times New Roman"/>
          <w:sz w:val="20"/>
        </w:rPr>
        <w:t xml:space="preserve"> and </w:t>
      </w:r>
      <w:r>
        <w:rPr>
          <w:rFonts w:ascii="Times New Roman" w:hAnsi="Times New Roman"/>
          <w:sz w:val="20"/>
          <w:u w:val="single"/>
        </w:rPr>
        <w:t>11.05</w:t>
      </w:r>
      <w:r>
        <w:rPr>
          <w:rFonts w:ascii="Times New Roman" w:hAnsi="Times New Roman"/>
          <w:sz w:val="20"/>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10.13</w:t>
      </w:r>
      <w:r>
        <w:rPr>
          <w:rFonts w:ascii="Times New Roman" w:hAnsi="Times New Roman"/>
          <w:sz w:val="20"/>
        </w:rPr>
        <w:t xml:space="preserve"> </w:t>
      </w:r>
      <w:r>
        <w:rPr>
          <w:rFonts w:ascii="Times New Roman" w:hAnsi="Times New Roman"/>
          <w:b/>
          <w:sz w:val="20"/>
          <w:u w:val="single"/>
        </w:rPr>
        <w:t>Intercreditor Agreements</w:t>
      </w:r>
      <w:r>
        <w:rPr>
          <w:rFonts w:ascii="Times New Roman" w:hAnsi="Times New Roman"/>
          <w:sz w:val="20"/>
        </w:rPr>
        <w:t xml:space="preserve">. Notwithstanding anything to the contrary set forth in any Loan Document, to the extent the Administrative Agent enters into the Senior Lien Intercreditor Agreement or any other Intercreditor Agreement in accordance with the terms hereof, this Agreement will be subject to the terms and provisions of such Intercreditor Agreements, as applicable. In the event of any inconsistency between the provisions of this Agreement or any other Loan Document and any Senior Lien Intercreditor Agreement or any other applicable Intercreditor Agreement, the provisions of such Intercreditor Agreement govern and control.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10.14</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10.15</w:t>
      </w:r>
      <w:r>
        <w:rPr>
          <w:rFonts w:ascii="Times New Roman" w:hAnsi="Times New Roman"/>
          <w:sz w:val="20"/>
        </w:rPr>
        <w:t xml:space="preserve"> </w:t>
      </w:r>
      <w:r>
        <w:rPr>
          <w:rFonts w:ascii="Times New Roman" w:hAnsi="Times New Roman"/>
          <w:b/>
          <w:sz w:val="20"/>
          <w:u w:val="single"/>
        </w:rPr>
        <w:t>Withholding Taxes</w:t>
      </w:r>
      <w:r>
        <w:rPr>
          <w:rFonts w:ascii="Times New Roman" w:hAnsi="Times New Roman"/>
          <w:sz w:val="20"/>
        </w:rPr>
        <w:t xml:space="preserve">. To the extent required by any applicable Law, the Administrative Agent may withhold from any payment to any Lender an amount equivalent to any applicable withholding Tax. If any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10.16</w:t>
      </w:r>
      <w:r>
        <w:rPr>
          <w:rFonts w:ascii="Times New Roman" w:hAnsi="Times New Roman"/>
          <w:sz w:val="20"/>
        </w:rPr>
        <w:t xml:space="preserve"> </w:t>
      </w:r>
      <w:r>
        <w:rPr>
          <w:rFonts w:ascii="Times New Roman" w:hAnsi="Times New Roman"/>
          <w:b/>
          <w:sz w:val="20"/>
          <w:u w:val="single"/>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(1) represents and warrants, as of the date such Person became a Lender party hereto, to, and (2) covenants, from the date such Person became a Lender party hereto to the date such Person ceases being a Lender party hereto, for the benefit of the Administrative Agent and not, for the avoidance of doubt, to or for the benefit of any of the Loan Parties,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for purposes of Title I of ERISA or Section 4975 of the Code) of one or more Benefit Plans in connection with the Loans, the Commitments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(k) of Part I of PTE 84-14 and (D) the requirements of subsection (a) of Part I of PTE 84-14 are satisfied with respect to such Lender’s entrance into, participation in, administration of and performance of the Loans,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on the one hand, in its sole discretion, and such Lender. </w:t>
      </w:r>
    </w:p>
    <w:p>
      <w:pPr>
        <w:pStyle w:val="TextBody"/>
        <w:bidi w:val="0"/>
        <w:spacing w:before="120" w:after="0"/>
        <w:jc w:val="left"/>
        <w:rPr>
          <w:rFonts w:ascii="Times New Roman" w:hAnsi="Times New Roman"/>
          <w:sz w:val="20"/>
        </w:rPr>
      </w:pPr>
      <w:r>
        <w:rPr>
          <w:rFonts w:ascii="Times New Roman" w:hAnsi="Times New Roman"/>
          <w:sz w:val="20"/>
        </w:rPr>
        <w:t>(b) In addition, unless either (1)</w:t>
      </w:r>
      <w:r>
        <w:rPr>
          <w:rFonts w:ascii="Times New Roman" w:hAnsi="Times New Roman"/>
          <w:sz w:val="20"/>
          <w:u w:val="single"/>
        </w:rPr>
        <w:t> sub-clause (i)</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is true with respect to a Lender or (2) a Lender has provided another representation, warranty and covenant in accordance with sub-clause (iv) in the immediately preceding </w:t>
      </w:r>
      <w:r>
        <w:rPr>
          <w:rFonts w:ascii="Times New Roman" w:hAnsi="Times New Roman"/>
          <w:sz w:val="20"/>
          <w:u w:val="single"/>
        </w:rPr>
        <w:t>clause (a)</w:t>
      </w:r>
      <w:r>
        <w:rPr>
          <w:rFonts w:ascii="Times New Roman" w:hAnsi="Times New Roman"/>
          <w:sz w:val="20"/>
        </w:rPr>
        <w:t xml:space="preserve">, such Lender further (1) represents and warrants, as of the date such Person became a Lender party hereto, to and (2)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none of the Administrative Agent or any of its Affiliates is a fiduciary with respect to the assets of such Lender involved in the Loans,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10.17</w:t>
      </w:r>
      <w:r>
        <w:rPr>
          <w:rFonts w:ascii="Times New Roman" w:hAnsi="Times New Roman"/>
          <w:sz w:val="20"/>
        </w:rPr>
        <w:t xml:space="preserve"> </w:t>
      </w:r>
      <w:r>
        <w:rPr>
          <w:rFonts w:ascii="Times New Roman" w:hAnsi="Times New Roman"/>
          <w:b/>
          <w:sz w:val="20"/>
          <w:u w:val="single"/>
        </w:rPr>
        <w:t>Erroneous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the Administrative Agent notifies a Lender or Secured Party, or any Person who has received funds on behalf of a Lender or Secured Party (any such Lender, Secured Party or other recipient, a “</w:t>
      </w:r>
      <w:r>
        <w:rPr>
          <w:rFonts w:ascii="Times New Roman" w:hAnsi="Times New Roman"/>
          <w:b/>
          <w:sz w:val="20"/>
        </w:rPr>
        <w:t>Payment Recipient</w:t>
      </w:r>
      <w:r>
        <w:rPr>
          <w:rFonts w:ascii="Times New Roman" w:hAnsi="Times New Roman"/>
          <w:sz w:val="20"/>
        </w:rPr>
        <w:t xml:space="preserve">”) that the Administrative Agent has determined in its sole discretion (whether or not after receipt of any notice under immediately succeeding </w:t>
      </w:r>
      <w:r>
        <w:rPr>
          <w:rFonts w:ascii="Times New Roman" w:hAnsi="Times New Roman"/>
          <w:sz w:val="20"/>
          <w:u w:val="single"/>
        </w:rPr>
        <w:t>clause (b)</w:t>
      </w:r>
      <w:r>
        <w:rPr>
          <w:rFonts w:ascii="Times New Roman" w:hAnsi="Times New Roman"/>
          <w:sz w:val="20"/>
        </w:rPr>
        <w:t xml:space="preserve">)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distribution or otherwise, individually and collectively, an “</w:t>
      </w:r>
      <w:r>
        <w:rPr>
          <w:rFonts w:ascii="Times New Roman" w:hAnsi="Times New Roman"/>
          <w:b/>
          <w:sz w:val="20"/>
        </w:rPr>
        <w:t>Erroneous Payment</w:t>
      </w:r>
      <w:r>
        <w:rPr>
          <w:rFonts w:ascii="Times New Roman" w:hAnsi="Times New Roman"/>
          <w:sz w:val="20"/>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Overnight Rate. A notice of the Administrative Agent to any Payment Recipient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xml:space="preserve">, each Lender or Secured Party, or any 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in each case: </w:t>
      </w:r>
    </w:p>
    <w:p>
      <w:pPr>
        <w:pStyle w:val="TextBody"/>
        <w:bidi w:val="0"/>
        <w:spacing w:before="120" w:after="0"/>
        <w:jc w:val="left"/>
        <w:rPr>
          <w:rFonts w:ascii="Times New Roman" w:hAnsi="Times New Roman"/>
          <w:sz w:val="20"/>
        </w:rPr>
      </w:pPr>
      <w:r>
        <w:rPr>
          <w:rFonts w:ascii="Times New Roman" w:hAnsi="Times New Roman"/>
          <w:sz w:val="20"/>
        </w:rPr>
        <w:t xml:space="preserve">(i) (A) in the case of immediately preceding </w:t>
      </w:r>
      <w:r>
        <w:rPr>
          <w:rFonts w:ascii="Times New Roman" w:hAnsi="Times New Roman"/>
          <w:sz w:val="20"/>
          <w:u w:val="single"/>
        </w:rPr>
        <w:t>clauses (x)</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an error shall be presumed to have been made (absent written confirmation from the Administrative Agent to the contrary) or (B) an error has been made (in the case of immediately preceding </w:t>
      </w:r>
      <w:r>
        <w:rPr>
          <w:rFonts w:ascii="Times New Roman" w:hAnsi="Times New Roman"/>
          <w:sz w:val="20"/>
          <w:u w:val="single"/>
        </w:rPr>
        <w:t>clause (z)</w:t>
      </w:r>
      <w:r>
        <w:rPr>
          <w:rFonts w:ascii="Times New Roman" w:hAnsi="Times New Roman"/>
          <w:sz w:val="20"/>
        </w:rPr>
        <w:t xml:space="preserve">), in each case, with respect to such payment, prepayment or repayment; and </w:t>
      </w:r>
    </w:p>
    <w:p>
      <w:pPr>
        <w:pStyle w:val="TextBody"/>
        <w:bidi w:val="0"/>
        <w:spacing w:before="120" w:after="0"/>
        <w:jc w:val="left"/>
        <w:rPr>
          <w:rFonts w:ascii="Times New Roman" w:hAnsi="Times New Roman"/>
          <w:sz w:val="20"/>
        </w:rPr>
      </w:pPr>
      <w:r>
        <w:rPr>
          <w:rFonts w:ascii="Times New Roman" w:hAnsi="Times New Roman"/>
          <w:sz w:val="20"/>
        </w:rPr>
        <w:t xml:space="preserve">(ii) such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sz w:val="20"/>
          <w:u w:val="single"/>
        </w:rPr>
        <w:t>Section 10.17(b)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Each Lender or Secured Party hereby authorizes the Administrative Agent to set off, net and apply any and all amounts at any time owing to such Lender or Secured Party under any Loan Document against any amount due to the Administrative Agent under immediately preceding </w:t>
      </w:r>
      <w:r>
        <w:rPr>
          <w:rFonts w:ascii="Times New Roman" w:hAnsi="Times New Roman"/>
          <w:sz w:val="20"/>
          <w:u w:val="single"/>
        </w:rPr>
        <w:t>clause (a)</w:t>
      </w:r>
      <w:r>
        <w:rPr>
          <w:rFonts w:ascii="Times New Roman" w:hAnsi="Times New Roman"/>
          <w:sz w:val="20"/>
        </w:rPr>
        <w:t xml:space="preserve"> or under the indemnification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that an Erroneous Payment (or portion thereof) is not recovered by the Administrative Agent for any reason, after demand therefor by the Administrative Agent in accordance with immediately preceding </w:t>
      </w:r>
      <w:r>
        <w:rPr>
          <w:rFonts w:ascii="Times New Roman" w:hAnsi="Times New Roman"/>
          <w:sz w:val="20"/>
          <w:u w:val="single"/>
        </w:rPr>
        <w:t>clause (a)</w:t>
      </w:r>
      <w:r>
        <w:rPr>
          <w:rFonts w:ascii="Times New Roman" w:hAnsi="Times New Roman"/>
          <w:sz w:val="20"/>
        </w:rPr>
        <w:t>,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b/>
          <w:sz w:val="20"/>
        </w:rPr>
        <w:t>Erroneous Payment Return Deficiency</w:t>
      </w:r>
      <w:r>
        <w:rPr>
          <w:rFonts w:ascii="Times New Roman" w:hAnsi="Times New Roman"/>
          <w:sz w:val="20"/>
        </w:rPr>
        <w:t>”), upon the Administrative Agent’s notice to such Lender at any time, (i) such Lender shall be deemed to have assigned its Loans with respect to which such Erroneous Payment was made (the “</w:t>
      </w:r>
      <w:r>
        <w:rPr>
          <w:rFonts w:ascii="Times New Roman" w:hAnsi="Times New Roman"/>
          <w:b/>
          <w:sz w:val="20"/>
        </w:rPr>
        <w:t>Erroneous Payment Impacted Loans</w:t>
      </w:r>
      <w:r>
        <w:rPr>
          <w:rFonts w:ascii="Times New Roman" w:hAnsi="Times New Roman"/>
          <w:sz w:val="20"/>
        </w:rPr>
        <w:t>”) in an amount equal to the Erroneous Payment Return Deficiency (or such lesser amount as the Administrative Agent may specify) (such assignment of the Loans of the Erroneous Payment Impacted Loans, the “</w:t>
      </w:r>
      <w:r>
        <w:rPr>
          <w:rFonts w:ascii="Times New Roman" w:hAnsi="Times New Roman"/>
          <w:b/>
          <w:sz w:val="20"/>
        </w:rPr>
        <w:t>Erroneous Payment Deficiency Assignment</w:t>
      </w:r>
      <w:r>
        <w:rPr>
          <w:rFonts w:ascii="Times New Roman" w:hAnsi="Times New Roman"/>
          <w:sz w:val="20"/>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shall deliver any Term Loan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the Loan Documents with respect to each Erroneous Payment Return Deficiency (the “</w:t>
      </w:r>
      <w:r>
        <w:rPr>
          <w:rFonts w:ascii="Times New Roman" w:hAnsi="Times New Roman"/>
          <w:b/>
          <w:sz w:val="20"/>
        </w:rPr>
        <w:t>Erroneous Payment Subrogation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w:t>
      </w:r>
    </w:p>
    <w:p>
      <w:pPr>
        <w:pStyle w:val="TextBody"/>
        <w:bidi w:val="0"/>
        <w:spacing w:before="120" w:after="0"/>
        <w:jc w:val="left"/>
        <w:rPr>
          <w:rFonts w:ascii="Times New Roman" w:hAnsi="Times New Roman"/>
          <w:sz w:val="20"/>
        </w:rPr>
      </w:pPr>
      <w:r>
        <w:rPr>
          <w:rFonts w:ascii="Times New Roman" w:hAnsi="Times New Roman"/>
          <w:sz w:val="20"/>
        </w:rPr>
        <w:t xml:space="preserve">(g) Each party’s obligations, agreements and waivers under this </w:t>
      </w:r>
      <w:r>
        <w:rPr>
          <w:rFonts w:ascii="Times New Roman" w:hAnsi="Times New Roman"/>
          <w:sz w:val="20"/>
          <w:u w:val="single"/>
        </w:rPr>
        <w:t>Section 10.17</w:t>
      </w:r>
      <w:r>
        <w:rPr>
          <w:rFonts w:ascii="Times New Roman" w:hAnsi="Times New Roman"/>
          <w:sz w:val="20"/>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t>
      </w:r>
      <w:r>
        <w:rPr>
          <w:rFonts w:ascii="Times New Roman" w:hAnsi="Times New Roman"/>
          <w:b/>
          <w:sz w:val="20"/>
          <w:u w:val="single"/>
        </w:rPr>
        <w:t>Amendments, Waivers,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Rule</w:t>
      </w:r>
      <w:r>
        <w:rPr>
          <w:rFonts w:ascii="Times New Roman" w:hAnsi="Times New Roman"/>
          <w:sz w:val="20"/>
        </w:rPr>
        <w:t xml:space="preserve">.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Any amendment or waiver of this Agreement or any other Loan Document that affects the Collateral Trustee’s rights, protections, immunities, indemnities, duties or obligations, shall not be effective unless consented to by the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Lender Approvals</w:t>
      </w:r>
      <w:r>
        <w:rPr>
          <w:rFonts w:ascii="Times New Roman" w:hAnsi="Times New Roman"/>
          <w:sz w:val="20"/>
        </w:rPr>
        <w:t xml:space="preserve">. Notwithstanding the provisions of </w:t>
      </w:r>
      <w:r>
        <w:rPr>
          <w:rFonts w:ascii="Times New Roman" w:hAnsi="Times New Roman"/>
          <w:sz w:val="20"/>
          <w:u w:val="single"/>
        </w:rPr>
        <w:t>Section 11.01(a)</w:t>
      </w:r>
      <w:r>
        <w:rPr>
          <w:rFonts w:ascii="Times New Roman" w:hAnsi="Times New Roman"/>
          <w:sz w:val="20"/>
        </w:rPr>
        <w:t xml:space="preserve">, no such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(i) Extend, increase or reinstate the Commitment of any Lender without the written consent of each Lender directly and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 postpone any date scheduled for, or reduce the amount of, any payment of principal or interest with respect to any Loan or with respect to any fees payable under </w:t>
      </w:r>
      <w:r>
        <w:rPr>
          <w:rFonts w:ascii="Times New Roman" w:hAnsi="Times New Roman"/>
          <w:sz w:val="20"/>
          <w:u w:val="single"/>
        </w:rPr>
        <w:t>Section 2.06(b)</w:t>
      </w:r>
      <w:r>
        <w:rPr>
          <w:rFonts w:ascii="Times New Roman" w:hAnsi="Times New Roman"/>
          <w:sz w:val="20"/>
        </w:rPr>
        <w:t xml:space="preserve"> without the written consent of each Lender directly and adversely affected thereby, it being understood that a waiver of any mandatory prepayment set forth in </w:t>
      </w:r>
      <w:r>
        <w:rPr>
          <w:rFonts w:ascii="Times New Roman" w:hAnsi="Times New Roman"/>
          <w:sz w:val="20"/>
          <w:u w:val="single"/>
        </w:rPr>
        <w:t>Section 2.03(b)</w:t>
      </w:r>
      <w:r>
        <w:rPr>
          <w:rFonts w:ascii="Times New Roman" w:hAnsi="Times New Roman"/>
          <w:sz w:val="20"/>
        </w:rPr>
        <w:t xml:space="preserve"> or the waiver of any Default (other than a Default under </w:t>
      </w:r>
      <w:r>
        <w:rPr>
          <w:rFonts w:ascii="Times New Roman" w:hAnsi="Times New Roman"/>
          <w:sz w:val="20"/>
          <w:u w:val="single"/>
        </w:rPr>
        <w:t>Section 9.01(a)</w:t>
      </w:r>
      <w:r>
        <w:rPr>
          <w:rFonts w:ascii="Times New Roman" w:hAnsi="Times New Roman"/>
          <w:sz w:val="20"/>
        </w:rPr>
        <w:t xml:space="preserve">) shall not constitute a postponement of any date scheduled for, or a reduction in the amount of, any payment of interest or any payment of fees;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principal of, or the rate of interest specified herein on, any Loan or any fees or other amounts payable hereunder or under any other Loan Document (except interest due at the Default Rate or as expressly set forth in </w:t>
      </w:r>
      <w:r>
        <w:rPr>
          <w:rFonts w:ascii="Times New Roman" w:hAnsi="Times New Roman"/>
          <w:sz w:val="20"/>
          <w:u w:val="single"/>
        </w:rPr>
        <w:t>clause (h)</w:t>
      </w:r>
      <w:r>
        <w:rPr>
          <w:rFonts w:ascii="Times New Roman" w:hAnsi="Times New Roman"/>
          <w:sz w:val="20"/>
        </w:rPr>
        <w:t xml:space="preserve"> of this </w:t>
      </w:r>
      <w:r>
        <w:rPr>
          <w:rFonts w:ascii="Times New Roman" w:hAnsi="Times New Roman"/>
          <w:sz w:val="20"/>
          <w:u w:val="single"/>
        </w:rPr>
        <w:t>Section 11.01</w:t>
      </w:r>
      <w:r>
        <w:rPr>
          <w:rFonts w:ascii="Times New Roman" w:hAnsi="Times New Roman"/>
          <w:sz w:val="20"/>
        </w:rPr>
        <w:t xml:space="preserve">) without the written consent of each Lender, it being understood that any change to the definitions of Total Net Leverage Ratio or in the component definitions thereof shall not constitute a reduction in the rate of interest as long as the intent of such change is not to cause a reduced interest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change any provision of this </w:t>
      </w:r>
      <w:r>
        <w:rPr>
          <w:rFonts w:ascii="Times New Roman" w:hAnsi="Times New Roman"/>
          <w:sz w:val="20"/>
          <w:u w:val="single"/>
        </w:rPr>
        <w:t>Section 11.01</w:t>
      </w:r>
      <w:r>
        <w:rPr>
          <w:rFonts w:ascii="Times New Roman" w:hAnsi="Times New Roman"/>
          <w:sz w:val="20"/>
        </w:rPr>
        <w:t xml:space="preserve"> or the definition of “Required Lenders” or “Pro Rata Share” or any other provision specifying the number of Lenders or portion of the Loans or Commitments required to take any action under the Loan Documents,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 other than in connection with a transfer or other transaction permitted under the Loan Documents (including, for the avoidance of doubt, Permitted Reflagging Transactions), (i) release all or substantially all of the Collateral in any transaction or series of related transactions, without the written consent of each Lender or (ii) release any Vessel Collateral representing in the aggregate for all such released Vessel Collateral a Vessel Collateral Value Amount in excess of $216,400,000 of the aggregate Vessel Collateral Value Amount as determined on or about the applicable release date or date of entry into a binding commitment to release (but, in any case, no earlier than thirty (30) days prior to the applicable release date or entry date,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(vi) other than in connection with a transfer or other transaction permitted under the Loan Documents, release all or substantially all of the aggregate value of the Guaranty or all or substantially all of the Guarantors or the Borrower,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(vii) modify </w:t>
      </w:r>
      <w:r>
        <w:rPr>
          <w:rFonts w:ascii="Times New Roman" w:hAnsi="Times New Roman"/>
          <w:sz w:val="20"/>
          <w:u w:val="single"/>
        </w:rPr>
        <w:t>Section 2.10</w:t>
      </w:r>
      <w:r>
        <w:rPr>
          <w:rFonts w:ascii="Times New Roman" w:hAnsi="Times New Roman"/>
          <w:sz w:val="20"/>
        </w:rPr>
        <w:t xml:space="preserve"> or </w:t>
      </w:r>
      <w:r>
        <w:rPr>
          <w:rFonts w:ascii="Times New Roman" w:hAnsi="Times New Roman"/>
          <w:sz w:val="20"/>
          <w:u w:val="single"/>
        </w:rPr>
        <w:t>9.03</w:t>
      </w:r>
      <w:r>
        <w:rPr>
          <w:rFonts w:ascii="Times New Roman" w:hAnsi="Times New Roman"/>
          <w:sz w:val="20"/>
        </w:rPr>
        <w:t xml:space="preserve"> without the written consent of each Lender directly and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(viii) modify </w:t>
      </w:r>
      <w:r>
        <w:rPr>
          <w:rFonts w:ascii="Times New Roman" w:hAnsi="Times New Roman"/>
          <w:sz w:val="20"/>
          <w:u w:val="single"/>
        </w:rPr>
        <w:t>Section 4.01</w:t>
      </w:r>
      <w:r>
        <w:rPr>
          <w:rFonts w:ascii="Times New Roman" w:hAnsi="Times New Roman"/>
          <w:sz w:val="20"/>
        </w:rPr>
        <w:t xml:space="preserve"> or </w:t>
      </w:r>
      <w:r>
        <w:rPr>
          <w:rFonts w:ascii="Times New Roman" w:hAnsi="Times New Roman"/>
          <w:sz w:val="20"/>
          <w:u w:val="single"/>
        </w:rPr>
        <w:t>Section 4.02</w:t>
      </w:r>
      <w:r>
        <w:rPr>
          <w:rFonts w:ascii="Times New Roman" w:hAnsi="Times New Roman"/>
          <w:sz w:val="20"/>
        </w:rPr>
        <w:t xml:space="preserve"> without the written consent of each Lender; or </w:t>
      </w:r>
    </w:p>
    <w:p>
      <w:pPr>
        <w:pStyle w:val="TextBody"/>
        <w:bidi w:val="0"/>
        <w:spacing w:before="120" w:after="0"/>
        <w:jc w:val="left"/>
        <w:rPr>
          <w:rFonts w:ascii="Times New Roman" w:hAnsi="Times New Roman"/>
          <w:sz w:val="20"/>
        </w:rPr>
      </w:pPr>
      <w:r>
        <w:rPr>
          <w:rFonts w:ascii="Times New Roman" w:hAnsi="Times New Roman"/>
          <w:sz w:val="20"/>
        </w:rPr>
        <w:t xml:space="preserve">(ix) prior to an Event of Default under </w:t>
      </w:r>
      <w:r>
        <w:rPr>
          <w:rFonts w:ascii="Times New Roman" w:hAnsi="Times New Roman"/>
          <w:sz w:val="20"/>
          <w:u w:val="single"/>
        </w:rPr>
        <w:t>Section 9.01(f)</w:t>
      </w:r>
      <w:r>
        <w:rPr>
          <w:rFonts w:ascii="Times New Roman" w:hAnsi="Times New Roman"/>
          <w:sz w:val="20"/>
        </w:rPr>
        <w:t>, amend or modify any term or provision of any Loan Document to permit the issuance or incurrence of any Indebtedness for Borrowed Money (excluding Indebtedness that is expressly permitted by this Agreement as in effect on the Closing Date to be senior to the Obligations and/or to be secured by a Lien that is senior to the Lien securing the Obligations) with respect to which (x) the Liens on the Collateral securing the Obligations would be subordinated or (y) all or any portion of the Obligations would be subordinated in right of payment (any such other Indebtedness to which such Liens securing any of the Obligations or such Obligations, as applicable, are subordinated, “</w:t>
      </w:r>
      <w:r>
        <w:rPr>
          <w:rFonts w:ascii="Times New Roman" w:hAnsi="Times New Roman"/>
          <w:b/>
          <w:sz w:val="20"/>
        </w:rPr>
        <w:t>Senior Indebtedness</w:t>
      </w:r>
      <w:r>
        <w:rPr>
          <w:rFonts w:ascii="Times New Roman" w:hAnsi="Times New Roman"/>
          <w:sz w:val="20"/>
        </w:rPr>
        <w:t>”), in each case without the written consent of each Lender directly and adversely affected thereby, unless each adversely affected Lender (A)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 w:hAnsi="Times New Roman"/>
          <w:b/>
          <w:sz w:val="20"/>
        </w:rPr>
        <w:t>Ancillary Fees</w:t>
      </w:r>
      <w:r>
        <w:rPr>
          <w:rFonts w:ascii="Times New Roman" w:hAnsi="Times New Roman"/>
          <w:sz w:val="20"/>
        </w:rPr>
        <w:t xml:space="preserve">”) as offered to all other providers (or their Affiliates) of the Senior Indebtedness, and (B) decides to participate in the Senior Indebtedness and receives its pro rata share of the fees and any other similar benefit (other than Ancillary Fees) of the Senior Indebtedness afforded to the providers of the Senior Indebtedness (or any of their Affiliates) in connection with providing the Senior Indebtedness;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modify any provision of this Agreement to permit the Borrower or Restricted Subsidiaries to incur Indebtedness for Borrowed Money that is senior in payment or Lien priority or pari passu in payment priority with the Obligations, or otherwise subordinate the Obligations to any other Indebtedness for Borrowed Money, in each case, without the written consent of each Lender directly and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(c) Other Specific Approvals. Notwithstanding the provisions of </w:t>
      </w:r>
      <w:r>
        <w:rPr>
          <w:rFonts w:ascii="Times New Roman" w:hAnsi="Times New Roman"/>
          <w:sz w:val="20"/>
          <w:u w:val="single"/>
        </w:rPr>
        <w:t>Section 11.01(a)</w:t>
      </w:r>
      <w:r>
        <w:rPr>
          <w:rFonts w:ascii="Times New Roman" w:hAnsi="Times New Roman"/>
          <w:sz w:val="20"/>
        </w:rPr>
        <w:t xml:space="preserve"> or </w:t>
      </w:r>
      <w:r>
        <w:rPr>
          <w:rFonts w:ascii="Times New Roman" w:hAnsi="Times New Roman"/>
          <w:sz w:val="20"/>
          <w:u w:val="single"/>
        </w:rPr>
        <w:t>Section 11.01(b)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(ii) no amendment, waiver or consent shall, unless in writing and signed by the Collateral Trustee in addition to the Lenders required above, affect the rights or duties of, or any fees or other amounts payable to, the Collateral Trustee under this Agreement or any other Loan Document, and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Section 11.07(g)</w:t>
      </w:r>
      <w:r>
        <w:rPr>
          <w:rFonts w:ascii="Times New Roman" w:hAnsi="Times New Roman"/>
          <w:sz w:val="20"/>
        </w:rPr>
        <w:t xml:space="preserve"> may not be amended, waived or otherwise modified without the consent of each Granting Lender all or any part of whose Loans are being funded by an SPC at the time of such amendment, waiver or other modification.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Intercreditor Agreements</w:t>
      </w:r>
      <w:r>
        <w:rPr>
          <w:rFonts w:ascii="Times New Roman" w:hAnsi="Times New Roman"/>
          <w:sz w:val="20"/>
        </w:rPr>
        <w:t xml:space="preserve">. No Lender consent is required to effect any amendment or supplement to the Intercreditor Agreements or any other intercreditor agreement that is, (i) for the purpose of adding the holders of First Lien RCF Credit Agreement Refinancing Indebtedness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 (ii) expressly contemplated by the Intercreditor Agreements or any other intercreditor agreement expressly permitted to be entered into hereunder, </w:t>
      </w:r>
      <w:r>
        <w:rPr>
          <w:rFonts w:ascii="Times New Roman" w:hAnsi="Times New Roman"/>
          <w:i/>
          <w:sz w:val="20"/>
        </w:rPr>
        <w:t>provided</w:t>
      </w:r>
      <w:r>
        <w:rPr>
          <w:rFonts w:ascii="Times New Roman" w:hAnsi="Times New Roman"/>
          <w:sz w:val="20"/>
        </w:rPr>
        <w:t xml:space="preserve"> that such amendment or supplement in either case shall not effectuate an amendment prohibited by </w:t>
      </w:r>
      <w:r>
        <w:rPr>
          <w:rFonts w:ascii="Times New Roman" w:hAnsi="Times New Roman"/>
          <w:sz w:val="20"/>
          <w:u w:val="single"/>
        </w:rPr>
        <w:t>Section 11.01(b)(ix)</w:t>
      </w:r>
      <w:r>
        <w:rPr>
          <w:rFonts w:ascii="Times New Roman" w:hAnsi="Times New Roman"/>
          <w:sz w:val="20"/>
        </w:rPr>
        <w:t xml:space="preserve"> or</w:t>
      </w:r>
      <w:r>
        <w:rPr>
          <w:rFonts w:ascii="Times New Roman" w:hAnsi="Times New Roman"/>
          <w:sz w:val="20"/>
          <w:u w:val="single"/>
        </w:rPr>
        <w:t xml:space="preserve"> (x)</w:t>
      </w:r>
      <w:r>
        <w:rPr>
          <w:rFonts w:ascii="Times New Roman" w:hAnsi="Times New Roman"/>
          <w:sz w:val="20"/>
        </w:rPr>
        <w:t xml:space="preserve"> without the written consent of each directly and adversely effected Lender. </w:t>
      </w:r>
    </w:p>
    <w:p>
      <w:pPr>
        <w:pStyle w:val="TextBody"/>
        <w:bidi w:val="0"/>
        <w:spacing w:before="120" w:after="0"/>
        <w:jc w:val="left"/>
        <w:rPr>
          <w:rFonts w:ascii="Times New Roman" w:hAnsi="Times New Roman"/>
          <w:sz w:val="20"/>
        </w:rPr>
      </w:pPr>
      <w:r>
        <w:rPr>
          <w:rFonts w:ascii="Times New Roman" w:hAnsi="Times New Roman"/>
          <w:sz w:val="20"/>
        </w:rPr>
        <w:t xml:space="preserve">(e) [Reserved]. </w:t>
      </w:r>
    </w:p>
    <w:p>
      <w:pPr>
        <w:pStyle w:val="TextBody"/>
        <w:bidi w:val="0"/>
        <w:spacing w:before="120" w:after="0"/>
        <w:jc w:val="left"/>
        <w:rPr>
          <w:rFonts w:ascii="Times New Roman" w:hAnsi="Times New Roman"/>
          <w:sz w:val="20"/>
        </w:rPr>
      </w:pPr>
      <w:r>
        <w:rPr>
          <w:rFonts w:ascii="Times New Roman" w:hAnsi="Times New Roman"/>
          <w:sz w:val="20"/>
        </w:rPr>
        <w:t xml:space="preserve">(f) [Reserved].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Certain Amendments to Loan Documents</w:t>
      </w:r>
      <w:r>
        <w:rPr>
          <w:rFonts w:ascii="Times New Roman" w:hAnsi="Times New Roman"/>
          <w:sz w:val="20"/>
        </w:rPr>
        <w:t xml:space="preserve">. The Guaranty, the Collateral Documents and related documents executed by the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errors or defects (as reasonably determined by the Administrative Agent and the Borrower with such determination being conclusive and binding), (iii) to cause such Guaranty, Collateral Document or other document to be consistent with this Agreement and the other Loan Documents or (iv) for administrative clarity (as conclusively determined by the Administrative Agent and the Borrower in good faith). </w:t>
      </w:r>
    </w:p>
    <w:p>
      <w:pPr>
        <w:pStyle w:val="TextBody"/>
        <w:bidi w:val="0"/>
        <w:spacing w:before="120" w:after="0"/>
        <w:jc w:val="left"/>
        <w:rPr>
          <w:rFonts w:ascii="Times New Roman" w:hAnsi="Times New Roman"/>
          <w:sz w:val="20"/>
        </w:rPr>
      </w:pPr>
      <w:r>
        <w:rPr>
          <w:rFonts w:ascii="Times New Roman" w:hAnsi="Times New Roman"/>
          <w:sz w:val="20"/>
        </w:rPr>
        <w:t xml:space="preserve">(i) Defaulting Lenders, Disqualified Lenders and Net Short Lenders.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Defaulting Lenders and Disqualified Lenders</w:t>
      </w:r>
      <w:r>
        <w:rPr>
          <w:rFonts w:ascii="Times New Roman" w:hAnsi="Times New Roman"/>
          <w:sz w:val="20"/>
        </w:rPr>
        <w:t xml:space="preserve">. No Defaulting Lender or Disqualified Lender shall have any right to approve or disapprove any amendment, waiver or consent hereunder (and any amendment, waiver or consent which by its terms requires the consent of all Lenders, the Required Lenders or each affected Lender may be effected with the consent of the applicable Lenders other than Defaulting Lenders or Disqualified Lender), except that (A) the Commitment of any Defaulting Lender or Disqualified Lender may not be increased or extended without the consent of such Defaulting Lender or such Disqualified Lender and (B) any waiver, amendment or modification requiring the consent of all Lenders or each affected Lender that by its terms affects any Defaulting Lender or Disqualified Lender (other than any Disqualified Lender described in </w:t>
      </w:r>
      <w:r>
        <w:rPr>
          <w:rFonts w:ascii="Times New Roman" w:hAnsi="Times New Roman"/>
          <w:sz w:val="20"/>
          <w:u w:val="single"/>
        </w:rPr>
        <w:t>clause (d)</w:t>
      </w:r>
      <w:r>
        <w:rPr>
          <w:rFonts w:ascii="Times New Roman" w:hAnsi="Times New Roman"/>
          <w:sz w:val="20"/>
        </w:rPr>
        <w:t xml:space="preserve"> of the definition thereof) more adversely than other affected Lenders shall require the consent of such Defaulting Lender or Disqualified Lender,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Net Short Lenders</w:t>
      </w:r>
      <w:r>
        <w:rPr>
          <w:rFonts w:ascii="Times New Roman" w:hAnsi="Times New Roman"/>
          <w:sz w:val="20"/>
        </w:rPr>
        <w:t xml:space="preserve">. Net Short Lenders shall have the right to approve or disapprove any amendment, waiver or consent only to the extent set forth in </w:t>
      </w:r>
      <w:r>
        <w:rPr>
          <w:rFonts w:ascii="Times New Roman" w:hAnsi="Times New Roman"/>
          <w:sz w:val="20"/>
          <w:u w:val="single"/>
        </w:rPr>
        <w:t>Section 11.28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w:t>
      </w:r>
      <w:r>
        <w:rPr>
          <w:rFonts w:ascii="Times New Roman" w:hAnsi="Times New Roman"/>
          <w:b/>
          <w:sz w:val="20"/>
          <w:u w:val="single"/>
        </w:rPr>
        <w:t>Notices and Other Communications; Facsimile Copies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e-mail as follows, and all notices and other communications expressly permitted hereunder to be given by telephone shall be made to the applicable telephone number,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the Borrower, the Collateral Trustee or the Administrative Agent, to the address, electronic mail address or telephone number specified for such Person on </w:t>
      </w:r>
      <w:r>
        <w:rPr>
          <w:rFonts w:ascii="Times New Roman" w:hAnsi="Times New Roman"/>
          <w:sz w:val="20"/>
          <w:u w:val="single"/>
        </w:rPr>
        <w:t>Schedule 11.02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Lender, to the address, electronic mail addresses or telephone number specified in its Administrative Questionnaire.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and notices deposited in the United States mail with postage prepaid and properly addressed shall be deemed to have been given within three (3) Business Days of such deposit; </w:t>
      </w:r>
      <w:r>
        <w:rPr>
          <w:rFonts w:ascii="Times New Roman" w:hAnsi="Times New Roman"/>
          <w:i/>
          <w:sz w:val="20"/>
        </w:rPr>
        <w:t xml:space="preserve">provided </w:t>
      </w:r>
      <w:r>
        <w:rPr>
          <w:rFonts w:ascii="Times New Roman" w:hAnsi="Times New Roman"/>
          <w:sz w:val="20"/>
        </w:rPr>
        <w:t xml:space="preserve">that no notice to any Agent shall be effective until received by such Agent. Notices and other communications delivered through electronic communications to the extent provided in subsection (b) below shall be effective as provided in such subsection (b).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w:t>
      </w:r>
      <w:r>
        <w:rPr>
          <w:rFonts w:ascii="Times New Roman" w:hAnsi="Times New Roman"/>
          <w:sz w:val="20"/>
        </w:rPr>
        <w:t xml:space="preserve">. Notices and other communications to any Agent and the Lenders hereunder may be delivered or furnished by electronic communication (including e-mail and Internet or intranet websites, including the Platform (if any)) pursuant to procedures approved by the Administrative Agent, </w:t>
      </w:r>
      <w:r>
        <w:rPr>
          <w:rFonts w:ascii="Times New Roman" w:hAnsi="Times New Roman"/>
          <w:i/>
          <w:sz w:val="20"/>
        </w:rPr>
        <w:t xml:space="preserve">provided </w:t>
      </w:r>
      <w:r>
        <w:rPr>
          <w:rFonts w:ascii="Times New Roman" w:hAnsi="Times New Roman"/>
          <w:sz w:val="20"/>
        </w:rPr>
        <w:t xml:space="preserve">that the foregoing shall not apply to notices to any Agent or Lender pursuant to </w:t>
      </w:r>
      <w:r>
        <w:rPr>
          <w:rFonts w:ascii="Times New Roman" w:hAnsi="Times New Roman"/>
          <w:sz w:val="20"/>
          <w:u w:val="single"/>
        </w:rPr>
        <w:t>Article II</w:t>
      </w:r>
      <w:r>
        <w:rPr>
          <w:rFonts w:ascii="Times New Roman" w:hAnsi="Times New Roman"/>
          <w:sz w:val="20"/>
        </w:rPr>
        <w:t xml:space="preserve"> if such Person,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i/>
          <w:sz w:val="20"/>
        </w:rPr>
        <w:t xml:space="preserve">provided </w:t>
      </w:r>
      <w:r>
        <w:rPr>
          <w:rFonts w:ascii="Times New Roman" w:hAnsi="Times New Roman"/>
          <w:sz w:val="20"/>
        </w:rPr>
        <w:t xml:space="preserve">that approval of such procedures may be limited to particular notices or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Receipt</w:t>
      </w:r>
      <w:r>
        <w:rPr>
          <w:rFonts w:ascii="Times New Roman" w:hAnsi="Times New Roman"/>
          <w:sz w:val="20"/>
        </w:rPr>
        <w:t xml:space="preserve">.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i/>
          <w:sz w:val="20"/>
        </w:rPr>
        <w:t xml:space="preserve">provided </w:t>
      </w:r>
      <w:r>
        <w:rPr>
          <w:rFonts w:ascii="Times New Roman" w:hAnsi="Times New Roman"/>
          <w:sz w:val="20"/>
        </w:rPr>
        <w:t xml:space="preserve">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hAnsi="Times New Roman"/>
          <w:sz w:val="20"/>
          <w:u w:val="single"/>
        </w:rPr>
        <w:t>clause (i)</w:t>
      </w:r>
      <w:r>
        <w:rPr>
          <w:rFonts w:ascii="Times New Roman" w:hAnsi="Times New Roman"/>
          <w:sz w:val="20"/>
        </w:rPr>
        <w:t xml:space="preserve"> of notification that such notice or communication is available and identifying the website address therefor.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Risks of Electronic Communications</w:t>
      </w:r>
      <w:r>
        <w:rPr>
          <w:rFonts w:ascii="Times New Roman" w:hAnsi="Times New Roman"/>
          <w:sz w:val="20"/>
        </w:rPr>
        <w:t xml:space="preserve">. Each Loan Party understands that the distribution of materials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or any Lender as determined by a final, non-appealable judgment of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The Platform</w:t>
      </w:r>
      <w:r>
        <w:rPr>
          <w:rFonts w:ascii="Times New Roman" w:hAnsi="Times New Roman"/>
          <w:sz w:val="20"/>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OR IN THE PLATFORM. NO WARRANTY OF ANY KIND, EXPRESS, IMPLIED OR STATUTORY, INCLUDING ANY WARRANTY OF MERCHANTABILITY, FITNESS FOR A PARTICULAR PURPOSE, NON-INFRINGEMENT OF THIRD PARTY RIGHTS OR FREEDOM FROM VIRUSES OR OTHER CODE DEFECTS,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BY ANY AGENT PARTY IN CONNECTION WITH THE BORROWER MATERIALS OR THE PLATFORM. In no event shall the Administrative Agent or any of its Agent-Related Persons (collectively, the “</w:t>
      </w:r>
      <w:r>
        <w:rPr>
          <w:rFonts w:ascii="Times New Roman" w:hAnsi="Times New Roman"/>
          <w:b/>
          <w:sz w:val="20"/>
        </w:rPr>
        <w:t>Agent Parties</w:t>
      </w:r>
      <w:r>
        <w:rPr>
          <w:rFonts w:ascii="Times New Roman" w:hAnsi="Times New Roman"/>
          <w:sz w:val="20"/>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any Agent Party have any liability to the Borrower, any Lender or any other Person for indirect, special, incidental, consequential or punitive damages (as opposed to direct or actual damages). Each Loan Party, each Lender and each Agent agrees that the Administrative Agent may, but shall not be obligated to, store any Borrower Materials on the Platform in accordance with the Administrative Agent’s customary document retention procedures and policies.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Change of Address</w:t>
      </w:r>
      <w:r>
        <w:rPr>
          <w:rFonts w:ascii="Times New Roman" w:hAnsi="Times New Roman"/>
          <w:sz w:val="20"/>
        </w:rPr>
        <w:t xml:space="preserve">. Each of the Borrower and the Administrative Agent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the Borrower, the Administrative Agent and the Collateral Trustee.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the Agents and the Lenders</w:t>
      </w:r>
      <w:r>
        <w:rPr>
          <w:rFonts w:ascii="Times New Roman" w:hAnsi="Times New Roman"/>
          <w:sz w:val="20"/>
        </w:rPr>
        <w:t xml:space="preserve">. The Agents and the Lenders shall be entitled to rely and act upon any notices (including Borrowing Requests)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any Agent may be recorded by the Administrative Agent, and each of the parties hereto hereby consents to such recording. The Borrower shall indemnify the Agents and the Lenders and each Agent-Related Person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Private-Side Information Contacts</w:t>
      </w:r>
      <w:r>
        <w:rPr>
          <w:rFonts w:ascii="Times New Roman" w:hAnsi="Times New Roman"/>
          <w:sz w:val="20"/>
        </w:rPr>
        <w:t xml:space="preserve">. Each Public Lender agrees to cause at least one individual at or on behalf of such Public Lender to at all times have selected the “Private-Side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“Public-Side Information” portion of the Platform and that may contain Private-Side Information with respect to the Borrower, its Subsidiaries or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 any responsibility for such Public Lender’s decision to limit the scope of the information it has obtained in connection with this Agreement and the other Loan Documents and (B) any duty to disclose such information to such Public Lender or to use such information on behalf of such Public Lender, and shall not be liable for the failure to so disclose or use, such information.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w:t>
      </w:r>
      <w:r>
        <w:rPr>
          <w:rFonts w:ascii="Times New Roman" w:hAnsi="Times New Roman"/>
          <w:b/>
          <w:sz w:val="20"/>
          <w:u w:val="single"/>
        </w:rPr>
        <w:t>No Waiver; Cumulative Remedies</w:t>
      </w:r>
      <w:r>
        <w:rPr>
          <w:rFonts w:ascii="Times New Roman" w:hAnsi="Times New Roman"/>
          <w:sz w:val="20"/>
        </w:rPr>
        <w:t xml:space="preserve">. No forbearance, failure or delay by any Lender or any Agent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Article X</w:t>
      </w:r>
      <w:r>
        <w:rPr>
          <w:rFonts w:ascii="Times New Roman" w:hAnsi="Times New Roman"/>
          <w:sz w:val="20"/>
        </w:rPr>
        <w:t xml:space="preserve"> for the benefit of all the Lenders; </w:t>
      </w:r>
      <w:r>
        <w:rPr>
          <w:rFonts w:ascii="Times New Roman" w:hAnsi="Times New Roman"/>
          <w:i/>
          <w:sz w:val="20"/>
        </w:rPr>
        <w:t xml:space="preserve">provided </w:t>
      </w:r>
      <w:r>
        <w:rPr>
          <w:rFonts w:ascii="Times New Roman" w:hAnsi="Times New Roman"/>
          <w:sz w:val="20"/>
        </w:rPr>
        <w:t xml:space="preserve">that the foregoing shall not prohibit (i) the Administrative Agent from exercising on its own behalf the rights and remedies that inure to its benefit (solely in its capacity as Administrative Agent) hereunder and under the other Loan Documents, (ii) [reserved], (iii) any Lender from exercising setoff rights in accordance with </w:t>
      </w:r>
      <w:r>
        <w:rPr>
          <w:rFonts w:ascii="Times New Roman" w:hAnsi="Times New Roman"/>
          <w:sz w:val="20"/>
          <w:u w:val="single"/>
        </w:rPr>
        <w:t>Section 11.09</w:t>
      </w:r>
      <w:r>
        <w:rPr>
          <w:rFonts w:ascii="Times New Roman" w:hAnsi="Times New Roman"/>
          <w:sz w:val="20"/>
        </w:rPr>
        <w:t xml:space="preserve"> (subject to the terms of </w:t>
      </w:r>
      <w:r>
        <w:rPr>
          <w:rFonts w:ascii="Times New Roman" w:hAnsi="Times New Roman"/>
          <w:sz w:val="20"/>
          <w:u w:val="single"/>
        </w:rPr>
        <w:t>Section 2.10</w:t>
      </w:r>
      <w:r>
        <w:rPr>
          <w:rFonts w:ascii="Times New Roman" w:hAnsi="Times New Roman"/>
          <w:sz w:val="20"/>
        </w:rPr>
        <w:t xml:space="preserve">) or (iv) any Lender from filing proofs of claim or appearing and filing pleadings on its own behalf during the pendency of a proceeding relative to the Borrower under any Debtor Relief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at any time there is no Person acting as Administrative Agent hereunder and under the other Loan Documents, then (A) the Required Lenders shall have the rights otherwise provided to the Administrative Agent pursuant to </w:t>
      </w:r>
      <w:r>
        <w:rPr>
          <w:rFonts w:ascii="Times New Roman" w:hAnsi="Times New Roman"/>
          <w:sz w:val="20"/>
          <w:u w:val="single"/>
        </w:rPr>
        <w:t>Article X</w:t>
      </w:r>
      <w:r>
        <w:rPr>
          <w:rFonts w:ascii="Times New Roman" w:hAnsi="Times New Roman"/>
          <w:sz w:val="20"/>
        </w:rPr>
        <w:t xml:space="preserve"> and (B) in addition to the matters set forth in </w:t>
      </w:r>
      <w:r>
        <w:rPr>
          <w:rFonts w:ascii="Times New Roman" w:hAnsi="Times New Roman"/>
          <w:sz w:val="20"/>
          <w:u w:val="single"/>
        </w:rPr>
        <w:t>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the preceding proviso and subject to </w:t>
      </w:r>
      <w:r>
        <w:rPr>
          <w:rFonts w:ascii="Times New Roman" w:hAnsi="Times New Roman"/>
          <w:sz w:val="20"/>
          <w:u w:val="single"/>
        </w:rPr>
        <w:t>Section 2.10</w:t>
      </w:r>
      <w:r>
        <w:rPr>
          <w:rFonts w:ascii="Times New Roman" w:hAnsi="Times New Roman"/>
          <w:sz w:val="20"/>
        </w:rPr>
        <w:t xml:space="preserve">, any Lender may, with the consent of the Required Lenders, enforce any rights or remedies available to it and as authorized by the Required Lenders.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11.04</w:t>
      </w:r>
      <w:r>
        <w:rPr>
          <w:rFonts w:ascii="Times New Roman" w:hAnsi="Times New Roman"/>
          <w:sz w:val="20"/>
        </w:rPr>
        <w:t xml:space="preserve"> </w:t>
      </w:r>
      <w:r>
        <w:rPr>
          <w:rFonts w:ascii="Times New Roman" w:hAnsi="Times New Roman"/>
          <w:b/>
          <w:sz w:val="20"/>
          <w:u w:val="single"/>
        </w:rPr>
        <w:t>Attorney Costs and Expenses</w:t>
      </w:r>
      <w:r>
        <w:rPr>
          <w:rFonts w:ascii="Times New Roman" w:hAnsi="Times New Roman"/>
          <w:sz w:val="20"/>
        </w:rPr>
        <w:t xml:space="preserve">. The Borrower agrees (a) to pay or reimburse the Administrative Agent, the Collateral Trustee, the Supplemental Administrative Agents and the Lenders for all reasonable and documented in reasonable detail out-of-pocket expenses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including all Attorney Costs, and (b) to pay or reimburse the Administrative Agent, the Collateral Trustee, the Supplemental Administrative Agents and the Lenders for all out-of-pocket costs and expenses incurred in connection with the enforcement or protection of any rights or remedies under this Agreement or the other Loan Documents (including all such costs and expenses incurred during any legal proceeding, including any proceeding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Debtor Relief Law, and including all Attorney Costs (and, if reasonably necessary, local counsel in any relevant material jurisdiction (which may be a single local counsel acting in multiple material jurisdictions) and, solely in the event of an actual or perceived conflict of interest between the Administrative Agent, the Collateral Trustee, the Supplemental Administrative Agents and the Lenders, where the Person or Persons affected by such conflict of interest inform the Borrower in writing of such conflict of interest, one additional counsel in each relevant material jurisdiction to each affected Persons)). The agreements in this </w:t>
      </w:r>
      <w:r>
        <w:rPr>
          <w:rFonts w:ascii="Times New Roman" w:hAnsi="Times New Roman"/>
          <w:sz w:val="20"/>
          <w:u w:val="single"/>
        </w:rPr>
        <w:t>Section 11.04</w:t>
      </w:r>
      <w:r>
        <w:rPr>
          <w:rFonts w:ascii="Times New Roman" w:hAnsi="Times New Roman"/>
          <w:sz w:val="20"/>
        </w:rPr>
        <w:t xml:space="preserve"> shall survive the termination of the Aggregate Commitments and repayment of all other Obligations. All amounts due under this </w:t>
      </w:r>
      <w:r>
        <w:rPr>
          <w:rFonts w:ascii="Times New Roman" w:hAnsi="Times New Roman"/>
          <w:sz w:val="20"/>
          <w:u w:val="single"/>
        </w:rPr>
        <w:t>Section 11.04</w:t>
      </w:r>
      <w:r>
        <w:rPr>
          <w:rFonts w:ascii="Times New Roman" w:hAnsi="Times New Roman"/>
          <w:sz w:val="20"/>
        </w:rPr>
        <w:t xml:space="preserve"> shall be paid promptly following receipt by the Borrower of an invoice relating thereto setting forth such expenses in reasonable detail, and in any event within thirty (30) days of receipt of such invoice . If any Loan Party fails to pay when due any costs, expenses or other amounts payable by it hereunder or under any Loan Document, such amount may be paid on behalf of such Loan Party by the Administrative Agent in its sole discretion. Expenses shall be deemed to be documented in accordance with this </w:t>
      </w:r>
      <w:r>
        <w:rPr>
          <w:rFonts w:ascii="Times New Roman" w:hAnsi="Times New Roman"/>
          <w:sz w:val="20"/>
          <w:u w:val="single"/>
        </w:rPr>
        <w:t>Section 11.04</w:t>
      </w:r>
      <w:r>
        <w:rPr>
          <w:rFonts w:ascii="Times New Roman" w:hAnsi="Times New Roman"/>
          <w:sz w:val="20"/>
        </w:rPr>
        <w:t xml:space="preserve"> only if they provide the detail required to enable the Borrower, acting in good faith, to determine that such expenses relate to the activities with respect to which reimbursement is required hereunder. The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11.05</w:t>
      </w:r>
      <w:r>
        <w:rPr>
          <w:rFonts w:ascii="Times New Roman" w:hAnsi="Times New Roman"/>
          <w:sz w:val="20"/>
        </w:rPr>
        <w:t xml:space="preserve"> </w:t>
      </w:r>
      <w:r>
        <w:rPr>
          <w:rFonts w:ascii="Times New Roman" w:hAnsi="Times New Roman"/>
          <w:b/>
          <w:sz w:val="20"/>
          <w:u w:val="single"/>
        </w:rPr>
        <w:t>Indemnification by the Borrower</w:t>
      </w:r>
      <w:r>
        <w:rPr>
          <w:rFonts w:ascii="Times New Roman" w:hAnsi="Times New Roman"/>
          <w:sz w:val="20"/>
        </w:rPr>
        <w:t>. The Borrower shall indemnify and hold harmless the Administrative Agent, any Supplemental Administrative Agent, the Collateral Trustee, each Lender, and their respective Affiliates, directors, officers, directors, employees, agents, advisors, partners, shareholders, trustees, controlling persons, and other representatives (collectively, the “</w:t>
      </w:r>
      <w:r>
        <w:rPr>
          <w:rFonts w:ascii="Times New Roman" w:hAnsi="Times New Roman"/>
          <w:b/>
          <w:sz w:val="20"/>
        </w:rPr>
        <w:t>Indemnitees</w:t>
      </w:r>
      <w:r>
        <w:rPr>
          <w:rFonts w:ascii="Times New Roman" w:hAnsi="Times New Roman"/>
          <w:sz w:val="20"/>
        </w:rPr>
        <w:t xml:space="preserve">”) from and against any and all liabilities, obligations, losses, damages, penalties, claims, demands, actions, judgments, suits, costs, expenses and disbursements (including Attorney Costs) of any kind or nature whatsoever which may at any time be imposed on, incurred by or asserted against any such Indemnitee in any way relating to or arising out of or in connection with (but limited, in the case of legal fees and expenses, to the Attorney Costs for each Indemnitee and, if reasonably necessary, a single local counsel for each Indemnitee in each relevant jurisdiction that is material to the interest of such Indemnitees (which may be a single local counsel acting in multiple material jurisdictions), and solely in the case of an actual or perceived conflict of interest between Indemnitees (where the Indemnitee affected by such conflict of interest informs the Borrower in writing of such conflict of interest), one additional counsel in each relevant jurisdiction to each affected Indemnitee), </w:t>
      </w:r>
    </w:p>
    <w:p>
      <w:pPr>
        <w:pStyle w:val="TextBody"/>
        <w:bidi w:val="0"/>
        <w:spacing w:before="120" w:after="0"/>
        <w:jc w:val="left"/>
        <w:rPr>
          <w:rFonts w:ascii="Times New Roman" w:hAnsi="Times New Roman"/>
          <w:sz w:val="20"/>
        </w:rPr>
      </w:pPr>
      <w:r>
        <w:rPr>
          <w:rFonts w:ascii="Times New Roman" w:hAnsi="Times New Roman"/>
          <w:sz w:val="20"/>
        </w:rPr>
        <w:t xml:space="preserve">(a) the execution, delivery, enforcement, performance or administration of any Loan Document or any other agreement, letter or instrument delivered in connection with the transactions contemplated thereby or the consummation of the transactions contemplated thereby (including the reliance in good faith by any Indemnitee on any notice purportedly given by or on behalf of the Borrower or any Loan Party), </w:t>
      </w:r>
    </w:p>
    <w:p>
      <w:pPr>
        <w:pStyle w:val="TextBody"/>
        <w:bidi w:val="0"/>
        <w:spacing w:before="120" w:after="0"/>
        <w:jc w:val="left"/>
        <w:rPr>
          <w:rFonts w:ascii="Times New Roman" w:hAnsi="Times New Roman"/>
          <w:sz w:val="20"/>
        </w:rPr>
      </w:pPr>
      <w:r>
        <w:rPr>
          <w:rFonts w:ascii="Times New Roman" w:hAnsi="Times New Roman"/>
          <w:sz w:val="20"/>
        </w:rPr>
        <w:t xml:space="preserve">(b)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(c) any Commitment, Loan, or the use or proposed use of the proceeds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actual or alleged release of, or exposure to, any Hazardous Materials on or from any property currently or formerly owned or operated by the Borrower or any other Loan Party, or any Environmental Claim against, or Environmental Liability of, the Borrower or any other Loan Party, or </w:t>
      </w:r>
    </w:p>
    <w:p>
      <w:pPr>
        <w:pStyle w:val="TextBody"/>
        <w:bidi w:val="0"/>
        <w:spacing w:before="120" w:after="0"/>
        <w:jc w:val="left"/>
        <w:rPr>
          <w:rFonts w:ascii="Times New Roman" w:hAnsi="Times New Roman"/>
          <w:sz w:val="20"/>
        </w:rPr>
      </w:pPr>
      <w:r>
        <w:rPr>
          <w:rFonts w:ascii="Times New Roman" w:hAnsi="Times New Roman"/>
          <w:sz w:val="20"/>
        </w:rPr>
        <w:t>(e)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 w:hAnsi="Times New Roman"/>
          <w:b/>
          <w:sz w:val="20"/>
        </w:rPr>
        <w:t>Indemnified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such indemnity shall not, as to any Indemnitee, be available to the extent that a court of competent jurisdiction determines in a final, non-appealable judgment that any such liabilities, obligations, losses, damages, penalties, claims, demands, actions, judgments, suits, costs, expenses or disbursements resulted from (i) the gross negligence or willful misconduct of such Indemnitee or of any Related Indemnified Person of such Indemnitee or (ii) any dispute solely among Indemnitees or of any Related Indemnified Person of such Indemnitee other than any claims against an Indemnitee in its capacity or in fulfilling its role as the Administrative Agent or the Collateral Trustee (or other Agent role) under the Term Loan Facility and other than any claims arising out of any act or omission of the Borrower or any of their Affiliates. To the extent that the undertakings to indemnify and hold harmless set forth in this </w:t>
      </w:r>
      <w:r>
        <w:rPr>
          <w:rFonts w:ascii="Times New Roman" w:hAnsi="Times New Roman"/>
          <w:sz w:val="20"/>
          <w:u w:val="single"/>
        </w:rPr>
        <w:t>Section 11.05</w:t>
      </w:r>
      <w:r>
        <w:rPr>
          <w:rFonts w:ascii="Times New Roman" w:hAnsi="Times New Roman"/>
          <w:sz w:val="20"/>
        </w:rPr>
        <w:t xml:space="preserve"> may be unenforceable in whole or in part because they are violative of any applicable law or public policy, the Borrower shall contribute the maximum portion that they are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 through any information transmission systems in connection with this Agreement, except to the extent resulting from the willful misconduct or gross negligence of such Indemnitee or any Related Indemnified Person (as determined by a final and non-appealable judgment of a court of competent jurisdiction),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Times New Roman" w:hAnsi="Times New Roman"/>
          <w:sz w:val="20"/>
          <w:u w:val="single"/>
        </w:rPr>
        <w:t>Section 11.05</w:t>
      </w:r>
      <w:r>
        <w:rPr>
          <w:rFonts w:ascii="Times New Roman" w:hAnsi="Times New Roman"/>
          <w:sz w:val="20"/>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hAnsi="Times New Roman"/>
          <w:sz w:val="20"/>
          <w:u w:val="single"/>
        </w:rPr>
        <w:t>Section 11.05</w:t>
      </w:r>
      <w:r>
        <w:rPr>
          <w:rFonts w:ascii="Times New Roman" w:hAnsi="Times New Roman"/>
          <w:sz w:val="20"/>
        </w:rPr>
        <w:t xml:space="preserve"> (after the determination of a court of competent jurisdiction, if required pursuant to the terms of this </w:t>
      </w:r>
      <w:r>
        <w:rPr>
          <w:rFonts w:ascii="Times New Roman" w:hAnsi="Times New Roman"/>
          <w:sz w:val="20"/>
          <w:u w:val="single"/>
        </w:rPr>
        <w:t>Section 11.05</w:t>
      </w:r>
      <w:r>
        <w:rPr>
          <w:rFonts w:ascii="Times New Roman" w:hAnsi="Times New Roman"/>
          <w:sz w:val="20"/>
        </w:rPr>
        <w:t xml:space="preserve">) shall be paid within ten (10) Business Days after written demand therefor. The agreements in this </w:t>
      </w:r>
      <w:r>
        <w:rPr>
          <w:rFonts w:ascii="Times New Roman" w:hAnsi="Times New Roman"/>
          <w:sz w:val="20"/>
          <w:u w:val="single"/>
        </w:rPr>
        <w:t>Section 11.05</w:t>
      </w:r>
      <w:r>
        <w:rPr>
          <w:rFonts w:ascii="Times New Roman" w:hAnsi="Times New Roman"/>
          <w:sz w:val="20"/>
        </w:rPr>
        <w:t xml:space="preserve"> shall survive the resignation of the Administrative Agent or the Collateral Trustee, replacement of any Lender, the termination of the Aggregate Commitments and the repayment, satisfaction or discharge of all the other Obligations. This </w:t>
      </w:r>
      <w:r>
        <w:rPr>
          <w:rFonts w:ascii="Times New Roman" w:hAnsi="Times New Roman"/>
          <w:sz w:val="20"/>
          <w:u w:val="single"/>
        </w:rPr>
        <w:t>Section 11.05</w:t>
      </w:r>
      <w:r>
        <w:rPr>
          <w:rFonts w:ascii="Times New Roman" w:hAnsi="Times New Roman"/>
          <w:sz w:val="20"/>
        </w:rPr>
        <w:t xml:space="preserve"> shall not apply to Taxes, except it shall apply to any Taxes that represent losses, claims, damages, etc. arising from a non-Tax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w:t>
      </w:r>
      <w:r>
        <w:rPr>
          <w:rFonts w:ascii="Times New Roman" w:hAnsi="Times New Roman"/>
          <w:b/>
          <w:sz w:val="20"/>
          <w:u w:val="single"/>
        </w:rPr>
        <w:t>Marshaling; Payments Set Aside</w:t>
      </w:r>
      <w:r>
        <w:rPr>
          <w:rFonts w:ascii="Times New Roman" w:hAnsi="Times New Roman"/>
          <w:sz w:val="20"/>
        </w:rPr>
        <w:t xml:space="preserve">. None of the Administrative Agent, any Lender, or the Collateral Trustee shall be under any obligation to marshal any assets in favor of the Loan Parties or any other Person or against or in payment of any or all of the Obligations. To the extent that any payment by or on behalf of the Borrower is made to any Agent or any Lender (or to the Administrative Agent, on behalf of any Lender), or any Agent or any Lender enforces any security interests or exercises its right of setoff, and such payments or the proceeds of such enforcement or setoff or any part thereof are subsequently invalidated, declared to be fraudulent or preferential, set aside and/or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severally agrees to pay to the Administrative Agent upon demand its applicable share (without duplication) of any amount so recovered from or repaid by the Administrative Agent, </w:t>
      </w:r>
      <w:r>
        <w:rPr>
          <w:rFonts w:ascii="Times New Roman" w:hAnsi="Times New Roman"/>
          <w:i/>
          <w:sz w:val="20"/>
        </w:rPr>
        <w:t>plus</w:t>
      </w:r>
      <w:r>
        <w:rPr>
          <w:rFonts w:ascii="Times New Roman" w:hAnsi="Times New Roman"/>
          <w:sz w:val="20"/>
        </w:rPr>
        <w:t xml:space="preserve"> interest thereon from the date of such demand to the date such payment is made at a rate </w:t>
      </w:r>
      <w:r>
        <w:rPr>
          <w:rFonts w:ascii="Times New Roman" w:hAnsi="Times New Roman"/>
          <w:i/>
          <w:sz w:val="20"/>
        </w:rPr>
        <w:t xml:space="preserve">per annum </w:t>
      </w:r>
      <w:r>
        <w:rPr>
          <w:rFonts w:ascii="Times New Roman" w:hAnsi="Times New Roman"/>
          <w:sz w:val="20"/>
        </w:rPr>
        <w:t xml:space="preserve">equal to the Federal Funds Rate from time to time in effect. The obligations of the Lenders under </w:t>
      </w:r>
      <w:r>
        <w:rPr>
          <w:rFonts w:ascii="Times New Roman" w:hAnsi="Times New Roman"/>
          <w:sz w:val="20"/>
          <w:u w:val="single"/>
        </w:rPr>
        <w:t>clause (b)</w:t>
      </w:r>
      <w:r>
        <w:rPr>
          <w:rFonts w:ascii="Times New Roman" w:hAnsi="Times New Roman"/>
          <w:sz w:val="20"/>
        </w:rPr>
        <w:t xml:space="preserve"> of the preceding sentence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11.07</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except that none of the Borrower may, except as permitted by </w:t>
      </w:r>
      <w:r>
        <w:rPr>
          <w:rFonts w:ascii="Times New Roman" w:hAnsi="Times New Roman"/>
          <w:sz w:val="20"/>
          <w:u w:val="single"/>
        </w:rPr>
        <w:t>Section 7.04</w:t>
      </w:r>
      <w:r>
        <w:rPr>
          <w:rFonts w:ascii="Times New Roman" w:hAnsi="Times New Roman"/>
          <w:sz w:val="20"/>
        </w:rPr>
        <w:t xml:space="preserve">, assign or otherwise transfer any of its rights or obligations hereunder without the prior written consent of the Administrative Agent, the Collateral Trustee and each Lender and no Lender may assign or otherwise transfer any of its rights or obligations hereunder except, </w:t>
      </w:r>
    </w:p>
    <w:p>
      <w:pPr>
        <w:pStyle w:val="TextBody"/>
        <w:bidi w:val="0"/>
        <w:spacing w:before="120" w:after="0"/>
        <w:jc w:val="left"/>
        <w:rPr>
          <w:rFonts w:ascii="Times New Roman" w:hAnsi="Times New Roman"/>
          <w:sz w:val="20"/>
        </w:rPr>
      </w:pPr>
      <w:r>
        <w:rPr>
          <w:rFonts w:ascii="Times New Roman" w:hAnsi="Times New Roman"/>
          <w:sz w:val="20"/>
        </w:rPr>
        <w:t xml:space="preserve">(i) to an assignee in accordance with the provisions of subsection (b)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(ii) by way of participation in accordance with the provisions of subsection (d)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(iii) by way of pledge or assignment of a security interest subject to the restrictions of subsection (f)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(iv) to an SPC in accordance with the provisions of subsection (g) of this Section (and any other attempted assignment or transfer by any party hereto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Agent-Related Persons of each of the Administrative Agent, the Collateral Trustee and the Lenders) any legal or equitable right, remedy or claim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hAnsi="Times New Roman"/>
          <w:sz w:val="20"/>
          <w:u w:val="single"/>
        </w:rPr>
        <w:t>Section 11.07(b)</w:t>
      </w:r>
      <w:r>
        <w:rPr>
          <w:rFonts w:ascii="Times New Roman" w:hAnsi="Times New Roman"/>
          <w:sz w:val="20"/>
        </w:rPr>
        <w:t xml:space="preserve">, participations in Letters of Credit) at the time owing to it; </w:t>
      </w:r>
      <w:r>
        <w:rPr>
          <w:rFonts w:ascii="Times New Roman" w:hAnsi="Times New Roman"/>
          <w:i/>
          <w:sz w:val="20"/>
        </w:rPr>
        <w:t xml:space="preserve">provided </w:t>
      </w:r>
      <w:r>
        <w:rPr>
          <w:rFonts w:ascii="Times New Roman" w:hAnsi="Times New Roman"/>
          <w:sz w:val="20"/>
        </w:rPr>
        <w:t xml:space="preserve">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Minimum Amounts.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the assigning Lender’s Commitment and Loans at the time held by it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assignment not described in subsection (b)(i)(A) of this Section, such assignment shall be in an aggregate amount of not less than $5,000,000, unless each of the Administrative Agent, and so long as no Specified Event of Default has occurred and is continuing at the time of such assignment, the Borrower otherwise consent (such consent not to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of Commitments and/or Loans shall be made as an assignment of a proportionate part of all the assigning Lender’s rights and obligations under this Agreement with respect to the Commitments and/or Loans being assigned, except that this clause (ii) shall not prohibit any Lender from assigning all or a portion of its rights and obligations among the Term Loan Facility on a non-pro rata basis.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 and Notices</w:t>
      </w:r>
      <w:r>
        <w:rPr>
          <w:rFonts w:ascii="Times New Roman" w:hAnsi="Times New Roman"/>
          <w:sz w:val="20"/>
        </w:rPr>
        <w:t xml:space="preserve">. No notice or consent shall be required for any assignment except to the extent required by </w:t>
      </w:r>
      <w:r>
        <w:rPr>
          <w:rFonts w:ascii="Times New Roman" w:hAnsi="Times New Roman"/>
          <w:sz w:val="20"/>
          <w:u w:val="single"/>
        </w:rPr>
        <w:t>Section 11.07(b)(i)(B)</w:t>
      </w:r>
      <w:r>
        <w:rPr>
          <w:rFonts w:ascii="Times New Roman" w:hAnsi="Times New Roman"/>
          <w:sz w:val="20"/>
        </w:rPr>
        <w:t xml:space="preserve"> and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Not less than five (5) days’ prior written notice from the assigning Lender to the Borrower of the proposed assignment, the amount of such assigning Lender’s Loans that will be so assigned and the Person that is proposed to receive such assignment; </w:t>
      </w:r>
      <w:r>
        <w:rPr>
          <w:rFonts w:ascii="Times New Roman" w:hAnsi="Times New Roman"/>
          <w:i/>
          <w:sz w:val="20"/>
        </w:rPr>
        <w:t>provided, however</w:t>
      </w:r>
      <w:r>
        <w:rPr>
          <w:rFonts w:ascii="Times New Roman" w:hAnsi="Times New Roman"/>
          <w:sz w:val="20"/>
        </w:rPr>
        <w:t xml:space="preserve">, no such notice shall be required if (1) a Specified Event of Default has occurred and is continuing at the time of such assignment, (2) any other Event of Default has occurred and is continuing that has not been cured to the satisfaction of the Lenders or waived within thirty (30) days of occurrence; (3) such assignment is made to an existing Lender or an Affiliate of the assigning Lender, or (4) [reserved]; and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it being acknowledged that a failure of any new lender to clear the Administrative Agent’s KYC process shall be deemed reasonable) shall be required if such assignment is to a Person that is not a Lender, an Affiliate of such Lender or an Approved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and Assumption, together with a processing and recordation fee of $3,500; </w:t>
      </w:r>
      <w:r>
        <w:rPr>
          <w:rFonts w:ascii="Times New Roman" w:hAnsi="Times New Roman"/>
          <w:i/>
          <w:sz w:val="20"/>
        </w:rPr>
        <w:t xml:space="preserve">provided </w:t>
      </w:r>
      <w:r>
        <w:rPr>
          <w:rFonts w:ascii="Times New Roman" w:hAnsi="Times New Roman"/>
          <w:sz w:val="20"/>
        </w:rPr>
        <w:t xml:space="preserve">that the Administrative Agent may, in its sole discretion, elect to waive such processing and recordation fee in the case of any assignment. The Eligible Assignee, if it is not a Lender, shall deliver to the Administrative Agent an Administrative Questionnaire and any KYC documentation including any tax forms required under </w:t>
      </w:r>
      <w:r>
        <w:rPr>
          <w:rFonts w:ascii="Times New Roman" w:hAnsi="Times New Roman"/>
          <w:sz w:val="20"/>
          <w:u w:val="single"/>
        </w:rPr>
        <w:t>Sections 3.01(b)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as applicable. Upon receipt of the processing and recordation fee and any written consent to assignment required by </w:t>
      </w:r>
      <w:r>
        <w:rPr>
          <w:rFonts w:ascii="Times New Roman" w:hAnsi="Times New Roman"/>
          <w:sz w:val="20"/>
          <w:u w:val="single"/>
        </w:rPr>
        <w:t>Section 11.07(b)(iii)</w:t>
      </w:r>
      <w:r>
        <w:rPr>
          <w:rFonts w:ascii="Times New Roman" w:hAnsi="Times New Roman"/>
          <w:sz w:val="20"/>
        </w:rPr>
        <w:t xml:space="preserve">, the Administrative Agent shall promptly accept such Assignment and Assumption and record the information contained therein in the Register.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Assignments to Certain Persons</w:t>
      </w:r>
      <w:r>
        <w:rPr>
          <w:rFonts w:ascii="Times New Roman" w:hAnsi="Times New Roman"/>
          <w:sz w:val="20"/>
        </w:rPr>
        <w:t xml:space="preserve">. No such assignment shall be made, </w:t>
      </w:r>
    </w:p>
    <w:p>
      <w:pPr>
        <w:pStyle w:val="TextBody"/>
        <w:bidi w:val="0"/>
        <w:spacing w:before="120" w:after="0"/>
        <w:jc w:val="left"/>
        <w:rPr>
          <w:rFonts w:ascii="Times New Roman" w:hAnsi="Times New Roman"/>
          <w:sz w:val="20"/>
        </w:rPr>
      </w:pPr>
      <w:r>
        <w:rPr>
          <w:rFonts w:ascii="Times New Roman" w:hAnsi="Times New Roman"/>
          <w:sz w:val="20"/>
        </w:rPr>
        <w:t xml:space="preserve">(A) to the Borrower or any of the Subsidiaries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(B) any of the Borrower’s Affiliates, </w:t>
      </w:r>
    </w:p>
    <w:p>
      <w:pPr>
        <w:pStyle w:val="TextBody"/>
        <w:bidi w:val="0"/>
        <w:spacing w:before="120" w:after="0"/>
        <w:jc w:val="left"/>
        <w:rPr>
          <w:rFonts w:ascii="Times New Roman" w:hAnsi="Times New Roman"/>
          <w:sz w:val="20"/>
        </w:rPr>
      </w:pPr>
      <w:r>
        <w:rPr>
          <w:rFonts w:ascii="Times New Roman" w:hAnsi="Times New Roman"/>
          <w:sz w:val="20"/>
        </w:rPr>
        <w:t xml:space="preserve">(C) to any Defaulting Lender or any of its Subsidiaries, or any Person who, upon becoming a Lender hereunder, would constitute any of the foregoing persons described in this clause, </w:t>
      </w:r>
    </w:p>
    <w:p>
      <w:pPr>
        <w:pStyle w:val="TextBody"/>
        <w:bidi w:val="0"/>
        <w:spacing w:before="120" w:after="0"/>
        <w:jc w:val="left"/>
        <w:rPr>
          <w:rFonts w:ascii="Times New Roman" w:hAnsi="Times New Roman"/>
          <w:sz w:val="20"/>
        </w:rPr>
      </w:pPr>
      <w:r>
        <w:rPr>
          <w:rFonts w:ascii="Times New Roman" w:hAnsi="Times New Roman"/>
          <w:sz w:val="20"/>
        </w:rPr>
        <w:t xml:space="preserve">(D) to a natural person, or </w:t>
      </w:r>
    </w:p>
    <w:p>
      <w:pPr>
        <w:pStyle w:val="TextBody"/>
        <w:bidi w:val="0"/>
        <w:spacing w:before="120" w:after="0"/>
        <w:jc w:val="left"/>
        <w:rPr>
          <w:rFonts w:ascii="Times New Roman" w:hAnsi="Times New Roman"/>
          <w:sz w:val="20"/>
        </w:rPr>
      </w:pPr>
      <w:r>
        <w:rPr>
          <w:rFonts w:ascii="Times New Roman" w:hAnsi="Times New Roman"/>
          <w:sz w:val="20"/>
        </w:rPr>
        <w:t xml:space="preserve">(E) to any Person described in the proviso to the definition of “Eligible Assignee”. </w:t>
      </w:r>
    </w:p>
    <w:p>
      <w:pPr>
        <w:pStyle w:val="TextBody"/>
        <w:bidi w:val="0"/>
        <w:spacing w:before="240" w:after="0"/>
        <w:jc w:val="left"/>
        <w:rPr>
          <w:rFonts w:ascii="Times New Roman" w:hAnsi="Times New Roman"/>
          <w:sz w:val="20"/>
        </w:rPr>
      </w:pPr>
      <w:r>
        <w:rPr>
          <w:rFonts w:ascii="Times New Roman" w:hAnsi="Times New Roman"/>
          <w:sz w:val="20"/>
        </w:rPr>
        <w:t xml:space="preserve">A Lender shall be entitled to rely conclusively on any Net Short Representation made (or deemed made) to it in any Assignment and Assumption and shall have no duty to inquire as to or investigate the accuracy of any such Net Short Representation.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Defaulting Lenders Assignments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and each other Lender hereunder (and interest accrued thereon), and (B) acquire (and fund as appropriate) its full Pro Rata Share of all Loans and participations in Letters of Credit.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w:t>
      </w:r>
      <w:r>
        <w:rPr>
          <w:rFonts w:ascii="Times New Roman" w:hAnsi="Times New Roman"/>
          <w:sz w:val="20"/>
          <w:u w:val="single"/>
        </w:rPr>
        <w:t>clause (c)</w:t>
      </w:r>
      <w:r>
        <w:rPr>
          <w:rFonts w:ascii="Times New Roman" w:hAnsi="Times New Roman"/>
          <w:sz w:val="20"/>
        </w:rPr>
        <w:t xml:space="preserve"> of this </w:t>
      </w:r>
      <w:r>
        <w:rPr>
          <w:rFonts w:ascii="Times New Roman" w:hAnsi="Times New Roman"/>
          <w:sz w:val="20"/>
          <w:u w:val="single"/>
        </w:rPr>
        <w:t>Section 11.07</w:t>
      </w:r>
      <w:r>
        <w:rPr>
          <w:rFonts w:ascii="Times New Roman" w:hAnsi="Times New Roman"/>
          <w:sz w:val="20"/>
        </w:rPr>
        <w:t xml:space="preserve">, from and after the effective date specified in each Assignment and Assumption, the assignee thereunder shall be a party to this Agreement (except in the case of an assignment to or purchase by the Borrower or any of the Borrower’s Subsidiaries) and, to the extent of the interest assigned by such Assignment and Assumption and as permitted by this </w:t>
      </w:r>
      <w:r>
        <w:rPr>
          <w:rFonts w:ascii="Times New Roman" w:hAnsi="Times New Roman"/>
          <w:sz w:val="20"/>
          <w:u w:val="single"/>
        </w:rPr>
        <w:t>Section 11.07</w:t>
      </w:r>
      <w:r>
        <w:rPr>
          <w:rFonts w:ascii="Times New Roman" w:hAnsi="Times New Roman"/>
          <w:sz w:val="20"/>
        </w:rPr>
        <w:t xml:space="preserve">,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11.04</w:t>
      </w:r>
      <w:r>
        <w:rPr>
          <w:rFonts w:ascii="Times New Roman" w:hAnsi="Times New Roman"/>
          <w:sz w:val="20"/>
        </w:rPr>
        <w:t xml:space="preserve"> and </w:t>
      </w:r>
      <w:r>
        <w:rPr>
          <w:rFonts w:ascii="Times New Roman" w:hAnsi="Times New Roman"/>
          <w:sz w:val="20"/>
          <w:u w:val="single"/>
        </w:rPr>
        <w:t>11.05</w:t>
      </w:r>
      <w:r>
        <w:rPr>
          <w:rFonts w:ascii="Times New Roman" w:hAnsi="Times New Roman"/>
          <w:sz w:val="20"/>
        </w:rPr>
        <w:t xml:space="preserve"> with respect to facts and circumstances occurring prior to the effective date of such assignment). Upon request, and the surrender by the assigning Lender of its applicable Term Loan Notes under this Agreement, the Borrower (at their expense) shall execute and deliver a Term Loan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 non-fiduciary agent of the Borrower (and such agency being solely for Tax purposes), shall maintain at one of the Administrative Agent’s Offices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b/>
          <w:sz w:val="20"/>
        </w:rPr>
        <w:t>Register</w:t>
      </w:r>
      <w:r>
        <w:rPr>
          <w:rFonts w:ascii="Times New Roman" w:hAnsi="Times New Roman"/>
          <w:sz w:val="20"/>
        </w:rPr>
        <w:t xml:space="preserve">”).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Trustee or any Lender (but only, in the case of a Lender at the Administrative Agent’s Office and with respect to any entry relating to such Lender’s Commitments, Loans and other Obligations), at any reasonable time and from time to time upon reasonable prior written notice. This </w:t>
      </w:r>
      <w:r>
        <w:rPr>
          <w:rFonts w:ascii="Times New Roman" w:hAnsi="Times New Roman"/>
          <w:sz w:val="20"/>
          <w:u w:val="single"/>
        </w:rPr>
        <w:t>Section 11.07(c)</w:t>
      </w:r>
      <w:r>
        <w:rPr>
          <w:rFonts w:ascii="Times New Roman" w:hAnsi="Times New Roman"/>
          <w:sz w:val="20"/>
        </w:rPr>
        <w:t xml:space="preserve"> and </w:t>
      </w:r>
      <w:r>
        <w:rPr>
          <w:rFonts w:ascii="Times New Roman" w:hAnsi="Times New Roman"/>
          <w:sz w:val="20"/>
          <w:u w:val="single"/>
        </w:rPr>
        <w:t>Section 2.08</w:t>
      </w:r>
      <w:r>
        <w:rPr>
          <w:rFonts w:ascii="Times New Roman" w:hAnsi="Times New Roman"/>
          <w:sz w:val="20"/>
        </w:rPr>
        <w:t xml:space="preserve"> shall be construed so that all Loans are at all times maintained in “registered form” within the meaning of Sections 163(f), 871(h)(2) and 881(c)(2) of the Code and any related Treasury regulations (or any other relevant or successor provisions of the Code or of such Treasury regulations).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xml:space="preserve">. Any Lender may at any time, without the consent of, or notice to, the Borrower, the Administrative Agent or any other Person sell participations to any Person (other than to (1) a natural person, (2) the Borrower or any of the Borrower’s Affiliates or Subsidiaries, (3) so long as no Event of Default pursuant to </w:t>
      </w:r>
      <w:r>
        <w:rPr>
          <w:rFonts w:ascii="Times New Roman" w:hAnsi="Times New Roman"/>
          <w:sz w:val="20"/>
          <w:u w:val="single"/>
        </w:rPr>
        <w:t>Section 9.01(a)</w:t>
      </w:r>
      <w:r>
        <w:rPr>
          <w:rFonts w:ascii="Times New Roman" w:hAnsi="Times New Roman"/>
          <w:sz w:val="20"/>
        </w:rPr>
        <w:t xml:space="preserve"> or </w:t>
      </w:r>
      <w:r>
        <w:rPr>
          <w:rFonts w:ascii="Times New Roman" w:hAnsi="Times New Roman"/>
          <w:sz w:val="20"/>
          <w:u w:val="single"/>
        </w:rPr>
        <w:t>Section 9.01(f)</w:t>
      </w:r>
      <w:r>
        <w:rPr>
          <w:rFonts w:ascii="Times New Roman" w:hAnsi="Times New Roman"/>
          <w:sz w:val="20"/>
        </w:rPr>
        <w:t xml:space="preserve"> shall have occurred and be continuing for at least 10 days, any Disqualified Lender or (4) any Person described in the proviso to the definition of “Eligible Assignee”) (each, a “</w:t>
      </w:r>
      <w:r>
        <w:rPr>
          <w:rFonts w:ascii="Times New Roman" w:hAnsi="Times New Roman"/>
          <w:b/>
          <w:sz w:val="20"/>
        </w:rPr>
        <w:t>Participant</w:t>
      </w:r>
      <w:r>
        <w:rPr>
          <w:rFonts w:ascii="Times New Roman" w:hAnsi="Times New Roman"/>
          <w:sz w:val="20"/>
        </w:rPr>
        <w:t xml:space="preserve">”) in all or a portion of such Lender’s rights and/or obligations under this Agreement (including all or a portion of its Commitment and/or the Loans (including such Lender’s participations in Letters of Credit) owing to it); </w:t>
      </w:r>
      <w:r>
        <w:rPr>
          <w:rFonts w:ascii="Times New Roman" w:hAnsi="Times New Roman"/>
          <w:i/>
          <w:sz w:val="20"/>
        </w:rPr>
        <w:t xml:space="preserve">provided </w:t>
      </w:r>
      <w:r>
        <w:rPr>
          <w:rFonts w:ascii="Times New Roman" w:hAnsi="Times New Roman"/>
          <w:sz w:val="20"/>
        </w:rPr>
        <w:t xml:space="preserve">that (i) such Lender’s obligations under this Agreement shall remain unchanged, (ii) such Lender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hAnsi="Times New Roman"/>
          <w:i/>
          <w:sz w:val="20"/>
        </w:rPr>
        <w:t xml:space="preserve">provided </w:t>
      </w:r>
      <w:r>
        <w:rPr>
          <w:rFonts w:ascii="Times New Roman" w:hAnsi="Times New Roman"/>
          <w:sz w:val="20"/>
        </w:rPr>
        <w:t xml:space="preserve">that such agreement or instrument may provide that such Lender will not, without the consent of the Participant, agree to any amendment, waiver or other modification described in </w:t>
      </w:r>
      <w:r>
        <w:rPr>
          <w:rFonts w:ascii="Times New Roman" w:hAnsi="Times New Roman"/>
          <w:sz w:val="20"/>
          <w:u w:val="single"/>
        </w:rPr>
        <w:t>Section 11.01(b)</w:t>
      </w:r>
      <w:r>
        <w:rPr>
          <w:rFonts w:ascii="Times New Roman" w:hAnsi="Times New Roman"/>
          <w:sz w:val="20"/>
        </w:rPr>
        <w:t xml:space="preserve"> (other than </w:t>
      </w:r>
      <w:r>
        <w:rPr>
          <w:rFonts w:ascii="Times New Roman" w:hAnsi="Times New Roman"/>
          <w:sz w:val="20"/>
          <w:u w:val="single"/>
        </w:rPr>
        <w:t>clause (iv)</w:t>
      </w:r>
      <w:r>
        <w:rPr>
          <w:rFonts w:ascii="Times New Roman" w:hAnsi="Times New Roman"/>
          <w:sz w:val="20"/>
        </w:rPr>
        <w:t> thereof) that directly and adversely affects such Participant. Subject to subsection</w:t>
      </w:r>
      <w:r>
        <w:rPr>
          <w:rFonts w:ascii="Times New Roman" w:hAnsi="Times New Roman"/>
          <w:sz w:val="20"/>
          <w:u w:val="single"/>
        </w:rPr>
        <w:t> (e)</w:t>
      </w:r>
      <w:r>
        <w:rPr>
          <w:rFonts w:ascii="Times New Roman" w:hAnsi="Times New Roman"/>
          <w:sz w:val="20"/>
        </w:rPr>
        <w:t xml:space="preserve"> of this Section, the Borrower agrees that each Participant shall be entitled to the benefits of </w:t>
      </w:r>
      <w:r>
        <w:rPr>
          <w:rFonts w:ascii="Times New Roman" w:hAnsi="Times New Roman"/>
          <w:sz w:val="20"/>
          <w:u w:val="single"/>
        </w:rPr>
        <w:t>Sections 3.01</w:t>
      </w:r>
      <w:r>
        <w:rPr>
          <w:rFonts w:ascii="Times New Roman" w:hAnsi="Times New Roman"/>
          <w:sz w:val="20"/>
        </w:rPr>
        <w:t xml:space="preserve"> (subject to the requirements of </w:t>
      </w:r>
      <w:r>
        <w:rPr>
          <w:rFonts w:ascii="Times New Roman" w:hAnsi="Times New Roman"/>
          <w:sz w:val="20"/>
          <w:u w:val="single"/>
        </w:rPr>
        <w:t>Sections 3.01(b)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as applicable (it being understood that the documentation required under such Sections shall be delivered to the participating Lender)), </w:t>
      </w:r>
      <w:r>
        <w:rPr>
          <w:rFonts w:ascii="Times New Roman" w:hAnsi="Times New Roman"/>
          <w:sz w:val="20"/>
          <w:u w:val="single"/>
        </w:rPr>
        <w:t>3.04</w:t>
      </w:r>
      <w:r>
        <w:rPr>
          <w:rFonts w:ascii="Times New Roman" w:hAnsi="Times New Roman"/>
          <w:sz w:val="20"/>
        </w:rPr>
        <w:t xml:space="preserve"> and </w:t>
      </w:r>
      <w:r>
        <w:rPr>
          <w:rFonts w:ascii="Times New Roman" w:hAnsi="Times New Roman"/>
          <w:sz w:val="20"/>
          <w:u w:val="single"/>
        </w:rPr>
        <w:t>3.05</w:t>
      </w:r>
      <w:r>
        <w:rPr>
          <w:rFonts w:ascii="Times New Roman" w:hAnsi="Times New Roman"/>
          <w:sz w:val="20"/>
        </w:rPr>
        <w:t xml:space="preserve"> (through the applicable Lender) to the same extent as if it were a Lender and had acquired its interest by assignment pursuant to subsection</w:t>
      </w:r>
      <w:r>
        <w:rPr>
          <w:rFonts w:ascii="Times New Roman" w:hAnsi="Times New Roman"/>
          <w:sz w:val="20"/>
          <w:u w:val="single"/>
        </w:rPr>
        <w:t> (b)</w:t>
      </w:r>
      <w:r>
        <w:rPr>
          <w:rFonts w:ascii="Times New Roman" w:hAnsi="Times New Roman"/>
          <w:sz w:val="20"/>
        </w:rPr>
        <w:t xml:space="preserve"> of this </w:t>
      </w:r>
      <w:r>
        <w:rPr>
          <w:rFonts w:ascii="Times New Roman" w:hAnsi="Times New Roman"/>
          <w:sz w:val="20"/>
          <w:u w:val="single"/>
        </w:rPr>
        <w:t>Section 11.07</w:t>
      </w:r>
      <w:r>
        <w:rPr>
          <w:rFonts w:ascii="Times New Roman" w:hAnsi="Times New Roman"/>
          <w:sz w:val="20"/>
        </w:rPr>
        <w:t xml:space="preserve">. To the extent permitted by applicable Law, each Participant also shall be entitled to the benefits of </w:t>
      </w:r>
      <w:r>
        <w:rPr>
          <w:rFonts w:ascii="Times New Roman" w:hAnsi="Times New Roman"/>
          <w:sz w:val="20"/>
          <w:u w:val="single"/>
        </w:rPr>
        <w:t>Section 11.09</w:t>
      </w:r>
      <w:r>
        <w:rPr>
          <w:rFonts w:ascii="Times New Roman" w:hAnsi="Times New Roman"/>
          <w:sz w:val="20"/>
        </w:rPr>
        <w:t xml:space="preserve"> as though it were a Lender; </w:t>
      </w:r>
      <w:r>
        <w:rPr>
          <w:rFonts w:ascii="Times New Roman" w:hAnsi="Times New Roman"/>
          <w:i/>
          <w:sz w:val="20"/>
        </w:rPr>
        <w:t xml:space="preserve">provided </w:t>
      </w:r>
      <w:r>
        <w:rPr>
          <w:rFonts w:ascii="Times New Roman" w:hAnsi="Times New Roman"/>
          <w:sz w:val="20"/>
        </w:rPr>
        <w:t xml:space="preserve">that such Participant agrees to be subject to </w:t>
      </w:r>
      <w:r>
        <w:rPr>
          <w:rFonts w:ascii="Times New Roman" w:hAnsi="Times New Roman"/>
          <w:sz w:val="20"/>
          <w:u w:val="single"/>
        </w:rPr>
        <w:t>Section 2.10</w:t>
      </w:r>
      <w:r>
        <w:rPr>
          <w:rFonts w:ascii="Times New Roman" w:hAnsi="Times New Roman"/>
          <w:sz w:val="20"/>
        </w:rPr>
        <w:t xml:space="preserve"> as though it were a Lender. To the extent that any participation is purported to be made to a Disqualified Lender (other than a Net Short Lender) or to any Person that was (at the time of such participation) a Net Short Lender on a pro forma basis for such participation, such transaction shall be subject to the applicable provisions of </w:t>
      </w:r>
      <w:r>
        <w:rPr>
          <w:rFonts w:ascii="Times New Roman" w:hAnsi="Times New Roman"/>
          <w:sz w:val="20"/>
          <w:u w:val="single"/>
        </w:rPr>
        <w:t>Section 11.28(a)</w:t>
      </w:r>
      <w:r>
        <w:rPr>
          <w:rFonts w:ascii="Times New Roman" w:hAnsi="Times New Roman"/>
          <w:sz w:val="20"/>
        </w:rPr>
        <w:t xml:space="preserve"> (and the Borrower shall be entitled to seek specific performance in any applicable court of law or equity to enforce this sentence); </w:t>
      </w:r>
      <w:r>
        <w:rPr>
          <w:rFonts w:ascii="Times New Roman" w:hAnsi="Times New Roman"/>
          <w:i/>
          <w:sz w:val="20"/>
        </w:rPr>
        <w:t xml:space="preserve">provided </w:t>
      </w:r>
      <w:r>
        <w:rPr>
          <w:rFonts w:ascii="Times New Roman" w:hAnsi="Times New Roman"/>
          <w:sz w:val="20"/>
        </w:rPr>
        <w:t xml:space="preserve">that a Lender shall be entitled to rely conclusively on any Net Short Representation made (or deemed made) to it in any agreement or instrument documenting or otherwise evidencing such participation and shall have no duty to inquire as to or investigate the accuracy of any such Net Short Representation therein or provided in connection with such participation.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upon Participant Rights</w:t>
      </w:r>
      <w:r>
        <w:rPr>
          <w:rFonts w:ascii="Times New Roman" w:hAnsi="Times New Roman"/>
          <w:sz w:val="20"/>
        </w:rPr>
        <w:t xml:space="preserve">. A Participant shall not be entitled to receive any greater payment under </w:t>
      </w:r>
      <w:r>
        <w:rPr>
          <w:rFonts w:ascii="Times New Roman" w:hAnsi="Times New Roman"/>
          <w:sz w:val="20"/>
          <w:u w:val="single"/>
        </w:rPr>
        <w:t>Section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or </w:t>
      </w:r>
      <w:r>
        <w:rPr>
          <w:rFonts w:ascii="Times New Roman" w:hAnsi="Times New Roman"/>
          <w:sz w:val="20"/>
          <w:u w:val="single"/>
        </w:rPr>
        <w:t>3.05</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the Borrower’s prior written consent, such consent not to be unreasonably withheld or delayed, or such entitlement to a greater payment results from a Change in Law that occurs after the Participant acquired the participation. Each Lender that sells a participation or has a loan funded by an SPC shall (acting solely for this purpose as a non-fiduciary agent of the Borrower) maintain a register complying with the requirements of Sections 163(f), 871(h) and 881(c)(2) of the Code and the Treasury regulations (or any other relevant or successor provisions of the Code or of such Treasury regulations) issued thereunder relating to the exemption from withholding for portfolio interest on which is entered the name and address of each Participant or SPC and the principal amounts (and stated interest) of each Participant’s or SPC’s interest in the Loans or other obligations under this Agreement (the “</w:t>
      </w:r>
      <w:r>
        <w:rPr>
          <w:rFonts w:ascii="Times New Roman" w:hAnsi="Times New Roman"/>
          <w:b/>
          <w:sz w:val="20"/>
        </w:rPr>
        <w:t>Participant Register</w:t>
      </w:r>
      <w:r>
        <w:rPr>
          <w:rFonts w:ascii="Times New Roman" w:hAnsi="Times New Roman"/>
          <w:sz w:val="20"/>
        </w:rPr>
        <w:t xml:space="preserve">”). A Lender shall not be obligated to disclose the Participant Register to any Person except to the extent such disclosure is necessary to establish that any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Liens on Loans</w:t>
      </w:r>
      <w:r>
        <w:rPr>
          <w:rFonts w:ascii="Times New Roman" w:hAnsi="Times New Roman"/>
          <w:sz w:val="20"/>
        </w:rPr>
        <w:t xml:space="preserve">. Any Lender may, at any time without the consent of the Borrower or the Administrative Agent, pledge or assign a security interest in all or any portion of its rights under this Agreement (including under its Term Loan Notes, if any) to secure obligations of such Lender, including any pledge or assignment to secure obligations to a Federal Reserve Bank or any other central bank; </w:t>
      </w:r>
      <w:r>
        <w:rPr>
          <w:rFonts w:ascii="Times New Roman" w:hAnsi="Times New Roman"/>
          <w:i/>
          <w:sz w:val="20"/>
        </w:rPr>
        <w:t xml:space="preserve">provided </w:t>
      </w:r>
      <w:r>
        <w:rPr>
          <w:rFonts w:ascii="Times New Roman" w:hAnsi="Times New Roman"/>
          <w:sz w:val="20"/>
        </w:rPr>
        <w:t xml:space="preserve">that no such pledge or assignment shall release such Lender from any of its obligations hereunder or substitute any such pledgee or assignee for such Lender as a party hereto.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Special Purpose Funding Vehicles</w:t>
      </w:r>
      <w:r>
        <w:rPr>
          <w:rFonts w:ascii="Times New Roman" w:hAnsi="Times New Roman"/>
          <w:sz w:val="20"/>
        </w:rPr>
        <w:t>. Notwithstanding anything to the contrary contained herein, any Lender (a “</w:t>
      </w:r>
      <w:r>
        <w:rPr>
          <w:rFonts w:ascii="Times New Roman" w:hAnsi="Times New Roman"/>
          <w:b/>
          <w:sz w:val="20"/>
        </w:rPr>
        <w:t>Granting Lender</w:t>
      </w:r>
      <w:r>
        <w:rPr>
          <w:rFonts w:ascii="Times New Roman" w:hAnsi="Times New Roman"/>
          <w:sz w:val="20"/>
        </w:rPr>
        <w:t>”) may grant to a special purpose funding vehicle identified as such in writing from time to time by the Granting Lender to the Administrative Agent and the Borrower (an “</w:t>
      </w:r>
      <w:r>
        <w:rPr>
          <w:rFonts w:ascii="Times New Roman" w:hAnsi="Times New Roman"/>
          <w:b/>
          <w:sz w:val="20"/>
        </w:rPr>
        <w:t>SPC</w:t>
      </w:r>
      <w:r>
        <w:rPr>
          <w:rFonts w:ascii="Times New Roman" w:hAnsi="Times New Roman"/>
          <w:sz w:val="20"/>
        </w:rPr>
        <w:t xml:space="preserve">”) the option to provide all or any part of any Loan that such Granting Lender would otherwise be obligated to make pursuant to this Agreement; </w:t>
      </w:r>
      <w:r>
        <w:rPr>
          <w:rFonts w:ascii="Times New Roman" w:hAnsi="Times New Roman"/>
          <w:i/>
          <w:sz w:val="20"/>
        </w:rPr>
        <w:t xml:space="preserve">provided </w:t>
      </w:r>
      <w:r>
        <w:rPr>
          <w:rFonts w:ascii="Times New Roman" w:hAnsi="Times New Roman"/>
          <w:sz w:val="20"/>
        </w:rPr>
        <w:t xml:space="preserve">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their obligations under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 xml:space="preserve">3.04 </w:t>
      </w:r>
      <w:r>
        <w:rPr>
          <w:rFonts w:ascii="Times New Roman" w:hAnsi="Times New Roman"/>
          <w:sz w:val="20"/>
        </w:rPr>
        <w:t xml:space="preserve">and </w:t>
      </w:r>
      <w:r>
        <w:rPr>
          <w:rFonts w:ascii="Times New Roman" w:hAnsi="Times New Roman"/>
          <w:sz w:val="20"/>
          <w:u w:val="single"/>
        </w:rPr>
        <w:t>3.05</w:t>
      </w:r>
      <w:r>
        <w:rPr>
          <w:rFonts w:ascii="Times New Roman" w:hAnsi="Times New Roman"/>
          <w:sz w:val="20"/>
        </w:rPr>
        <w:t xml:space="preserve">), (B) no SPC shall be liable for any indemnity or similar payment obligation under this Agreement for which a Lender would be liable,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(1)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(2) disclose on a confidential basis any non-public information relating to its funding of Loans to any rating agency, commercial paper dealer or provider of any surety or Guarantee or credit or liquidity enhancement to such SPC.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11.08</w:t>
      </w:r>
      <w:r>
        <w:rPr>
          <w:rFonts w:ascii="Times New Roman" w:hAnsi="Times New Roman"/>
          <w:sz w:val="20"/>
        </w:rPr>
        <w:t xml:space="preserve"> </w:t>
      </w:r>
      <w:r>
        <w:rPr>
          <w:rFonts w:ascii="Times New Roman" w:hAnsi="Times New Roman"/>
          <w:b/>
          <w:sz w:val="20"/>
          <w:u w:val="single"/>
        </w:rPr>
        <w:t>Confidentiality</w:t>
      </w:r>
      <w:r>
        <w:rPr>
          <w:rFonts w:ascii="Times New Roman" w:hAnsi="Times New Roman"/>
          <w:sz w:val="20"/>
        </w:rPr>
        <w:t xml:space="preserve">. Each of the Administrative Agent, the Collateral Trustee, and the Lenders agrees to maintain the confidentiality of the Information in accordance with its customary procedures (as set forth below), except that Information may be disclosed, </w:t>
      </w:r>
    </w:p>
    <w:p>
      <w:pPr>
        <w:pStyle w:val="TextBody"/>
        <w:bidi w:val="0"/>
        <w:spacing w:before="120" w:after="0"/>
        <w:jc w:val="left"/>
        <w:rPr>
          <w:rFonts w:ascii="Times New Roman" w:hAnsi="Times New Roman"/>
          <w:sz w:val="20"/>
        </w:rPr>
      </w:pPr>
      <w:r>
        <w:rPr>
          <w:rFonts w:ascii="Times New Roman" w:hAnsi="Times New Roman"/>
          <w:sz w:val="20"/>
        </w:rPr>
        <w:t xml:space="preserve">(a) to its Affiliates and to its and its Affiliates’ respective partners, directors, officers, managers, employees, agents, trustees, consultants, attorneys, accountants, advisors and representatives (it being understood that the Persons to whom such disclosure is made will be informed of the confidential nature of such Information and instructed to keep such Information confidential and in no event shall such disclosure be made to any Disqualified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hAnsi="Times New Roman"/>
          <w:sz w:val="20"/>
          <w:u w:val="single"/>
        </w:rPr>
        <w:t>clause (a)</w:t>
      </w:r>
      <w:r>
        <w:rPr>
          <w:rFonts w:ascii="Times New Roman" w:hAnsi="Times New Roman"/>
          <w:sz w:val="20"/>
        </w:rPr>
        <w:t xml:space="preserve"> but only to the extent that a list of such Disqualified Lenders is available to all Lenders upon request),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requested by any regulatory authority purporting to have jurisdiction over it (including the Federal Reserve Bank or any other central bank or any self-regulatory authority, such as the National Association of Insurance Commissioners),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required by applicable laws or regulations or by any subpoena or similar legal process, </w:t>
      </w:r>
      <w:r>
        <w:rPr>
          <w:rFonts w:ascii="Times New Roman" w:hAnsi="Times New Roman"/>
          <w:i/>
          <w:sz w:val="20"/>
        </w:rPr>
        <w:t xml:space="preserve">provided </w:t>
      </w:r>
      <w:r>
        <w:rPr>
          <w:rFonts w:ascii="Times New Roman" w:hAnsi="Times New Roman"/>
          <w:sz w:val="20"/>
        </w:rPr>
        <w:t xml:space="preserve">that the Administrative Agent or the Collateral Trustee, as applicable, agrees that it will notify the Borrower as soon as practicable in the event of any such disclosure by such Person (other than at the request of a regulatory authority) unless such notification is prohibited by law, rule or regulation, </w:t>
      </w:r>
    </w:p>
    <w:p>
      <w:pPr>
        <w:pStyle w:val="TextBody"/>
        <w:bidi w:val="0"/>
        <w:spacing w:before="120" w:after="0"/>
        <w:jc w:val="left"/>
        <w:rPr>
          <w:rFonts w:ascii="Times New Roman" w:hAnsi="Times New Roman"/>
          <w:sz w:val="20"/>
        </w:rPr>
      </w:pPr>
      <w:r>
        <w:rPr>
          <w:rFonts w:ascii="Times New Roman" w:hAnsi="Times New Roman"/>
          <w:sz w:val="20"/>
        </w:rPr>
        <w:t xml:space="preserve">(d) to any other party hereto (it being understood that in no event shall such disclosure be made to any Disqualified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hAnsi="Times New Roman"/>
          <w:sz w:val="20"/>
          <w:u w:val="single"/>
        </w:rPr>
        <w:t>clause (d)</w:t>
      </w:r>
      <w:r>
        <w:rPr>
          <w:rFonts w:ascii="Times New Roman" w:hAnsi="Times New Roman"/>
          <w:sz w:val="20"/>
        </w:rPr>
        <w:t xml:space="preserve"> but only to the extent the list of such Disqualified Lenders is available to all Lenders upon request),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the exercise of any remedies hereunder or under any other Loan Document or any action or proceeding relating to this Agreement or any other Loan Document or the enforcement of rights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(f) subject to an agreement containing provisions at least as restrictive as those of this </w:t>
      </w:r>
      <w:r>
        <w:rPr>
          <w:rFonts w:ascii="Times New Roman" w:hAnsi="Times New Roman"/>
          <w:sz w:val="20"/>
          <w:u w:val="single"/>
        </w:rPr>
        <w:t>Section 11.08</w:t>
      </w:r>
      <w:r>
        <w:rPr>
          <w:rFonts w:ascii="Times New Roman" w:hAnsi="Times New Roman"/>
          <w:sz w:val="20"/>
        </w:rPr>
        <w:t xml:space="preserve"> (it being understood that in no event shall such disclosure be made to any Disqualified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hAnsi="Times New Roman"/>
          <w:sz w:val="20"/>
          <w:u w:val="single"/>
        </w:rPr>
        <w:t>clause (f)</w:t>
      </w:r>
      <w:r>
        <w:rPr>
          <w:rFonts w:ascii="Times New Roman" w:hAnsi="Times New Roman"/>
          <w:sz w:val="20"/>
        </w:rPr>
        <w:t xml:space="preserve"> but only to the extent that a list of such Disqualified Lenders is available to all Lenders upon request), to (i) any </w:t>
      </w:r>
      <w:r>
        <w:rPr>
          <w:rFonts w:ascii="Times New Roman" w:hAnsi="Times New Roman"/>
          <w:i/>
          <w:sz w:val="20"/>
        </w:rPr>
        <w:t xml:space="preserve">bona fide </w:t>
      </w:r>
      <w:r>
        <w:rPr>
          <w:rFonts w:ascii="Times New Roman" w:hAnsi="Times New Roman"/>
          <w:sz w:val="20"/>
        </w:rPr>
        <w:t xml:space="preserve">assignee of or Participant in, or any prospective assignee of or Participant in, any of its rights or obligations under this Agreement or (ii) any actual or prospective direct or indirect counterparty (or its advisors) to any swap or derivative transaction relating to the Borrower or any of their Subsidiaries or any of their respective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with the prior written consent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(h) to any rating agency when required by it (it being understood that, prior to any such disclosure, such rating agency shall undertake to preserve the confidentiality of any Information relating to the Loan Parties received by it from such Lender), </w:t>
      </w:r>
    </w:p>
    <w:p>
      <w:pPr>
        <w:pStyle w:val="TextBody"/>
        <w:bidi w:val="0"/>
        <w:spacing w:before="120" w:after="0"/>
        <w:jc w:val="left"/>
        <w:rPr>
          <w:rFonts w:ascii="Times New Roman" w:hAnsi="Times New Roman"/>
          <w:sz w:val="20"/>
        </w:rPr>
      </w:pPr>
      <w:r>
        <w:rPr>
          <w:rFonts w:ascii="Times New Roman" w:hAnsi="Times New Roman"/>
          <w:sz w:val="20"/>
        </w:rPr>
        <w:t xml:space="preserve">(i) to any credit insurance providers of the Lenders; </w:t>
      </w:r>
      <w:r>
        <w:rPr>
          <w:rFonts w:ascii="Times New Roman" w:hAnsi="Times New Roman"/>
          <w:i/>
          <w:sz w:val="20"/>
        </w:rPr>
        <w:t>provided</w:t>
      </w:r>
      <w:r>
        <w:rPr>
          <w:rFonts w:ascii="Times New Roman" w:hAnsi="Times New Roman"/>
          <w:sz w:val="20"/>
        </w:rPr>
        <w:t xml:space="preserve"> that prior to the disclosure of any proprietary or non-public information relating to the Borrower, other than any Loan Document, in connection with this clause (i), the credit insurance provider shall enter into an agreement containing confidentiality obligations to the disclosing Lender on terms similar to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(j) to the extent such Information (i) becomes publicly available other than as a result of a breach of this </w:t>
      </w:r>
      <w:r>
        <w:rPr>
          <w:rFonts w:ascii="Times New Roman" w:hAnsi="Times New Roman"/>
          <w:sz w:val="20"/>
          <w:u w:val="single"/>
        </w:rPr>
        <w:t>Section 11.08</w:t>
      </w:r>
      <w:r>
        <w:rPr>
          <w:rFonts w:ascii="Times New Roman" w:hAnsi="Times New Roman"/>
          <w:sz w:val="20"/>
        </w:rPr>
        <w:t xml:space="preserve"> or (ii) becomes available to the Administrative Agent, the Collateral Trustee, any Lender, or any of their respective Affiliates on a non-confidential basis from a source other than the Borrower or any Subsidiary thereof, and which source is not known by such Person to be subject to a confidentiality restriction in respect thereof in favor of the Borrower or any Affiliate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the Administrative Agent, the Collateral Trustee, and the Lenders may disclose the existence of this Agreement and the information about this Agreement to the CUSIP Service Bureau or any similar agency in connection with the issuance and monitoring of CUSIP numbers with respect to the Loans, market data collectors, similar service providers to the lending industry, and service providers to the Administrative Agent, the Collateral Trustee and the Lenders in connection with the administration and management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11.08</w:t>
      </w:r>
      <w:r>
        <w:rPr>
          <w:rFonts w:ascii="Times New Roman" w:hAnsi="Times New Roman"/>
          <w:sz w:val="20"/>
        </w:rPr>
        <w:t>, “</w:t>
      </w:r>
      <w:r>
        <w:rPr>
          <w:rFonts w:ascii="Times New Roman" w:hAnsi="Times New Roman"/>
          <w:b/>
          <w:sz w:val="20"/>
        </w:rPr>
        <w:t>Information</w:t>
      </w:r>
      <w:r>
        <w:rPr>
          <w:rFonts w:ascii="Times New Roman" w:hAnsi="Times New Roman"/>
          <w:sz w:val="20"/>
        </w:rPr>
        <w:t xml:space="preserve">” means all information received from or on behalf of any Loan Party or any Subsidiary thereof relating to any Loan Party or any Subsidiary thereof or their respective businesses, other than any such information that is available to the Administrative Agent, the Collateral Trustee or any Lender on a non-confidential basis prior to disclosure by any Loan Party or any Subsidiary thereof; it being understood that all information received from the Borrower or any Subsidiary after the date hereof shall be deemed confidential unless such information is clearly identified at the time of delivery as not being confidential. Any Person required to maintain the confidentiality of Information as provided in this </w:t>
      </w:r>
      <w:r>
        <w:rPr>
          <w:rFonts w:ascii="Times New Roman" w:hAnsi="Times New Roman"/>
          <w:sz w:val="20"/>
          <w:u w:val="single"/>
        </w:rPr>
        <w:t>Section 11.08</w:t>
      </w:r>
      <w:r>
        <w:rPr>
          <w:rFonts w:ascii="Times New Roman" w:hAnsi="Times New Roman"/>
          <w:sz w:val="20"/>
        </w:rPr>
        <w:t xml:space="preserve"> shall be considered to have complied with its obligation to do so in accordance with its customary procedures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Administrative Agent, the Collateral Trustee and the Lenders acknowledges that (A) the Information may include Private-Side Information concerning the Borrower or a Subsidiary, as the case may be, (B) it has developed compliance procedures regarding the use of Private-Side Information and (C) it will handle such Private-Side Information in accordance with applicable Law, including United States federal and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therein, nothing in any Loan Document shall require the Borrower or any of its subsidiaries to provide information (i) that constitutes non-financial trade secrets or non-financial proprietary information, (ii) in respect of which disclosure is prohibited by applicable Law, (iii) that is subject to attorney client or similar privilege or constitutes attorney work product or (iv) the disclosure of which is restricted by binding agreements not entered into primarily for the purpose of qualifying for the exclusion in this </w:t>
      </w:r>
      <w:r>
        <w:rPr>
          <w:rFonts w:ascii="Times New Roman" w:hAnsi="Times New Roman"/>
          <w:sz w:val="20"/>
          <w:u w:val="single"/>
        </w:rPr>
        <w:t>clause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11.09</w:t>
      </w:r>
      <w:r>
        <w:rPr>
          <w:rFonts w:ascii="Times New Roman" w:hAnsi="Times New Roman"/>
          <w:sz w:val="20"/>
        </w:rPr>
        <w:t xml:space="preserve"> </w:t>
      </w:r>
      <w:r>
        <w:rPr>
          <w:rFonts w:ascii="Times New Roman" w:hAnsi="Times New Roman"/>
          <w:b/>
          <w:sz w:val="20"/>
          <w:u w:val="single"/>
        </w:rPr>
        <w:t>Set-off</w:t>
      </w:r>
      <w:r>
        <w:rPr>
          <w:rFonts w:ascii="Times New Roman" w:hAnsi="Times New Roman"/>
          <w:sz w:val="20"/>
        </w:rPr>
        <w:t xml:space="preserve">. If an Event of Default shall have occurred and be continuing, each Lender and each of their respective Affiliates is hereby authorized at any time and from time to time, without prior notice to the Administrative Agent, any Loan Party or to any other Person, any such notice being hereby expressly waived,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irrespective of whether or not (a) such Lender shall have made any demand under this Agreement or any other Loan Document and (b) the principal of or the interest on the Loans or any amounts in respect of the Letters of Credit or any other amounts due hereunder shall have become due and payable pursuant to </w:t>
      </w:r>
      <w:r>
        <w:rPr>
          <w:rFonts w:ascii="Times New Roman" w:hAnsi="Times New Roman"/>
          <w:sz w:val="20"/>
          <w:u w:val="single"/>
        </w:rPr>
        <w:t>Article II</w:t>
      </w:r>
      <w:r>
        <w:rPr>
          <w:rFonts w:ascii="Times New Roman" w:hAnsi="Times New Roman"/>
          <w:sz w:val="20"/>
        </w:rPr>
        <w:t xml:space="preserve"> and although such obligations of the Borrower or such Loan Party may be contingent or unmatured or are owed to a branch or office of such Lender different from the branch or office holding such deposit or obligated on such indebtedness; </w:t>
      </w:r>
      <w:r>
        <w:rPr>
          <w:rFonts w:ascii="Times New Roman" w:hAnsi="Times New Roman"/>
          <w:i/>
          <w:sz w:val="20"/>
        </w:rPr>
        <w:t xml:space="preserve">provided </w:t>
      </w:r>
      <w:r>
        <w:rPr>
          <w:rFonts w:ascii="Times New Roman" w:hAnsi="Times New Roman"/>
          <w:sz w:val="20"/>
        </w:rPr>
        <w:t xml:space="preserve">that in the event that any Defaulting Lender shall exercise any such right of setoff, (i) all amounts so set off shall be paid over immediately to the Administrative Agent for further application in accordance with the provisions of </w:t>
      </w:r>
      <w:r>
        <w:rPr>
          <w:rFonts w:ascii="Times New Roman" w:hAnsi="Times New Roman"/>
          <w:sz w:val="20"/>
          <w:u w:val="single"/>
        </w:rPr>
        <w:t>Sections 2.10</w:t>
      </w:r>
      <w:r>
        <w:rPr>
          <w:rFonts w:ascii="Times New Roman" w:hAnsi="Times New Roman"/>
          <w:sz w:val="20"/>
        </w:rPr>
        <w:t xml:space="preserve">,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Affiliates may have. Each Lender agrees to notify the Borrower and the Administrative Agent promptly after any such set-off and application, provided 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11.10</w:t>
      </w:r>
      <w:r>
        <w:rPr>
          <w:rFonts w:ascii="Times New Roman" w:hAnsi="Times New Roman"/>
          <w:sz w:val="20"/>
        </w:rPr>
        <w:t xml:space="preserve"> </w:t>
      </w:r>
      <w:r>
        <w:rPr>
          <w:rFonts w:ascii="Times New Roman" w:hAnsi="Times New Roman"/>
          <w:b/>
          <w:sz w:val="20"/>
          <w:u w:val="single"/>
        </w:rPr>
        <w:t>Interest Rate Limitation</w:t>
      </w:r>
      <w:r>
        <w:rPr>
          <w:rFonts w:ascii="Times New Roman" w:hAnsi="Times New Roman"/>
          <w:sz w:val="20"/>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 w:hAnsi="Times New Roman"/>
          <w:b/>
          <w:sz w:val="20"/>
        </w:rPr>
        <w:t>Maximum Rate</w:t>
      </w:r>
      <w:r>
        <w:rPr>
          <w:rFonts w:ascii="Times New Roman" w:hAnsi="Times New Roman"/>
          <w:sz w:val="20"/>
        </w:rPr>
        <w:t xml:space="preserve">”).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 to conform strictly to any applicable usury 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11.11</w:t>
      </w:r>
      <w:r>
        <w:rPr>
          <w:rFonts w:ascii="Times New Roman" w:hAnsi="Times New Roman"/>
          <w:sz w:val="20"/>
        </w:rPr>
        <w:t xml:space="preserve"> </w:t>
      </w:r>
      <w:r>
        <w:rPr>
          <w:rFonts w:ascii="Times New Roman" w:hAnsi="Times New Roman"/>
          <w:b/>
          <w:sz w:val="20"/>
          <w:u w:val="single"/>
        </w:rPr>
        <w:t>Counterparts; Integration; Effectiveness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counterparts (and by different parties hereto in different counterparts), each of which when so executed shall be deemed to be an original and all of which when taken together shall constitute one and the same instrument.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Agreement. This Agreement and the other Loan Documents constitute the entire contract among the parties relating to the subject matter hereof and supersede any and all previous agreements and understandings, oral or written, relating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represents and warrants to the other parties hereto that it has the corporate capacity and authority to execute this Agreement through electronic means and there are no restrictions for doing so in such party’s constitutive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11.12</w:t>
      </w:r>
      <w:r>
        <w:rPr>
          <w:rFonts w:ascii="Times New Roman" w:hAnsi="Times New Roman"/>
          <w:sz w:val="20"/>
        </w:rPr>
        <w:t xml:space="preserve"> </w:t>
      </w:r>
      <w:r>
        <w:rPr>
          <w:rFonts w:ascii="Times New Roman" w:hAnsi="Times New Roman"/>
          <w:b/>
          <w:sz w:val="20"/>
          <w:u w:val="single"/>
        </w:rPr>
        <w:t>Electronic Execution of Assignments and Certain Other Documents</w:t>
      </w:r>
      <w:r>
        <w:rPr>
          <w:rFonts w:ascii="Times New Roman" w:hAnsi="Times New Roman"/>
          <w:sz w:val="20"/>
        </w:rPr>
        <w:t xml:space="preserve">. The words “execution,” “signed,” “signature,” and words of like import in this Agreement, any Assignment and Assumption,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as the case may be, relating to the electronic execution of agreements; </w:t>
      </w:r>
      <w:r>
        <w:rPr>
          <w:rFonts w:ascii="Times New Roman" w:hAnsi="Times New Roman"/>
          <w:i/>
          <w:sz w:val="20"/>
        </w:rPr>
        <w:t xml:space="preserve">provided </w:t>
      </w:r>
      <w:r>
        <w:rPr>
          <w:rFonts w:ascii="Times New Roman" w:hAnsi="Times New Roman"/>
          <w:sz w:val="20"/>
        </w:rPr>
        <w:t xml:space="preserve">that notwithstanding anything contained herein to the contrary, the Administrative Agent is under no obligation to agree to accept electronic signatures in any form or any format unless expressly agreed to by the Administrative Agent pursuant to procedures approved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11.13</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Loan, and shall continue in full force and effect as long as any Loan or any other Obligation hereunder shall remain unpaid or unsatisfied. Notwithstanding anything herein or implied by law to the contrary, the agreements of each Loan Party set forth in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11.04</w:t>
      </w:r>
      <w:r>
        <w:rPr>
          <w:rFonts w:ascii="Times New Roman" w:hAnsi="Times New Roman"/>
          <w:sz w:val="20"/>
        </w:rPr>
        <w:t xml:space="preserve">, </w:t>
      </w:r>
      <w:r>
        <w:rPr>
          <w:rFonts w:ascii="Times New Roman" w:hAnsi="Times New Roman"/>
          <w:sz w:val="20"/>
          <w:u w:val="single"/>
        </w:rPr>
        <w:t>11.05</w:t>
      </w:r>
      <w:r>
        <w:rPr>
          <w:rFonts w:ascii="Times New Roman" w:hAnsi="Times New Roman"/>
          <w:sz w:val="20"/>
        </w:rPr>
        <w:t xml:space="preserve"> and </w:t>
      </w:r>
      <w:r>
        <w:rPr>
          <w:rFonts w:ascii="Times New Roman" w:hAnsi="Times New Roman"/>
          <w:sz w:val="20"/>
          <w:u w:val="single"/>
        </w:rPr>
        <w:t>11.09</w:t>
      </w:r>
      <w:r>
        <w:rPr>
          <w:rFonts w:ascii="Times New Roman" w:hAnsi="Times New Roman"/>
          <w:sz w:val="20"/>
        </w:rPr>
        <w:t xml:space="preserve"> and the agreements of the Lenders set forth in </w:t>
      </w:r>
      <w:r>
        <w:rPr>
          <w:rFonts w:ascii="Times New Roman" w:hAnsi="Times New Roman"/>
          <w:sz w:val="20"/>
          <w:u w:val="single"/>
        </w:rPr>
        <w:t>Sections 2.10</w:t>
      </w:r>
      <w:r>
        <w:rPr>
          <w:rFonts w:ascii="Times New Roman" w:hAnsi="Times New Roman"/>
          <w:sz w:val="20"/>
        </w:rPr>
        <w:t xml:space="preserve">, </w:t>
      </w:r>
      <w:r>
        <w:rPr>
          <w:rFonts w:ascii="Times New Roman" w:hAnsi="Times New Roman"/>
          <w:sz w:val="20"/>
          <w:u w:val="single"/>
        </w:rPr>
        <w:t>10.03</w:t>
      </w:r>
      <w:r>
        <w:rPr>
          <w:rFonts w:ascii="Times New Roman" w:hAnsi="Times New Roman"/>
          <w:sz w:val="20"/>
        </w:rPr>
        <w:t xml:space="preserve"> and </w:t>
      </w:r>
      <w:r>
        <w:rPr>
          <w:rFonts w:ascii="Times New Roman" w:hAnsi="Times New Roman"/>
          <w:sz w:val="20"/>
          <w:u w:val="single"/>
        </w:rPr>
        <w:t>10.07</w:t>
      </w:r>
      <w:r>
        <w:rPr>
          <w:rFonts w:ascii="Times New Roman" w:hAnsi="Times New Roman"/>
          <w:sz w:val="20"/>
        </w:rPr>
        <w:t xml:space="preserve"> shall survive the termination of the Commitments and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11.14</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If any provision of this Agreement or the other Loan Documents is held to be illegal, invalid or unenforceable in any jurisdiction, (a) the legality, validity and enforceability of the remaining provisions or obligations, or of such provision or obligation in any other jurisdiction,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sz w:val="20"/>
          <w:u w:val="single"/>
        </w:rPr>
        <w:t>Section 11.14</w:t>
      </w:r>
      <w:r>
        <w:rPr>
          <w:rFonts w:ascii="Times New Roman" w:hAnsi="Times New Roman"/>
          <w:sz w:val="20"/>
        </w:rPr>
        <w:t xml:space="preserve">,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11.15</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THE RIGHTS AND OBLIGATIONS OF THE PARTIES HEREUNDER (INCLUDING ANY CLAIMS SOUNDING IN CONTRACT LAW OR TORT LAW ARISING OUT OF THE SUBJECT MATTER HEREOF AND ANY DETERMINATIONS WITH RESPECT TO POST-JUDGMENT INTEREST) AND EACH OTHER LOAN DOCUMENT SHALL BE GOVERNED BY, AND SHALL BE CONSTRUED AND ENFORCED IN ACCORDANCE WITH,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(b) BY EXECUTING AND DELIVERING THIS AGREEMENT, EACH PARTY HERETO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ANY OTHER LOAN DOCUMENT (OTHER THAN WITH RESPECT TO ACTIONS BY ANY AGENT IN RESPECT OF RIGHTS UNDER ANY COLLATERAL DOCUMENT GOVERNED BY A LAW OTHER THAN THE LAWS OF THE STATE OF NEW YORK (INCLUDING ANY VESSEL MORTGAGE) OR WITH RESPECT TO ANY COLLATERAL SUBJECT THERETO), OR FOR RECOGNITION OR ENFORCEMENT OF ANY JUDGMENT, AND EACH OF THE PARTIES HERETO IRREVOCABLY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 </w:t>
      </w:r>
    </w:p>
    <w:p>
      <w:pPr>
        <w:pStyle w:val="TextBody"/>
        <w:bidi w:val="0"/>
        <w:spacing w:before="120" w:after="0"/>
        <w:jc w:val="left"/>
        <w:rPr>
          <w:rFonts w:ascii="Times New Roman" w:hAnsi="Times New Roman"/>
          <w:sz w:val="20"/>
        </w:rPr>
      </w:pPr>
      <w:r>
        <w:rPr>
          <w:rFonts w:ascii="Times New Roman" w:hAnsi="Times New Roman"/>
          <w:sz w:val="20"/>
        </w:rPr>
        <w:t xml:space="preserve">(c)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11.15</w:t>
      </w:r>
      <w:r>
        <w:rPr>
          <w:rFonts w:ascii="Times New Roman" w:hAnsi="Times New Roman"/>
          <w:sz w:val="20"/>
        </w:rPr>
        <w:t xml:space="preserve">. EACH OF THE PARTIES HERETO HEREBY IRREVOCABLY WAIVES, TO THE FULLEST EXTENT PERMITTED BY APPLICABLE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11.16</w:t>
      </w:r>
      <w:r>
        <w:rPr>
          <w:rFonts w:ascii="Times New Roman" w:hAnsi="Times New Roman"/>
          <w:sz w:val="20"/>
        </w:rPr>
        <w:t xml:space="preserve"> </w:t>
      </w:r>
      <w:r>
        <w:rPr>
          <w:rFonts w:ascii="Times New Roman" w:hAnsi="Times New Roman"/>
          <w:b/>
          <w:sz w:val="20"/>
          <w:u w:val="single"/>
        </w:rPr>
        <w:t>WAIVER OF RIGHT TO TRIAL BY JURY</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hAnsi="Times New Roman"/>
          <w:sz w:val="20"/>
          <w:u w:val="single"/>
        </w:rPr>
        <w:t>SECTION 11.16</w:t>
      </w:r>
      <w:r>
        <w:rPr>
          <w:rFonts w:ascii="Times New Roman" w:hAnsi="Times New Roman"/>
          <w:sz w:val="20"/>
        </w:rPr>
        <w:t xml:space="preserve">,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TRIAL RIGHTS FOLLOWING CONSULTATION WITH LEGAL COUNSEL. THIS WAIVER IS IRREVOCABLE, MEANING THAT IT MAY NOT BE MODIFIED EITHER ORALLY OR IN WRITING (OTHER THAN BY A MUTUAL WRITTEN WAIVER SPECIFICALLY REFERRING TO THIS </w:t>
      </w:r>
      <w:r>
        <w:rPr>
          <w:rFonts w:ascii="Times New Roman" w:hAnsi="Times New Roman"/>
          <w:sz w:val="20"/>
          <w:u w:val="single"/>
        </w:rPr>
        <w:t>SECTION 11.16</w:t>
      </w:r>
      <w:r>
        <w:rPr>
          <w:rFonts w:ascii="Times New Roman" w:hAnsi="Times New Roman"/>
          <w:sz w:val="20"/>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11.17</w:t>
      </w:r>
      <w:r>
        <w:rPr>
          <w:rFonts w:ascii="Times New Roman" w:hAnsi="Times New Roman"/>
          <w:sz w:val="20"/>
        </w:rPr>
        <w:t xml:space="preserve"> </w:t>
      </w:r>
      <w:r>
        <w:rPr>
          <w:rFonts w:ascii="Times New Roman" w:hAnsi="Times New Roman"/>
          <w:b/>
          <w:sz w:val="20"/>
          <w:u w:val="single"/>
        </w:rPr>
        <w:t>Limitation of Liability</w:t>
      </w:r>
      <w:r>
        <w:rPr>
          <w:rFonts w:ascii="Times New Roman" w:hAnsi="Times New Roman"/>
          <w:sz w:val="20"/>
        </w:rPr>
        <w:t xml:space="preserve">. The Loan Parties agree that no Indemnitee shall have any liability (whether in contract, tort or otherwise) to any Loan Party or any of their respective Subsidiaries or any of their respective equity holders or creditors for or in connection with the transactions contemplated hereby and in the other Loan Documents, except to the extent such liability is determined in a final, non-appealable judgment by a court of competent jurisdiction to have resulted from such Indemnitee’s gross negligence or willful misconduct by such Indemnitee of its obligations under this Agreement. In no event, shall any party hereto, any Loan Party or any Indemnitee be liable on any theory of liability for any special, indirect, consequential or punitive damages (including any loss of profits, business or anticipated savings) (other than, in the case of the Borrower, in respect of any such damages incurred or paid by an Indemnitee to a third party).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11.18</w:t>
      </w:r>
      <w:r>
        <w:rPr>
          <w:rFonts w:ascii="Times New Roman" w:hAnsi="Times New Roman"/>
          <w:sz w:val="20"/>
        </w:rPr>
        <w:t xml:space="preserve"> </w:t>
      </w:r>
      <w:r>
        <w:rPr>
          <w:rFonts w:ascii="Times New Roman" w:hAnsi="Times New Roman"/>
          <w:b/>
          <w:sz w:val="20"/>
          <w:u w:val="single"/>
        </w:rPr>
        <w:t>Use of Name, Logo, Etc.</w:t>
      </w:r>
      <w:r>
        <w:rPr>
          <w:rFonts w:ascii="Times New Roman" w:hAnsi="Times New Roman"/>
          <w:sz w:val="20"/>
        </w:rPr>
        <w:t xml:space="preserve">. Each Loan Party consents to the publication in the ordinary course by the Administrative Agent of customary advertising material relating to the financing transactions contemplated by this Agreement using such Loan Party’s name, product photographs, logo or trademark; </w:t>
      </w:r>
      <w:r>
        <w:rPr>
          <w:rFonts w:ascii="Times New Roman" w:hAnsi="Times New Roman"/>
          <w:i/>
          <w:sz w:val="20"/>
        </w:rPr>
        <w:t xml:space="preserve">provided </w:t>
      </w:r>
      <w:r>
        <w:rPr>
          <w:rFonts w:ascii="Times New Roman" w:hAnsi="Times New Roman"/>
          <w:sz w:val="20"/>
        </w:rPr>
        <w:t xml:space="preserve">that any such trademarks or logos are used solely in a manner that is not intended to or reasonably likely to harm or disparage the Borrower or any of their Subsidiaries or the reputation or goodwill of any of them. Such consent shall remain effective until revoked by such Loan Party in writing to the Administrative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11.19</w:t>
      </w:r>
      <w:r>
        <w:rPr>
          <w:rFonts w:ascii="Times New Roman" w:hAnsi="Times New Roman"/>
          <w:sz w:val="20"/>
        </w:rPr>
        <w:t xml:space="preserve"> </w:t>
      </w:r>
      <w:r>
        <w:rPr>
          <w:rFonts w:ascii="Times New Roman" w:hAnsi="Times New Roman"/>
          <w:b/>
          <w:sz w:val="20"/>
          <w:u w:val="single"/>
        </w:rPr>
        <w:t>USA PATRIOT Act Notice</w:t>
      </w:r>
      <w:r>
        <w:rPr>
          <w:rFonts w:ascii="Times New Roman" w:hAnsi="Times New Roman"/>
          <w:sz w:val="20"/>
        </w:rPr>
        <w:t xml:space="preserve">. Each Lender that is subject to the USA PATRIOT Act and the Agents (for itself and not on behalf of any Lender) hereby notifies each Loan Party that pursuant to the requirements of the USA PATRIOT Act, it is required to obtain, verify and record information that identifies each Loan Party, which information includes the name and address of each Loan Party and other information that will allow such Lender or the Agents, as applicable, to identify each Loan Party in accordance with the USA PATRIOT Act. Each Loan Party shall, promptly following a request by the Agents or any Lender, provide all documentation and other information that the Agents or such Lender requests in order to comply with its ongoing obligations under applicable “know your customer” and anti-money laundering rules and regulations, including the USA PATRIOT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11.20</w:t>
      </w:r>
      <w:r>
        <w:rPr>
          <w:rFonts w:ascii="Times New Roman" w:hAnsi="Times New Roman"/>
          <w:sz w:val="20"/>
        </w:rPr>
        <w:t xml:space="preserve"> </w:t>
      </w:r>
      <w:r>
        <w:rPr>
          <w:rFonts w:ascii="Times New Roman" w:hAnsi="Times New Roman"/>
          <w:b/>
          <w:sz w:val="20"/>
          <w:u w:val="single"/>
        </w:rPr>
        <w:t>Force Majeure</w:t>
      </w:r>
      <w:r>
        <w:rPr>
          <w:rFonts w:ascii="Times New Roman" w:hAnsi="Times New Roman"/>
          <w:sz w:val="20"/>
        </w:rPr>
        <w:t xml:space="preserve">. The Collateral Trustee shall in no event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civil or military disturbances, nuclear or natural catastrophes or acts of God, and interruptions, loss or malfunctions of utilities, communications or computer (software and hardware) services or the unavailability of the Federal Reserve Bank wire or telex or other wire or communication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11.21</w:t>
      </w:r>
      <w:r>
        <w:rPr>
          <w:rFonts w:ascii="Times New Roman" w:hAnsi="Times New Roman"/>
          <w:sz w:val="20"/>
        </w:rPr>
        <w:t xml:space="preserve"> </w:t>
      </w:r>
      <w:r>
        <w:rPr>
          <w:rFonts w:ascii="Times New Roman" w:hAnsi="Times New Roman"/>
          <w:b/>
          <w:sz w:val="20"/>
          <w:u w:val="single"/>
        </w:rPr>
        <w:t>Collateral Trustee Merger</w:t>
      </w:r>
      <w:r>
        <w:rPr>
          <w:rFonts w:ascii="Times New Roman" w:hAnsi="Times New Roman"/>
          <w:sz w:val="20"/>
        </w:rPr>
        <w:t xml:space="preserve">. Any organization or entity into which the Collateral Trustee may be converted or merged, or with which it may be consolidated, or to which it may sell or transfer all or substantially all of its corporate trust business and assets as a whole or substantially as a whole, or any organization or entity resulting from any such conversion, sale, merger, consolidation or transfer to which the Collateral Trustee is a party, will be and become the successor to the Collateral Trustee under this Agreement and will have and succeed to the rights, powers, duties, immunities and privileges as its predecessor, without the execution or filing of any instrument or paper or the performance of any further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11.22</w:t>
      </w:r>
      <w:r>
        <w:rPr>
          <w:rFonts w:ascii="Times New Roman" w:hAnsi="Times New Roman"/>
          <w:sz w:val="20"/>
        </w:rPr>
        <w:t xml:space="preserve"> </w:t>
      </w:r>
      <w:r>
        <w:rPr>
          <w:rFonts w:ascii="Times New Roman" w:hAnsi="Times New Roman"/>
          <w:b/>
          <w:sz w:val="20"/>
          <w:u w:val="single"/>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11.02</w:t>
      </w:r>
      <w:r>
        <w:rPr>
          <w:rFonts w:ascii="Times New Roman" w:hAnsi="Times New Roman"/>
          <w:sz w:val="20"/>
        </w:rPr>
        <w:t xml:space="preserve">. NOTHING IN THIS AGREEMENT WILL AFFECT THE RIGHT OF ANY PARTY HERETO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11.23</w:t>
      </w:r>
      <w:r>
        <w:rPr>
          <w:rFonts w:ascii="Times New Roman" w:hAnsi="Times New Roman"/>
          <w:sz w:val="20"/>
        </w:rPr>
        <w:t xml:space="preserve"> </w:t>
      </w:r>
      <w:r>
        <w:rPr>
          <w:rFonts w:ascii="Times New Roman" w:hAnsi="Times New Roman"/>
          <w:b/>
          <w:sz w:val="20"/>
          <w:u w:val="single"/>
        </w:rPr>
        <w:t>No Advisory or Fiduciary Responsibility</w:t>
      </w:r>
      <w:r>
        <w:rPr>
          <w:rFonts w:ascii="Times New Roman" w:hAnsi="Times New Roman"/>
          <w:sz w:val="20"/>
        </w:rPr>
        <w:t xml:space="preserve">. In connection with all aspects of each transaction contemplated hereby (including in connection with any amendment, waiver or other modification hereof or of any other Loan Document), each Loan Party acknowledges and agrees, and acknowledges its Affiliates’ understanding that: (a) (i) the transactions contemplated by the Loan Documents (including the exercise of rights and remedies hereunder and thereunder) are arm’s-length commercial transactions between the Agents and the Lenders on the one hand, and the Loan Parties and their Affiliates,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the Agents are and have been, and each Lender is and has been, acting solely as a principal and, except as expressly agreed in writing by the relevant parties, have or has not been, are or is not, and will not be acting as an advisor, agent or fiduciary for the Loan Parties, its stockholders or its Affiliates (irrespective of whether any Lender has advised, is currently advising or will advise any Loan Party, its stockholders or its Affiliates on other matters), or any other Person and (ii) none of the Agents nor any Lender has any obligation to the Borrower or any of its Affiliates with respect to the transactions contemplated hereby except those obligations expressly set forth herein and in the other Loan Documents; and (c) the Agents, the Lenders and their respective Affiliates may be engaged in a broad range of transactions that involve economic interests that conflict with those of the Loan Parties, their stockholders and/or their affiliates, and none of the Agents nor any Lender has any obligation to disclose any of such interests to the Borrower or any of its respective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To the fullest extent permitted by law, each Loan Party hereby waives and releases any claims that it may have against the Agents or any Lender with respect to any breach or alleged breach of agency or fiduciary duty in connection with any aspect of any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11.24</w:t>
      </w:r>
      <w:r>
        <w:rPr>
          <w:rFonts w:ascii="Times New Roman" w:hAnsi="Times New Roman"/>
          <w:sz w:val="20"/>
        </w:rPr>
        <w:t xml:space="preserve"> </w:t>
      </w:r>
      <w:r>
        <w:rPr>
          <w:rFonts w:ascii="Times New Roman" w:hAnsi="Times New Roman"/>
          <w:b/>
          <w:sz w:val="20"/>
          <w:u w:val="single"/>
        </w:rPr>
        <w:t>Binding Effect</w:t>
      </w:r>
      <w:r>
        <w:rPr>
          <w:rFonts w:ascii="Times New Roman" w:hAnsi="Times New Roman"/>
          <w:sz w:val="20"/>
        </w:rPr>
        <w:t xml:space="preserve">. This Agreement shall become effective when it shall have been executed by the Borrower and the Administrative Agent and the Administrative Agent shall have been notified by each Lender that each such Lender has executed it and thereafter shall be binding upon and inure to the benefit of the Borrower, each Agent and each Lender and their respective successors and assigns.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11.25</w:t>
      </w:r>
      <w:r>
        <w:rPr>
          <w:rFonts w:ascii="Times New Roman" w:hAnsi="Times New Roman"/>
          <w:sz w:val="20"/>
        </w:rPr>
        <w:t xml:space="preserve"> </w:t>
      </w:r>
      <w:r>
        <w:rPr>
          <w:rFonts w:ascii="Times New Roman" w:hAnsi="Times New Roman"/>
          <w:b/>
          <w:sz w:val="20"/>
          <w:u w:val="single"/>
        </w:rPr>
        <w:t>Obligations Several; Independent Nature of Lender</w:t>
      </w:r>
      <w:r>
        <w:rPr>
          <w:rFonts w:ascii="Times New Roman" w:hAnsi="Times New Roman"/>
          <w:sz w:val="20"/>
          <w:u w:val="single"/>
        </w:rPr>
        <w:t>’</w:t>
      </w:r>
      <w:r>
        <w:rPr>
          <w:rFonts w:ascii="Times New Roman" w:hAnsi="Times New Roman"/>
          <w:b/>
          <w:sz w:val="20"/>
          <w:u w:val="single"/>
        </w:rPr>
        <w:t>s Rights</w:t>
      </w:r>
      <w:r>
        <w:rPr>
          <w:rFonts w:ascii="Times New Roman" w:hAnsi="Times New Roman"/>
          <w:sz w:val="20"/>
        </w:rPr>
        <w:t xml:space="preserve">. The obligations of the Lenders hereunder are several and not joint and no Lender shall be responsible for the obligations or—Commitments of any other Lender hereunder. Nothing contained herein or in any other Loan Document, and no action taken by the Lenders pursuant hereto or thereto, shall be deemed to constitute the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11.26</w:t>
      </w:r>
      <w:r>
        <w:rPr>
          <w:rFonts w:ascii="Times New Roman" w:hAnsi="Times New Roman"/>
          <w:sz w:val="20"/>
        </w:rPr>
        <w:t xml:space="preserve"> </w:t>
      </w:r>
      <w:r>
        <w:rPr>
          <w:rFonts w:ascii="Times New Roman" w:hAnsi="Times New Roman"/>
          <w:b/>
          <w:sz w:val="20"/>
          <w:u w:val="single"/>
        </w:rPr>
        <w:t>Headings</w:t>
      </w:r>
      <w:r>
        <w:rPr>
          <w:rFonts w:ascii="Times New Roman" w:hAnsi="Times New Roman"/>
          <w:sz w:val="20"/>
        </w:rPr>
        <w:t xml:space="preserve">. Section headings herein are included herein for convenience of reference only and shall not constitute a part hereof for any other purpose or be given any substantive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11.27</w:t>
      </w:r>
      <w:r>
        <w:rPr>
          <w:rFonts w:ascii="Times New Roman" w:hAnsi="Times New Roman"/>
          <w:sz w:val="20"/>
        </w:rPr>
        <w:t xml:space="preserve"> </w:t>
      </w:r>
      <w:r>
        <w:rPr>
          <w:rFonts w:ascii="Times New Roman" w:hAnsi="Times New Roman"/>
          <w:b/>
          <w:sz w:val="20"/>
          <w:u w:val="single"/>
        </w:rPr>
        <w:t>Acknowledgement and Consent to Bail-In of Affected Financial Institutions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11.25</w:t>
      </w:r>
      <w:r>
        <w:rPr>
          <w:rFonts w:ascii="Times New Roman" w:hAnsi="Times New Roman"/>
          <w:sz w:val="20"/>
        </w:rPr>
        <w:t xml:space="preserve"> are intended to comply with, and shall be interpreted in light of, Article 55 of Directive 2014/59/EU of the European Parliament and of the Council of the European Union.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11.28</w:t>
      </w:r>
      <w:r>
        <w:rPr>
          <w:rFonts w:ascii="Times New Roman" w:hAnsi="Times New Roman"/>
          <w:sz w:val="20"/>
        </w:rPr>
        <w:t xml:space="preserve"> </w:t>
      </w:r>
      <w:r>
        <w:rPr>
          <w:rFonts w:ascii="Times New Roman" w:hAnsi="Times New Roman"/>
          <w:b/>
          <w:sz w:val="20"/>
          <w:u w:val="single"/>
        </w:rPr>
        <w:t>Acknowledgment Regarding Any Supported QFCs</w:t>
      </w:r>
      <w:r>
        <w:rPr>
          <w:rFonts w:ascii="Times New Roman" w:hAnsi="Times New Roman"/>
          <w:sz w:val="20"/>
        </w:rPr>
        <w:t>. (a) To the extent that the Loan Documents provide support, through a guarantee or otherwise (including the Guaranty), for any Hedge Agreement or any other agreement or instrument that is a QFC (such support, “</w:t>
      </w:r>
      <w:r>
        <w:rPr>
          <w:rFonts w:ascii="Times New Roman" w:hAnsi="Times New Roman"/>
          <w:b/>
          <w:sz w:val="20"/>
        </w:rPr>
        <w:t>QFC Credit Support</w:t>
      </w:r>
      <w:r>
        <w:rPr>
          <w:rFonts w:ascii="Times New Roman" w:hAnsi="Times New Roman"/>
          <w:sz w:val="20"/>
        </w:rPr>
        <w:t>”, and each such QFC, a “</w:t>
      </w:r>
      <w:r>
        <w:rPr>
          <w:rFonts w:ascii="Times New Roman" w:hAnsi="Times New Roman"/>
          <w:b/>
          <w:sz w:val="20"/>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sz w:val="20"/>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b/>
          <w:sz w:val="20"/>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11.29</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11.30</w:t>
      </w:r>
      <w:r>
        <w:rPr>
          <w:rFonts w:ascii="Times New Roman" w:hAnsi="Times New Roman"/>
          <w:sz w:val="20"/>
        </w:rPr>
        <w:t xml:space="preserve"> </w:t>
      </w:r>
      <w:r>
        <w:rPr>
          <w:rFonts w:ascii="Times New Roman" w:hAnsi="Times New Roman"/>
          <w:b/>
          <w:sz w:val="20"/>
          <w:u w:val="single"/>
        </w:rPr>
        <w:t>Disqualified Lenders and Net Short Positions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Replacement of Disqualified Lenders.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that any assignment or participation is made or purported to be made to a Disqualified Lender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clause (d)</w:t>
      </w:r>
      <w:r>
        <w:rPr>
          <w:rFonts w:ascii="Times New Roman" w:hAnsi="Times New Roman"/>
          <w:sz w:val="20"/>
        </w:rPr>
        <w:t xml:space="preserve"> of the definition thereof (notwithstanding the other restrictions in this Agreement with respect to Disqualified Lenders), or if any Lender or Participant becomes a Disqualified Lender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clause (d)</w:t>
      </w:r>
      <w:r>
        <w:rPr>
          <w:rFonts w:ascii="Times New Roman" w:hAnsi="Times New Roman"/>
          <w:sz w:val="20"/>
        </w:rPr>
        <w:t xml:space="preserve"> of the definition thereof, in each case, without limiting any other provision of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upon the request of the Borrower, such Disqualified Lender shall be required immediately (and in any event within five (5) Business Days) to assign all or any portion of the Loans and Commitments then owned by such Disqualified Lender (or held as a participation) to another Lender (other than a Defaulting Lender or another Disqualified Lender), Eligible Assignee or the Borrower, and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have the right to prepay all or any portion of the Loans and Commitments then owned by such Disqualified Lender (or held as a participation), and if applicable, terminate the Commitments of such Disqualified Lender, in whole or in part. </w:t>
      </w:r>
    </w:p>
    <w:p>
      <w:pPr>
        <w:pStyle w:val="TextBody"/>
        <w:bidi w:val="0"/>
        <w:spacing w:before="120" w:after="0"/>
        <w:jc w:val="left"/>
        <w:rPr>
          <w:rFonts w:ascii="Times New Roman" w:hAnsi="Times New Roman"/>
          <w:sz w:val="20"/>
        </w:rPr>
      </w:pPr>
      <w:r>
        <w:rPr>
          <w:rFonts w:ascii="Times New Roman" w:hAnsi="Times New Roman"/>
          <w:sz w:val="20"/>
        </w:rPr>
        <w:t xml:space="preserve">(ii) Any such assignment or prepayment shall be made in exchange for an amount equal to the lesser of (A) the face principal amount of the Loans so assigned and (B) the amount that such Disqualified Lender paid to acquire such Commitments and/or Loans, in each case without interest thereon (it being understood that if the effective date of any such assignment is not a Payment Date, such assignee shall be entitled to receive on the next succeeding Payment Date interest on the principal amount of the Loans so assigned that has accrued and is unpaid from the Payment Date last preceding such effective date (except as may be otherwise agreed between such assignee and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shall be entitled to seek specific performance in any applicable court of law or equity to enforce this </w:t>
      </w:r>
      <w:r>
        <w:rPr>
          <w:rFonts w:ascii="Times New Roman" w:hAnsi="Times New Roman"/>
          <w:sz w:val="20"/>
          <w:u w:val="single"/>
        </w:rPr>
        <w:t>Section 11.28</w:t>
      </w:r>
      <w:r>
        <w:rPr>
          <w:rFonts w:ascii="Times New Roman" w:hAnsi="Times New Roman"/>
          <w:sz w:val="20"/>
        </w:rPr>
        <w:t xml:space="preserve">. In addition, in connection with any such assignment, (A) if such Disqualified Lender does not execute and deliver to the Administrative Agent a duly completed Assignment and Assumption and/or any other documentation necessary or appropriate (in the good faith determination of the Administrative Agent or the Borrower, which determination shall be conclusive) to reflect such replacement by the later of (1) the date on which the replacement Lender executes and delivers such Assignment and Assumption and/or such other documentation and (2) the date as of which such Disqualified Lender shall be paid by the assignee Lender (or, at its option, the Borrower) the amount required pursuant to this </w:t>
      </w:r>
      <w:r>
        <w:rPr>
          <w:rFonts w:ascii="Times New Roman" w:hAnsi="Times New Roman"/>
          <w:sz w:val="20"/>
          <w:u w:val="single"/>
        </w:rPr>
        <w:t>Section 11.28</w:t>
      </w:r>
      <w:r>
        <w:rPr>
          <w:rFonts w:ascii="Times New Roman" w:hAnsi="Times New Roman"/>
          <w:sz w:val="20"/>
        </w:rPr>
        <w:t xml:space="preserve">, then such Disqualified Lender shall be deemed to have executed and delivered such Assignment and Assumption and/or such other documentation as of such date and the Borrower shall be entitled (but not obligated) to execute and deliver such Assignment and Assumption and/or such other documentation on behalf of such Disqualified Lender, and the Administrative Agent shall record such assignment in the Register, (B) each Lender (whether or not then a party hereto) agrees to disclose to the Borrower the amount that the applicable Disqualified Lender paid to acquire Commitments and/or Loans from such Lender and (C) each Lender that is a Disqualified Lender agrees to disclose to the Borrower the amount it paid to acquire the Commitments and/or Loans held by it.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 Consents and Waivers under the Loan Documents</w:t>
      </w:r>
      <w:r>
        <w:rPr>
          <w:rFonts w:ascii="Times New Roman" w:hAnsi="Times New Roman"/>
          <w:sz w:val="20"/>
        </w:rPr>
        <w:t xml:space="preserve">. No Net Short Lender shall have the right to approve or disapprove any amendment, waiver or consent pursuant to </w:t>
      </w:r>
      <w:r>
        <w:rPr>
          <w:rFonts w:ascii="Times New Roman" w:hAnsi="Times New Roman"/>
          <w:sz w:val="20"/>
          <w:u w:val="single"/>
        </w:rPr>
        <w:t>Section 11.01</w:t>
      </w:r>
      <w:r>
        <w:rPr>
          <w:rFonts w:ascii="Times New Roman" w:hAnsi="Times New Roman"/>
          <w:sz w:val="20"/>
        </w:rPr>
        <w:t xml:space="preserve"> or under any Loan Document. In connection with any determination as to whether the requisite Lenders (including whether the Required Lenders) have provided any amendment, waiver or consent pursuant to </w:t>
      </w:r>
      <w:r>
        <w:rPr>
          <w:rFonts w:ascii="Times New Roman" w:hAnsi="Times New Roman"/>
          <w:sz w:val="20"/>
          <w:u w:val="single"/>
        </w:rPr>
        <w:t>Section 11.01</w:t>
      </w:r>
      <w:r>
        <w:rPr>
          <w:rFonts w:ascii="Times New Roman" w:hAnsi="Times New Roman"/>
          <w:sz w:val="20"/>
        </w:rPr>
        <w:t xml:space="preserve"> or under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Net Short Lenders shall not be considered, and </w:t>
      </w:r>
    </w:p>
    <w:p>
      <w:pPr>
        <w:pStyle w:val="TextBody"/>
        <w:bidi w:val="0"/>
        <w:spacing w:before="120" w:after="0"/>
        <w:jc w:val="left"/>
        <w:rPr>
          <w:rFonts w:ascii="Times New Roman" w:hAnsi="Times New Roman"/>
          <w:sz w:val="20"/>
        </w:rPr>
      </w:pPr>
      <w:r>
        <w:rPr>
          <w:rFonts w:ascii="Times New Roman" w:hAnsi="Times New Roman"/>
          <w:sz w:val="20"/>
        </w:rPr>
        <w:t xml:space="preserve">(ii) Net Short Lenders shall be deemed to have consented to any such amendment, waiver or consent with respect to its interest as a Lender in the same proportion as the allocation of voting with respect to such matter by Lenders who are not Net Short Lenders. </w:t>
      </w:r>
    </w:p>
    <w:p>
      <w:pPr>
        <w:pStyle w:val="TextBody"/>
        <w:bidi w:val="0"/>
        <w:spacing w:before="240" w:after="0"/>
        <w:jc w:val="left"/>
        <w:rPr>
          <w:rFonts w:ascii="Times New Roman" w:hAnsi="Times New Roman"/>
          <w:sz w:val="20"/>
        </w:rPr>
      </w:pPr>
      <w:r>
        <w:rPr>
          <w:rFonts w:ascii="Times New Roman" w:hAnsi="Times New Roman"/>
          <w:sz w:val="20"/>
        </w:rPr>
        <w:t xml:space="preserve">Each Lender that is not an Unrestricted Lender that delivers a written consent to any amendment, waiver or consent pursuant to </w:t>
      </w:r>
      <w:r>
        <w:rPr>
          <w:rFonts w:ascii="Times New Roman" w:hAnsi="Times New Roman"/>
          <w:sz w:val="20"/>
          <w:u w:val="single"/>
        </w:rPr>
        <w:t>Section 11.01</w:t>
      </w:r>
      <w:r>
        <w:rPr>
          <w:rFonts w:ascii="Times New Roman" w:hAnsi="Times New Roman"/>
          <w:sz w:val="20"/>
        </w:rPr>
        <w:t xml:space="preserve"> or under any other Loan Document shall concurrently deliver (or in the absence of any written Net Short Representation will be deemed to have delivered, concurrently with providing such consent) to the Borrower (with a copy to the Administrative Agent) a Net Short Representation.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Limitation on Rights and Privileges of Disqualified Lenders</w:t>
      </w:r>
      <w:r>
        <w:rPr>
          <w:rFonts w:ascii="Times New Roman" w:hAnsi="Times New Roman"/>
          <w:sz w:val="20"/>
        </w:rPr>
        <w:t xml:space="preserve">. Except as otherwise provided in </w:t>
      </w:r>
      <w:r>
        <w:rPr>
          <w:rFonts w:ascii="Times New Roman" w:hAnsi="Times New Roman"/>
          <w:sz w:val="20"/>
          <w:u w:val="single"/>
        </w:rPr>
        <w:t>Section 11.01(i)</w:t>
      </w:r>
      <w:r>
        <w:rPr>
          <w:rFonts w:ascii="Times New Roman" w:hAnsi="Times New Roman"/>
          <w:sz w:val="20"/>
        </w:rPr>
        <w:t xml:space="preserve"> or in </w:t>
      </w:r>
      <w:r>
        <w:rPr>
          <w:rFonts w:ascii="Times New Roman" w:hAnsi="Times New Roman"/>
          <w:sz w:val="20"/>
          <w:u w:val="single"/>
        </w:rPr>
        <w:t>Section 11.28(b)(ii)</w:t>
      </w:r>
      <w:r>
        <w:rPr>
          <w:rFonts w:ascii="Times New Roman" w:hAnsi="Times New Roman"/>
          <w:sz w:val="20"/>
        </w:rPr>
        <w:t xml:space="preserve">, no Disqualified Lenders shall have the right to, and each such Person covenants and agrees not to, instruct the Administrative Agent, Collateral Trustee or any other Person in writing in respect of the exercise of remedies with respect to the Loans or other Obligations. Further, no Disqualified Lender that purports to be a Lender or Participant (notwithstanding any provisions of this Agreement that may have prohibited such Disqualified Lender from becoming Lender or Participant) shall be entitled to any of the rights or privileges enjoyed by the other Lenders with respect to voting (other than to the extent provided in </w:t>
      </w:r>
      <w:r>
        <w:rPr>
          <w:rFonts w:ascii="Times New Roman" w:hAnsi="Times New Roman"/>
          <w:sz w:val="20"/>
          <w:u w:val="single"/>
        </w:rPr>
        <w:t>Section 11.01(i)</w:t>
      </w:r>
      <w:r>
        <w:rPr>
          <w:rFonts w:ascii="Times New Roman" w:hAnsi="Times New Roman"/>
          <w:sz w:val="20"/>
        </w:rPr>
        <w:t xml:space="preserve"> and </w:t>
      </w:r>
      <w:r>
        <w:rPr>
          <w:rFonts w:ascii="Times New Roman" w:hAnsi="Times New Roman"/>
          <w:sz w:val="20"/>
          <w:u w:val="single"/>
        </w:rPr>
        <w:t>Section 11.28(b)(ii)</w:t>
      </w:r>
      <w:r>
        <w:rPr>
          <w:rFonts w:ascii="Times New Roman" w:hAnsi="Times New Roman"/>
          <w:sz w:val="20"/>
        </w:rPr>
        <w:t xml:space="preserve">), Information and Lender meetings and shall be deemed for all purposes to be, at most, a Defaulting Lender until such time as such Disqualified Lender no longer owns any Loans or Commitments.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Survival</w:t>
      </w:r>
      <w:r>
        <w:rPr>
          <w:rFonts w:ascii="Times New Roman" w:hAnsi="Times New Roman"/>
          <w:sz w:val="20"/>
        </w:rPr>
        <w:t xml:space="preserve">. The provisions of this </w:t>
      </w:r>
      <w:r>
        <w:rPr>
          <w:rFonts w:ascii="Times New Roman" w:hAnsi="Times New Roman"/>
          <w:sz w:val="20"/>
          <w:u w:val="single"/>
        </w:rPr>
        <w:t>Section 11.28</w:t>
      </w:r>
      <w:r>
        <w:rPr>
          <w:rFonts w:ascii="Times New Roman" w:hAnsi="Times New Roman"/>
          <w:sz w:val="20"/>
        </w:rPr>
        <w:t xml:space="preserve"> shall apply and survive with respect to each Lender and Participant notwithstanding that any such Person may have ceased to be a Lender or Participant (or any purported participation to any such Lender shall be void) hereunder or this Agreement may have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(f)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Reliance</w:t>
      </w:r>
      <w:r>
        <w:rPr>
          <w:rFonts w:ascii="Times New Roman" w:hAnsi="Times New Roman"/>
          <w:sz w:val="20"/>
        </w:rPr>
        <w:t xml:space="preserve">.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Derivative Instruments or Net Short Positions or any Person. The Administrative Agent shall have no liability to the Borrower, any Lender or any other Person in acting in good faith on any notice of Default or acceleration.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Disqualified Lender Lists</w:t>
      </w:r>
      <w:r>
        <w:rPr>
          <w:rFonts w:ascii="Times New Roman" w:hAnsi="Times New Roman"/>
          <w:sz w:val="20"/>
        </w:rPr>
        <w:t xml:space="preserve">. The Administrative Agent shall have no responsibility or liability for monitoring or enforcing the list of Disqualified Lenders or for any assignment or participation to a Disqualified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Liability Limitations</w:t>
      </w:r>
      <w:r>
        <w:rPr>
          <w:rFonts w:ascii="Times New Roman" w:hAnsi="Times New Roman"/>
          <w:sz w:val="20"/>
        </w:rPr>
        <w:t xml:space="preserve">.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(including Information), to any Disqualified Lender. </w:t>
      </w:r>
    </w:p>
    <w:p>
      <w:pPr>
        <w:pStyle w:val="TextBody"/>
        <w:bidi w:val="0"/>
        <w:spacing w:before="240" w:after="0"/>
        <w:jc w:val="center"/>
        <w:rPr>
          <w:rFonts w:ascii="Times New Roman" w:hAnsi="Times New Roman"/>
          <w:b/>
          <w:sz w:val="20"/>
        </w:rPr>
      </w:pPr>
      <w:r>
        <w:rPr>
          <w:rFonts w:ascii="Times New Roman" w:hAnsi="Times New Roman"/>
          <w:b/>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hereto have caused this Agreement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HORNBECK OFFSHORE SERVICES, INC.</w:t>
            </w:r>
            <w:r>
              <w:rPr/>
              <w:t>, as Borrower</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O. Harp, Jr.</w:t>
            </w:r>
          </w:p>
        </w:tc>
      </w:tr>
      <w:tr>
        <w:trPr/>
        <w:tc>
          <w:tcPr>
            <w:tcW w:w="40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r>
              <w:rPr/>
              <w:t>Name: James O. Harp, Jr.</w:t>
            </w:r>
          </w:p>
        </w:tc>
      </w:tr>
      <w:tr>
        <w:trPr/>
        <w:tc>
          <w:tcPr>
            <w:tcW w:w="40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r>
              <w:rPr/>
              <w:t>Title: Executive Vice President and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Second Lien Term Loan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STONEBRIAR COMMERCIAL FINANCE LLC,</w:t>
            </w:r>
            <w:r>
              <w:rPr/>
              <w:t xml:space="preserve"> as Administrative Agent</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Harrison P. Smith</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Harrison P. Smith</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Second Lien Term Loan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STONEBRIAR COMMERCIAL FINANCE LLC</w:t>
            </w:r>
            <w:r>
              <w:rPr/>
              <w:t>, as Lender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Harrison P. Smith</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Harrison P. Smith</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Second Lien Term Loan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WILMINGTON TRUST, NATIONAL ASSOCIATION,</w:t>
            </w:r>
            <w:r>
              <w:rPr/>
              <w:t xml:space="preserve"> as Collateral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Jeffery Rose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Jeffery Rose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Second Lien Term Loan Credit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1.01(a) </w:t>
      </w:r>
    </w:p>
    <w:p>
      <w:pPr>
        <w:pStyle w:val="TextBody"/>
        <w:bidi w:val="0"/>
        <w:spacing w:before="480" w:after="0"/>
        <w:jc w:val="center"/>
        <w:rPr>
          <w:rFonts w:ascii="Times New Roman" w:hAnsi="Times New Roman"/>
          <w:sz w:val="20"/>
        </w:rPr>
      </w:pPr>
      <w:r>
        <w:rPr>
          <w:rFonts w:ascii="Times New Roman" w:hAnsi="Times New Roman"/>
          <w:sz w:val="20"/>
        </w:rPr>
        <w:t xml:space="preserve">Allocated Dollar Values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2.01 </w:t>
      </w:r>
    </w:p>
    <w:p>
      <w:pPr>
        <w:pStyle w:val="TextBody"/>
        <w:bidi w:val="0"/>
        <w:spacing w:before="480" w:after="0"/>
        <w:jc w:val="center"/>
        <w:rPr>
          <w:rFonts w:ascii="Times New Roman" w:hAnsi="Times New Roman"/>
          <w:sz w:val="20"/>
        </w:rPr>
      </w:pPr>
      <w:r>
        <w:rPr>
          <w:rFonts w:ascii="Times New Roman" w:hAnsi="Times New Roman"/>
          <w:sz w:val="20"/>
        </w:rPr>
        <w:t xml:space="preserve">COMMITMENTS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5.06 </w:t>
      </w:r>
    </w:p>
    <w:p>
      <w:pPr>
        <w:pStyle w:val="TextBody"/>
        <w:bidi w:val="0"/>
        <w:spacing w:before="480" w:after="0"/>
        <w:jc w:val="center"/>
        <w:rPr>
          <w:rFonts w:ascii="Times New Roman" w:hAnsi="Times New Roman"/>
          <w:sz w:val="20"/>
        </w:rPr>
      </w:pPr>
      <w:r>
        <w:rPr>
          <w:rFonts w:ascii="Times New Roman" w:hAnsi="Times New Roman"/>
          <w:sz w:val="20"/>
        </w:rPr>
        <w:t xml:space="preserve">LITIGATION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5.07 </w:t>
      </w:r>
    </w:p>
    <w:p>
      <w:pPr>
        <w:pStyle w:val="TextBody"/>
        <w:bidi w:val="0"/>
        <w:spacing w:before="480" w:after="0"/>
        <w:jc w:val="center"/>
        <w:rPr>
          <w:rFonts w:ascii="Times New Roman" w:hAnsi="Times New Roman"/>
          <w:sz w:val="20"/>
        </w:rPr>
      </w:pPr>
      <w:r>
        <w:rPr>
          <w:rFonts w:ascii="Times New Roman" w:hAnsi="Times New Roman"/>
          <w:sz w:val="20"/>
        </w:rPr>
        <w:t xml:space="preserve">LABOR MATTERS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5.11(a) </w:t>
      </w:r>
    </w:p>
    <w:p>
      <w:pPr>
        <w:pStyle w:val="TextBody"/>
        <w:bidi w:val="0"/>
        <w:spacing w:before="480" w:after="0"/>
        <w:jc w:val="center"/>
        <w:rPr>
          <w:rFonts w:ascii="Times New Roman" w:hAnsi="Times New Roman"/>
          <w:sz w:val="20"/>
        </w:rPr>
      </w:pPr>
      <w:r>
        <w:rPr>
          <w:rFonts w:ascii="Times New Roman" w:hAnsi="Times New Roman"/>
          <w:sz w:val="20"/>
        </w:rPr>
        <w:t xml:space="preserve">ERISA COMPLIANCE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5.11(b) </w:t>
      </w:r>
    </w:p>
    <w:p>
      <w:pPr>
        <w:pStyle w:val="TextBody"/>
        <w:bidi w:val="0"/>
        <w:spacing w:before="480" w:after="0"/>
        <w:jc w:val="center"/>
        <w:rPr>
          <w:rFonts w:ascii="Times New Roman" w:hAnsi="Times New Roman"/>
          <w:sz w:val="20"/>
        </w:rPr>
      </w:pPr>
      <w:r>
        <w:rPr>
          <w:rFonts w:ascii="Times New Roman" w:hAnsi="Times New Roman"/>
          <w:sz w:val="20"/>
        </w:rPr>
        <w:t xml:space="preserve">ERISA COMPLIANCE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5.12 </w:t>
      </w:r>
    </w:p>
    <w:p>
      <w:pPr>
        <w:pStyle w:val="TextBody"/>
        <w:bidi w:val="0"/>
        <w:spacing w:before="480" w:after="0"/>
        <w:jc w:val="center"/>
        <w:rPr>
          <w:rFonts w:ascii="Times New Roman" w:hAnsi="Times New Roman"/>
          <w:sz w:val="20"/>
        </w:rPr>
      </w:pPr>
      <w:r>
        <w:rPr>
          <w:rFonts w:ascii="Times New Roman" w:hAnsi="Times New Roman"/>
          <w:sz w:val="20"/>
        </w:rPr>
        <w:t xml:space="preserve">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15"/>
        <w:gridCol w:w="124"/>
        <w:gridCol w:w="993"/>
        <w:gridCol w:w="124"/>
        <w:gridCol w:w="1248"/>
        <w:gridCol w:w="124"/>
        <w:gridCol w:w="1126"/>
        <w:gridCol w:w="124"/>
        <w:gridCol w:w="860"/>
        <w:gridCol w:w="124"/>
        <w:gridCol w:w="827"/>
        <w:gridCol w:w="124"/>
        <w:gridCol w:w="1104"/>
        <w:gridCol w:w="124"/>
        <w:gridCol w:w="1364"/>
      </w:tblGrid>
      <w:tr>
        <w:trPr/>
        <w:tc>
          <w:tcPr>
            <w:tcW w:w="181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18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Grantor</w:t>
            </w:r>
          </w:p>
        </w:tc>
        <w:tc>
          <w:tcPr>
            <w:tcW w:w="124" w:type="dxa"/>
            <w:tcBorders/>
            <w:vAlign w:val="bottom"/>
          </w:tcPr>
          <w:p>
            <w:pPr>
              <w:pStyle w:val="TableContents"/>
              <w:bidi w:val="0"/>
              <w:spacing w:before="0" w:after="283"/>
              <w:jc w:val="left"/>
              <w:rPr/>
            </w:pPr>
            <w:r>
              <w:rPr/>
              <w:t>  </w:t>
            </w:r>
          </w:p>
        </w:tc>
        <w:tc>
          <w:tcPr>
            <w:tcW w:w="9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Issuer</w:t>
            </w:r>
          </w:p>
        </w:tc>
        <w:tc>
          <w:tcPr>
            <w:tcW w:w="124" w:type="dxa"/>
            <w:tcBorders/>
            <w:vAlign w:val="bottom"/>
          </w:tcPr>
          <w:p>
            <w:pPr>
              <w:pStyle w:val="TableContents"/>
              <w:bidi w:val="0"/>
              <w:spacing w:before="0" w:after="283"/>
              <w:jc w:val="left"/>
              <w:rPr/>
            </w:pPr>
            <w:r>
              <w:rPr/>
              <w:t>  </w:t>
            </w:r>
          </w:p>
        </w:tc>
        <w:tc>
          <w:tcPr>
            <w:tcW w:w="12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 of</w:t>
              <w:br/>
              <w:t>Organization</w:t>
            </w:r>
          </w:p>
        </w:tc>
        <w:tc>
          <w:tcPr>
            <w:tcW w:w="124" w:type="dxa"/>
            <w:tcBorders/>
            <w:vAlign w:val="bottom"/>
          </w:tcPr>
          <w:p>
            <w:pPr>
              <w:pStyle w:val="TableContents"/>
              <w:bidi w:val="0"/>
              <w:spacing w:before="0" w:after="283"/>
              <w:jc w:val="left"/>
              <w:rPr/>
            </w:pPr>
            <w:r>
              <w:rPr/>
              <w:t>  </w:t>
            </w:r>
          </w:p>
        </w:tc>
        <w:tc>
          <w:tcPr>
            <w:tcW w:w="112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w:t>
            </w:r>
          </w:p>
          <w:p>
            <w:pPr>
              <w:pStyle w:val="TableContents"/>
              <w:bidi w:val="0"/>
              <w:spacing w:before="0" w:after="0"/>
              <w:jc w:val="center"/>
              <w:rPr>
                <w:rFonts w:ascii="Times New Roman" w:hAnsi="Times New Roman"/>
                <w:b/>
                <w:sz w:val="16"/>
              </w:rPr>
            </w:pPr>
            <w:r>
              <w:rPr>
                <w:rFonts w:ascii="Times New Roman" w:hAnsi="Times New Roman"/>
                <w:b/>
                <w:sz w:val="16"/>
              </w:rPr>
              <w:t>of</w:t>
            </w:r>
          </w:p>
          <w:p>
            <w:pPr>
              <w:pStyle w:val="TableContents"/>
              <w:bidi w:val="0"/>
              <w:spacing w:before="0" w:after="20"/>
              <w:jc w:val="center"/>
              <w:rPr>
                <w:rFonts w:ascii="Times New Roman" w:hAnsi="Times New Roman"/>
                <w:b/>
                <w:sz w:val="16"/>
              </w:rPr>
            </w:pPr>
            <w:r>
              <w:rPr>
                <w:rFonts w:ascii="Times New Roman" w:hAnsi="Times New Roman"/>
                <w:b/>
                <w:sz w:val="16"/>
              </w:rPr>
              <w:t>Organization /</w:t>
              <w:br/>
              <w:t>Formation</w:t>
            </w:r>
          </w:p>
        </w:tc>
        <w:tc>
          <w:tcPr>
            <w:tcW w:w="124" w:type="dxa"/>
            <w:tcBorders/>
            <w:vAlign w:val="bottom"/>
          </w:tcPr>
          <w:p>
            <w:pPr>
              <w:pStyle w:val="TableContents"/>
              <w:bidi w:val="0"/>
              <w:spacing w:before="0" w:after="283"/>
              <w:jc w:val="left"/>
              <w:rPr/>
            </w:pPr>
            <w:r>
              <w:rPr/>
              <w:t>  </w:t>
            </w:r>
          </w:p>
        </w:tc>
        <w:tc>
          <w:tcPr>
            <w:tcW w:w="8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20"/>
              <w:jc w:val="center"/>
              <w:rPr>
                <w:rFonts w:ascii="Times New Roman" w:hAnsi="Times New Roman"/>
                <w:b/>
                <w:sz w:val="16"/>
              </w:rPr>
            </w:pPr>
            <w:r>
              <w:rPr>
                <w:rFonts w:ascii="Times New Roman" w:hAnsi="Times New Roman"/>
                <w:b/>
                <w:sz w:val="16"/>
              </w:rPr>
              <w:t>Interests</w:t>
              <w:br/>
              <w:t>Owned</w:t>
            </w:r>
          </w:p>
        </w:tc>
        <w:tc>
          <w:tcPr>
            <w:tcW w:w="124" w:type="dxa"/>
            <w:tcBorders/>
            <w:vAlign w:val="bottom"/>
          </w:tcPr>
          <w:p>
            <w:pPr>
              <w:pStyle w:val="TableContents"/>
              <w:bidi w:val="0"/>
              <w:spacing w:before="0" w:after="283"/>
              <w:jc w:val="left"/>
              <w:rPr/>
            </w:pPr>
            <w:r>
              <w:rPr/>
              <w:t>  </w:t>
            </w:r>
          </w:p>
        </w:tc>
        <w:tc>
          <w:tcPr>
            <w:tcW w:w="82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bidi w:val="0"/>
              <w:spacing w:before="0" w:after="20"/>
              <w:jc w:val="center"/>
              <w:rPr>
                <w:rFonts w:ascii="Times New Roman" w:hAnsi="Times New Roman"/>
                <w:b/>
                <w:sz w:val="16"/>
              </w:rPr>
            </w:pPr>
            <w:r>
              <w:rPr>
                <w:rFonts w:ascii="Times New Roman" w:hAnsi="Times New Roman"/>
                <w:b/>
                <w:sz w:val="16"/>
              </w:rPr>
              <w:t>Interest</w:t>
              <w:br/>
              <w:t>Pledged</w:t>
            </w:r>
          </w:p>
        </w:tc>
        <w:tc>
          <w:tcPr>
            <w:tcW w:w="124" w:type="dxa"/>
            <w:tcBorders/>
            <w:vAlign w:val="bottom"/>
          </w:tcPr>
          <w:p>
            <w:pPr>
              <w:pStyle w:val="TableContents"/>
              <w:bidi w:val="0"/>
              <w:spacing w:before="0" w:after="283"/>
              <w:jc w:val="left"/>
              <w:rPr/>
            </w:pPr>
            <w:r>
              <w:rPr/>
              <w:t>  </w:t>
            </w:r>
          </w:p>
        </w:tc>
        <w:tc>
          <w:tcPr>
            <w:tcW w:w="11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Restricted /</w:t>
              <w:br/>
              <w:t>Unrestricted</w:t>
            </w:r>
          </w:p>
        </w:tc>
        <w:tc>
          <w:tcPr>
            <w:tcW w:w="124" w:type="dxa"/>
            <w:tcBorders/>
            <w:vAlign w:val="bottom"/>
          </w:tcPr>
          <w:p>
            <w:pPr>
              <w:pStyle w:val="TableContents"/>
              <w:bidi w:val="0"/>
              <w:spacing w:before="0" w:after="283"/>
              <w:jc w:val="left"/>
              <w:rPr/>
            </w:pPr>
            <w:r>
              <w:rPr/>
              <w:t>  </w:t>
            </w:r>
          </w:p>
        </w:tc>
        <w:tc>
          <w:tcPr>
            <w:tcW w:w="13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Certificate No.</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4"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N/A</w:t>
            </w:r>
          </w:p>
        </w:tc>
        <w:tc>
          <w:tcPr>
            <w:tcW w:w="124" w:type="dxa"/>
            <w:tcBorders/>
            <w:vAlign w:val="bottom"/>
          </w:tcPr>
          <w:p>
            <w:pPr>
              <w:pStyle w:val="TableContents"/>
              <w:bidi w:val="0"/>
              <w:spacing w:before="0" w:after="283"/>
              <w:jc w:val="left"/>
              <w:rPr/>
            </w:pPr>
            <w:r>
              <w:rPr/>
              <w:t>  </w:t>
            </w:r>
          </w:p>
        </w:tc>
        <w:tc>
          <w:tcPr>
            <w:tcW w:w="1248" w:type="dxa"/>
            <w:tcBorders/>
          </w:tcPr>
          <w:p>
            <w:pPr>
              <w:pStyle w:val="TableContents"/>
              <w:bidi w:val="0"/>
              <w:spacing w:before="0" w:after="283"/>
              <w:jc w:val="left"/>
              <w:rPr/>
            </w:pPr>
            <w:r>
              <w:rPr/>
              <w:t>Corporation</w:t>
            </w:r>
          </w:p>
        </w:tc>
        <w:tc>
          <w:tcPr>
            <w:tcW w:w="124"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N/A</w:t>
            </w:r>
          </w:p>
        </w:tc>
        <w:tc>
          <w:tcPr>
            <w:tcW w:w="124" w:type="dxa"/>
            <w:tcBorders/>
            <w:vAlign w:val="bottom"/>
          </w:tcPr>
          <w:p>
            <w:pPr>
              <w:pStyle w:val="TableContents"/>
              <w:bidi w:val="0"/>
              <w:spacing w:before="0" w:after="283"/>
              <w:jc w:val="left"/>
              <w:rPr/>
            </w:pPr>
            <w:r>
              <w:rPr/>
              <w:t>  </w:t>
            </w:r>
          </w:p>
        </w:tc>
        <w:tc>
          <w:tcPr>
            <w:tcW w:w="827" w:type="dxa"/>
            <w:tcBorders/>
          </w:tcPr>
          <w:p>
            <w:pPr>
              <w:pStyle w:val="TableContents"/>
              <w:bidi w:val="0"/>
              <w:spacing w:before="0" w:after="283"/>
              <w:jc w:val="left"/>
              <w:rPr/>
            </w:pPr>
            <w:r>
              <w:rPr/>
              <w:t>N/A</w:t>
            </w:r>
          </w:p>
        </w:tc>
        <w:tc>
          <w:tcPr>
            <w:tcW w:w="124"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4" w:type="dxa"/>
            <w:tcBorders/>
          </w:tcPr>
          <w:p>
            <w:pPr>
              <w:pStyle w:val="TableContents"/>
              <w:bidi w:val="0"/>
              <w:spacing w:before="0" w:after="283"/>
              <w:jc w:val="left"/>
              <w:rPr/>
            </w:pPr>
            <w:r>
              <w:rPr/>
              <w:t>Uncertificated</w:t>
            </w:r>
          </w:p>
        </w:tc>
      </w:tr>
      <w:tr>
        <w:trPr>
          <w:trHeight w:val="120" w:hRule="atLeast"/>
        </w:trPr>
        <w:tc>
          <w:tcPr>
            <w:tcW w:w="1815" w:type="dxa"/>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1372"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Hornbeck Offshore</w:t>
            </w:r>
          </w:p>
          <w:p>
            <w:pPr>
              <w:pStyle w:val="TableContents"/>
              <w:bidi w:val="0"/>
              <w:spacing w:before="0" w:after="20"/>
              <w:jc w:val="left"/>
              <w:rPr>
                <w:rFonts w:ascii="Times New Roman" w:hAnsi="Times New Roman"/>
                <w:sz w:val="20"/>
              </w:rPr>
            </w:pPr>
            <w:r>
              <w:rPr>
                <w:rFonts w:ascii="Times New Roman" w:hAnsi="Times New Roman"/>
                <w:sz w:val="20"/>
              </w:rPr>
              <w:t>Services, LLC</w:t>
            </w:r>
          </w:p>
        </w:tc>
        <w:tc>
          <w:tcPr>
            <w:tcW w:w="124"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4" w:type="dxa"/>
            <w:tcBorders/>
            <w:vAlign w:val="bottom"/>
          </w:tcPr>
          <w:p>
            <w:pPr>
              <w:pStyle w:val="TableContents"/>
              <w:bidi w:val="0"/>
              <w:spacing w:before="0" w:after="283"/>
              <w:jc w:val="left"/>
              <w:rPr/>
            </w:pPr>
            <w:r>
              <w:rPr/>
              <w:t>  </w:t>
            </w:r>
          </w:p>
        </w:tc>
        <w:tc>
          <w:tcPr>
            <w:tcW w:w="1248"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27"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4" w:type="dxa"/>
            <w:tcBorders/>
          </w:tcPr>
          <w:p>
            <w:pPr>
              <w:pStyle w:val="TableContents"/>
              <w:bidi w:val="0"/>
              <w:spacing w:before="0" w:after="283"/>
              <w:jc w:val="left"/>
              <w:rPr/>
            </w:pPr>
            <w:r>
              <w:rPr/>
              <w:t>Uncertificated</w:t>
            </w:r>
          </w:p>
        </w:tc>
      </w:tr>
      <w:tr>
        <w:trPr>
          <w:trHeight w:val="120" w:hRule="atLeast"/>
        </w:trPr>
        <w:tc>
          <w:tcPr>
            <w:tcW w:w="1815" w:type="dxa"/>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1372"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Hornbeck Offshore</w:t>
            </w:r>
          </w:p>
          <w:p>
            <w:pPr>
              <w:pStyle w:val="TableContents"/>
              <w:bidi w:val="0"/>
              <w:spacing w:before="0" w:after="20"/>
              <w:jc w:val="left"/>
              <w:rPr>
                <w:rFonts w:ascii="Times New Roman" w:hAnsi="Times New Roman"/>
                <w:sz w:val="20"/>
              </w:rPr>
            </w:pPr>
            <w:r>
              <w:rPr>
                <w:rFonts w:ascii="Times New Roman" w:hAnsi="Times New Roman"/>
                <w:sz w:val="20"/>
              </w:rPr>
              <w:t>Trinidad &amp; Tobago, LLC</w:t>
            </w:r>
          </w:p>
        </w:tc>
        <w:tc>
          <w:tcPr>
            <w:tcW w:w="124"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4" w:type="dxa"/>
            <w:tcBorders/>
            <w:vAlign w:val="bottom"/>
          </w:tcPr>
          <w:p>
            <w:pPr>
              <w:pStyle w:val="TableContents"/>
              <w:bidi w:val="0"/>
              <w:spacing w:before="0" w:after="283"/>
              <w:jc w:val="left"/>
              <w:rPr/>
            </w:pPr>
            <w:r>
              <w:rPr/>
              <w:t>  </w:t>
            </w:r>
          </w:p>
        </w:tc>
        <w:tc>
          <w:tcPr>
            <w:tcW w:w="1248"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27"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4" w:type="dxa"/>
            <w:tcBorders/>
          </w:tcPr>
          <w:p>
            <w:pPr>
              <w:pStyle w:val="TableContents"/>
              <w:bidi w:val="0"/>
              <w:spacing w:before="0" w:after="283"/>
              <w:jc w:val="left"/>
              <w:rPr/>
            </w:pPr>
            <w:r>
              <w:rPr/>
              <w:t>Uncertificated</w:t>
            </w:r>
          </w:p>
        </w:tc>
      </w:tr>
      <w:tr>
        <w:trPr>
          <w:trHeight w:val="120" w:hRule="atLeast"/>
        </w:trPr>
        <w:tc>
          <w:tcPr>
            <w:tcW w:w="1815" w:type="dxa"/>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1372"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Hornbeck Offshore</w:t>
            </w:r>
          </w:p>
          <w:p>
            <w:pPr>
              <w:pStyle w:val="TableContents"/>
              <w:bidi w:val="0"/>
              <w:spacing w:before="0" w:after="20"/>
              <w:jc w:val="left"/>
              <w:rPr>
                <w:rFonts w:ascii="Times New Roman" w:hAnsi="Times New Roman"/>
                <w:sz w:val="20"/>
              </w:rPr>
            </w:pPr>
            <w:r>
              <w:rPr>
                <w:rFonts w:ascii="Times New Roman" w:hAnsi="Times New Roman"/>
                <w:sz w:val="20"/>
              </w:rPr>
              <w:t>Operators, LLC</w:t>
            </w:r>
          </w:p>
        </w:tc>
        <w:tc>
          <w:tcPr>
            <w:tcW w:w="124"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4" w:type="dxa"/>
            <w:tcBorders/>
            <w:vAlign w:val="bottom"/>
          </w:tcPr>
          <w:p>
            <w:pPr>
              <w:pStyle w:val="TableContents"/>
              <w:bidi w:val="0"/>
              <w:spacing w:before="0" w:after="283"/>
              <w:jc w:val="left"/>
              <w:rPr/>
            </w:pPr>
            <w:r>
              <w:rPr/>
              <w:t>  </w:t>
            </w:r>
          </w:p>
        </w:tc>
        <w:tc>
          <w:tcPr>
            <w:tcW w:w="1248"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27"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4" w:type="dxa"/>
            <w:tcBorders/>
          </w:tcPr>
          <w:p>
            <w:pPr>
              <w:pStyle w:val="TableContents"/>
              <w:bidi w:val="0"/>
              <w:spacing w:before="0" w:after="283"/>
              <w:jc w:val="left"/>
              <w:rPr/>
            </w:pPr>
            <w:r>
              <w:rPr/>
              <w:t>Uncertificated</w:t>
            </w:r>
          </w:p>
        </w:tc>
      </w:tr>
      <w:tr>
        <w:trPr>
          <w:trHeight w:val="120" w:hRule="atLeast"/>
        </w:trPr>
        <w:tc>
          <w:tcPr>
            <w:tcW w:w="1815" w:type="dxa"/>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1372"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r>
      <w:tr>
        <w:trPr/>
        <w:tc>
          <w:tcPr>
            <w:tcW w:w="1815" w:type="dxa"/>
            <w:tcBorders/>
          </w:tcPr>
          <w:p>
            <w:pPr>
              <w:pStyle w:val="TableContents"/>
              <w:bidi w:val="0"/>
              <w:spacing w:before="0" w:after="283"/>
              <w:jc w:val="left"/>
              <w:rPr/>
            </w:pPr>
            <w:r>
              <w:rPr/>
              <w:t>Hornbeck Offshore Transportation, LLC</w:t>
            </w:r>
          </w:p>
        </w:tc>
        <w:tc>
          <w:tcPr>
            <w:tcW w:w="124"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4" w:type="dxa"/>
            <w:tcBorders/>
            <w:vAlign w:val="bottom"/>
          </w:tcPr>
          <w:p>
            <w:pPr>
              <w:pStyle w:val="TableContents"/>
              <w:bidi w:val="0"/>
              <w:spacing w:before="0" w:after="283"/>
              <w:jc w:val="left"/>
              <w:rPr/>
            </w:pPr>
            <w:r>
              <w:rPr/>
              <w:t>  </w:t>
            </w:r>
          </w:p>
        </w:tc>
        <w:tc>
          <w:tcPr>
            <w:tcW w:w="1248"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27"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4" w:type="dxa"/>
            <w:tcBorders/>
          </w:tcPr>
          <w:p>
            <w:pPr>
              <w:pStyle w:val="TableContents"/>
              <w:bidi w:val="0"/>
              <w:spacing w:before="0" w:after="283"/>
              <w:jc w:val="left"/>
              <w:rPr/>
            </w:pPr>
            <w:r>
              <w:rPr/>
              <w:t>Uncertificated</w:t>
            </w:r>
          </w:p>
        </w:tc>
      </w:tr>
      <w:tr>
        <w:trPr>
          <w:trHeight w:val="120" w:hRule="atLeast"/>
        </w:trPr>
        <w:tc>
          <w:tcPr>
            <w:tcW w:w="1815" w:type="dxa"/>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1372"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r>
      <w:tr>
        <w:trPr/>
        <w:tc>
          <w:tcPr>
            <w:tcW w:w="1815" w:type="dxa"/>
            <w:tcBorders/>
          </w:tcPr>
          <w:p>
            <w:pPr>
              <w:pStyle w:val="TableContents"/>
              <w:bidi w:val="0"/>
              <w:spacing w:before="0" w:after="283"/>
              <w:jc w:val="left"/>
              <w:rPr/>
            </w:pPr>
            <w:r>
              <w:rPr/>
              <w:t>Energy Services Puerto Rico, LLC</w:t>
            </w:r>
          </w:p>
        </w:tc>
        <w:tc>
          <w:tcPr>
            <w:tcW w:w="124"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4" w:type="dxa"/>
            <w:tcBorders/>
            <w:vAlign w:val="bottom"/>
          </w:tcPr>
          <w:p>
            <w:pPr>
              <w:pStyle w:val="TableContents"/>
              <w:bidi w:val="0"/>
              <w:spacing w:before="0" w:after="283"/>
              <w:jc w:val="left"/>
              <w:rPr/>
            </w:pPr>
            <w:r>
              <w:rPr/>
              <w:t>  </w:t>
            </w:r>
          </w:p>
        </w:tc>
        <w:tc>
          <w:tcPr>
            <w:tcW w:w="1248"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27"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4" w:type="dxa"/>
            <w:tcBorders/>
          </w:tcPr>
          <w:p>
            <w:pPr>
              <w:pStyle w:val="TableContents"/>
              <w:bidi w:val="0"/>
              <w:spacing w:before="0" w:after="283"/>
              <w:jc w:val="left"/>
              <w:rPr/>
            </w:pPr>
            <w:r>
              <w:rPr/>
              <w:t>Uncertificated</w:t>
            </w:r>
          </w:p>
        </w:tc>
      </w:tr>
      <w:tr>
        <w:trPr>
          <w:trHeight w:val="120" w:hRule="atLeast"/>
        </w:trPr>
        <w:tc>
          <w:tcPr>
            <w:tcW w:w="1815" w:type="dxa"/>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1372"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r>
      <w:tr>
        <w:trPr/>
        <w:tc>
          <w:tcPr>
            <w:tcW w:w="1815" w:type="dxa"/>
            <w:tcBorders/>
          </w:tcPr>
          <w:p>
            <w:pPr>
              <w:pStyle w:val="TableContents"/>
              <w:bidi w:val="0"/>
              <w:spacing w:before="0" w:after="283"/>
              <w:jc w:val="left"/>
              <w:rPr/>
            </w:pPr>
            <w:r>
              <w:rPr/>
              <w:t>HOS Port, LLC</w:t>
            </w:r>
          </w:p>
        </w:tc>
        <w:tc>
          <w:tcPr>
            <w:tcW w:w="124"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4" w:type="dxa"/>
            <w:tcBorders/>
            <w:vAlign w:val="bottom"/>
          </w:tcPr>
          <w:p>
            <w:pPr>
              <w:pStyle w:val="TableContents"/>
              <w:bidi w:val="0"/>
              <w:spacing w:before="0" w:after="283"/>
              <w:jc w:val="left"/>
              <w:rPr/>
            </w:pPr>
            <w:r>
              <w:rPr/>
              <w:t>  </w:t>
            </w:r>
          </w:p>
        </w:tc>
        <w:tc>
          <w:tcPr>
            <w:tcW w:w="1248"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27"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4" w:type="dxa"/>
            <w:tcBorders/>
          </w:tcPr>
          <w:p>
            <w:pPr>
              <w:pStyle w:val="TableContents"/>
              <w:bidi w:val="0"/>
              <w:spacing w:before="0" w:after="283"/>
              <w:jc w:val="left"/>
              <w:rPr/>
            </w:pPr>
            <w:r>
              <w:rPr/>
              <w:t>Uncertificated</w:t>
            </w:r>
          </w:p>
        </w:tc>
      </w:tr>
      <w:tr>
        <w:trPr>
          <w:trHeight w:val="120" w:hRule="atLeast"/>
        </w:trPr>
        <w:tc>
          <w:tcPr>
            <w:tcW w:w="1815" w:type="dxa"/>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c>
          <w:tcPr>
            <w:tcW w:w="1372"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1488" w:type="dxa"/>
            <w:gridSpan w:val="2"/>
            <w:tcBorders/>
            <w:vAlign w:val="center"/>
          </w:tcPr>
          <w:p>
            <w:pPr>
              <w:pStyle w:val="TableContents"/>
              <w:bidi w:val="0"/>
              <w:spacing w:before="0" w:after="283"/>
              <w:jc w:val="left"/>
              <w:rPr>
                <w:sz w:val="4"/>
                <w:szCs w:val="4"/>
              </w:rPr>
            </w:pPr>
            <w:r>
              <w:rPr>
                <w:sz w:val="4"/>
                <w:szCs w:val="4"/>
              </w:rPr>
            </w:r>
          </w:p>
        </w:tc>
      </w:tr>
      <w:tr>
        <w:trPr/>
        <w:tc>
          <w:tcPr>
            <w:tcW w:w="1815" w:type="dxa"/>
            <w:tcBorders/>
          </w:tcPr>
          <w:p>
            <w:pPr>
              <w:pStyle w:val="TableContents"/>
              <w:bidi w:val="0"/>
              <w:spacing w:before="0" w:after="283"/>
              <w:jc w:val="left"/>
              <w:rPr/>
            </w:pPr>
            <w:r>
              <w:rPr/>
              <w:t>HOS International, Inc.</w:t>
            </w:r>
          </w:p>
        </w:tc>
        <w:tc>
          <w:tcPr>
            <w:tcW w:w="124"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4" w:type="dxa"/>
            <w:tcBorders/>
            <w:vAlign w:val="bottom"/>
          </w:tcPr>
          <w:p>
            <w:pPr>
              <w:pStyle w:val="TableContents"/>
              <w:bidi w:val="0"/>
              <w:spacing w:before="0" w:after="283"/>
              <w:jc w:val="left"/>
              <w:rPr/>
            </w:pPr>
            <w:r>
              <w:rPr/>
              <w:t>  </w:t>
            </w:r>
          </w:p>
        </w:tc>
        <w:tc>
          <w:tcPr>
            <w:tcW w:w="1248" w:type="dxa"/>
            <w:tcBorders/>
          </w:tcPr>
          <w:p>
            <w:pPr>
              <w:pStyle w:val="TableContents"/>
              <w:bidi w:val="0"/>
              <w:spacing w:before="0" w:after="283"/>
              <w:jc w:val="left"/>
              <w:rPr/>
            </w:pPr>
            <w:r>
              <w:rPr/>
              <w:t>Corporation</w:t>
            </w:r>
          </w:p>
        </w:tc>
        <w:tc>
          <w:tcPr>
            <w:tcW w:w="124"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27"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4" w:type="dxa"/>
            <w:tcBorders/>
          </w:tcPr>
          <w:p>
            <w:pPr>
              <w:pStyle w:val="TableContents"/>
              <w:bidi w:val="0"/>
              <w:spacing w:before="0" w:after="283"/>
              <w:jc w:val="center"/>
              <w:rPr/>
            </w:pPr>
            <w:r>
              <w:rPr/>
              <w:t>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226"/>
        <w:gridCol w:w="122"/>
        <w:gridCol w:w="1050"/>
        <w:gridCol w:w="122"/>
        <w:gridCol w:w="1075"/>
        <w:gridCol w:w="122"/>
        <w:gridCol w:w="1075"/>
        <w:gridCol w:w="122"/>
        <w:gridCol w:w="773"/>
        <w:gridCol w:w="122"/>
        <w:gridCol w:w="735"/>
        <w:gridCol w:w="122"/>
        <w:gridCol w:w="1050"/>
        <w:gridCol w:w="121"/>
        <w:gridCol w:w="1368"/>
      </w:tblGrid>
      <w:tr>
        <w:trPr/>
        <w:tc>
          <w:tcPr>
            <w:tcW w:w="22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22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Grantor</w:t>
            </w:r>
          </w:p>
        </w:tc>
        <w:tc>
          <w:tcPr>
            <w:tcW w:w="122" w:type="dxa"/>
            <w:tcBorders/>
            <w:vAlign w:val="bottom"/>
          </w:tcPr>
          <w:p>
            <w:pPr>
              <w:pStyle w:val="TableContents"/>
              <w:bidi w:val="0"/>
              <w:spacing w:before="0" w:after="283"/>
              <w:jc w:val="left"/>
              <w:rPr/>
            </w:pPr>
            <w:r>
              <w:rPr/>
              <w:t>  </w:t>
            </w:r>
          </w:p>
        </w:tc>
        <w:tc>
          <w:tcPr>
            <w:tcW w:w="10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Issuer</w:t>
            </w:r>
          </w:p>
        </w:tc>
        <w:tc>
          <w:tcPr>
            <w:tcW w:w="122" w:type="dxa"/>
            <w:tcBorders/>
            <w:vAlign w:val="bottom"/>
          </w:tcPr>
          <w:p>
            <w:pPr>
              <w:pStyle w:val="TableContents"/>
              <w:bidi w:val="0"/>
              <w:spacing w:before="0" w:after="283"/>
              <w:jc w:val="left"/>
              <w:rPr/>
            </w:pPr>
            <w:r>
              <w:rPr/>
              <w:t>  </w:t>
            </w:r>
          </w:p>
        </w:tc>
        <w:tc>
          <w:tcPr>
            <w:tcW w:w="1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 of</w:t>
              <w:br/>
              <w:t>Organization</w:t>
            </w:r>
          </w:p>
        </w:tc>
        <w:tc>
          <w:tcPr>
            <w:tcW w:w="122" w:type="dxa"/>
            <w:tcBorders/>
            <w:vAlign w:val="bottom"/>
          </w:tcPr>
          <w:p>
            <w:pPr>
              <w:pStyle w:val="TableContents"/>
              <w:bidi w:val="0"/>
              <w:spacing w:before="0" w:after="283"/>
              <w:jc w:val="left"/>
              <w:rPr/>
            </w:pPr>
            <w:r>
              <w:rPr/>
              <w:t>  </w:t>
            </w:r>
          </w:p>
        </w:tc>
        <w:tc>
          <w:tcPr>
            <w:tcW w:w="107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w:t>
            </w:r>
          </w:p>
          <w:p>
            <w:pPr>
              <w:pStyle w:val="TableContents"/>
              <w:bidi w:val="0"/>
              <w:spacing w:before="0" w:after="0"/>
              <w:jc w:val="center"/>
              <w:rPr>
                <w:rFonts w:ascii="Times New Roman" w:hAnsi="Times New Roman"/>
                <w:b/>
                <w:sz w:val="16"/>
              </w:rPr>
            </w:pPr>
            <w:r>
              <w:rPr>
                <w:rFonts w:ascii="Times New Roman" w:hAnsi="Times New Roman"/>
                <w:b/>
                <w:sz w:val="16"/>
              </w:rPr>
              <w:t>of</w:t>
            </w:r>
          </w:p>
          <w:p>
            <w:pPr>
              <w:pStyle w:val="TableContents"/>
              <w:bidi w:val="0"/>
              <w:spacing w:before="0" w:after="20"/>
              <w:jc w:val="center"/>
              <w:rPr>
                <w:rFonts w:ascii="Times New Roman" w:hAnsi="Times New Roman"/>
                <w:b/>
                <w:sz w:val="16"/>
              </w:rPr>
            </w:pPr>
            <w:r>
              <w:rPr>
                <w:rFonts w:ascii="Times New Roman" w:hAnsi="Times New Roman"/>
                <w:b/>
                <w:sz w:val="16"/>
              </w:rPr>
              <w:t>Organization /</w:t>
              <w:br/>
              <w:t>Formation</w:t>
            </w:r>
          </w:p>
        </w:tc>
        <w:tc>
          <w:tcPr>
            <w:tcW w:w="122" w:type="dxa"/>
            <w:tcBorders/>
            <w:vAlign w:val="bottom"/>
          </w:tcPr>
          <w:p>
            <w:pPr>
              <w:pStyle w:val="TableContents"/>
              <w:bidi w:val="0"/>
              <w:spacing w:before="0" w:after="283"/>
              <w:jc w:val="left"/>
              <w:rPr/>
            </w:pPr>
            <w:r>
              <w:rPr/>
              <w:t>  </w:t>
            </w:r>
          </w:p>
        </w:tc>
        <w:tc>
          <w:tcPr>
            <w:tcW w:w="77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20"/>
              <w:jc w:val="center"/>
              <w:rPr>
                <w:rFonts w:ascii="Times New Roman" w:hAnsi="Times New Roman"/>
                <w:b/>
                <w:sz w:val="16"/>
              </w:rPr>
            </w:pPr>
            <w:r>
              <w:rPr>
                <w:rFonts w:ascii="Times New Roman" w:hAnsi="Times New Roman"/>
                <w:b/>
                <w:sz w:val="16"/>
              </w:rPr>
              <w:t>Interests</w:t>
              <w:br/>
              <w:t>Owned</w:t>
            </w:r>
          </w:p>
        </w:tc>
        <w:tc>
          <w:tcPr>
            <w:tcW w:w="122" w:type="dxa"/>
            <w:tcBorders/>
            <w:vAlign w:val="bottom"/>
          </w:tcPr>
          <w:p>
            <w:pPr>
              <w:pStyle w:val="TableContents"/>
              <w:bidi w:val="0"/>
              <w:spacing w:before="0" w:after="283"/>
              <w:jc w:val="left"/>
              <w:rPr/>
            </w:pPr>
            <w:r>
              <w:rPr/>
              <w:t>  </w:t>
            </w:r>
          </w:p>
        </w:tc>
        <w:tc>
          <w:tcPr>
            <w:tcW w:w="73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bidi w:val="0"/>
              <w:spacing w:before="0" w:after="20"/>
              <w:jc w:val="center"/>
              <w:rPr>
                <w:rFonts w:ascii="Times New Roman" w:hAnsi="Times New Roman"/>
                <w:b/>
                <w:sz w:val="16"/>
              </w:rPr>
            </w:pPr>
            <w:r>
              <w:rPr>
                <w:rFonts w:ascii="Times New Roman" w:hAnsi="Times New Roman"/>
                <w:b/>
                <w:sz w:val="16"/>
              </w:rPr>
              <w:t>Interest</w:t>
              <w:br/>
              <w:t>Pledged</w:t>
            </w:r>
          </w:p>
        </w:tc>
        <w:tc>
          <w:tcPr>
            <w:tcW w:w="122" w:type="dxa"/>
            <w:tcBorders/>
            <w:vAlign w:val="bottom"/>
          </w:tcPr>
          <w:p>
            <w:pPr>
              <w:pStyle w:val="TableContents"/>
              <w:bidi w:val="0"/>
              <w:spacing w:before="0" w:after="283"/>
              <w:jc w:val="left"/>
              <w:rPr/>
            </w:pPr>
            <w:r>
              <w:rPr/>
              <w:t>  </w:t>
            </w:r>
          </w:p>
        </w:tc>
        <w:tc>
          <w:tcPr>
            <w:tcW w:w="10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Restricted /</w:t>
              <w:br/>
              <w:t>Unrestricted</w:t>
            </w:r>
          </w:p>
        </w:tc>
        <w:tc>
          <w:tcPr>
            <w:tcW w:w="121" w:type="dxa"/>
            <w:tcBorders/>
            <w:vAlign w:val="bottom"/>
          </w:tcPr>
          <w:p>
            <w:pPr>
              <w:pStyle w:val="TableContents"/>
              <w:bidi w:val="0"/>
              <w:spacing w:before="0" w:after="283"/>
              <w:jc w:val="left"/>
              <w:rPr/>
            </w:pPr>
            <w:r>
              <w:rPr/>
              <w:t>  </w:t>
            </w:r>
          </w:p>
        </w:tc>
        <w:tc>
          <w:tcPr>
            <w:tcW w:w="13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Certificate No.</w:t>
            </w:r>
          </w:p>
        </w:tc>
      </w:tr>
      <w:tr>
        <w:trPr/>
        <w:tc>
          <w:tcPr>
            <w:tcW w:w="2226" w:type="dxa"/>
            <w:tcBorders/>
          </w:tcPr>
          <w:p>
            <w:pPr>
              <w:pStyle w:val="TableContents"/>
              <w:bidi w:val="0"/>
              <w:spacing w:before="0" w:after="283"/>
              <w:jc w:val="left"/>
              <w:rPr/>
            </w:pPr>
            <w:r>
              <w:rPr/>
              <w:t>Hornbeck Offshore International, LLC</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Limited Liability Company</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Delaware</w:t>
            </w:r>
          </w:p>
        </w:tc>
        <w:tc>
          <w:tcPr>
            <w:tcW w:w="122"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Restricted</w:t>
            </w:r>
          </w:p>
        </w:tc>
        <w:tc>
          <w:tcPr>
            <w:tcW w:w="121" w:type="dxa"/>
            <w:tcBorders/>
            <w:vAlign w:val="bottom"/>
          </w:tcPr>
          <w:p>
            <w:pPr>
              <w:pStyle w:val="TableContents"/>
              <w:bidi w:val="0"/>
              <w:spacing w:before="0" w:after="283"/>
              <w:jc w:val="left"/>
              <w:rPr/>
            </w:pPr>
            <w:r>
              <w:rPr/>
              <w:t>  </w:t>
            </w:r>
          </w:p>
        </w:tc>
        <w:tc>
          <w:tcPr>
            <w:tcW w:w="1368" w:type="dxa"/>
            <w:tcBorders/>
          </w:tcPr>
          <w:p>
            <w:pPr>
              <w:pStyle w:val="TableContents"/>
              <w:bidi w:val="0"/>
              <w:spacing w:before="0" w:after="283"/>
              <w:jc w:val="left"/>
              <w:rPr/>
            </w:pPr>
            <w:r>
              <w:rPr/>
              <w:t>Uncertificated</w:t>
            </w:r>
          </w:p>
        </w:tc>
      </w:tr>
      <w:tr>
        <w:trPr>
          <w:trHeight w:val="120" w:hRule="atLeast"/>
        </w:trPr>
        <w:tc>
          <w:tcPr>
            <w:tcW w:w="2226" w:type="dxa"/>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857" w:type="dxa"/>
            <w:gridSpan w:val="2"/>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489"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Hornbeck Offshore Specialty Services, LLC</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Limited Liability Company</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Delaware</w:t>
            </w:r>
          </w:p>
        </w:tc>
        <w:tc>
          <w:tcPr>
            <w:tcW w:w="122"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Restricted</w:t>
            </w:r>
          </w:p>
        </w:tc>
        <w:tc>
          <w:tcPr>
            <w:tcW w:w="121" w:type="dxa"/>
            <w:tcBorders/>
            <w:vAlign w:val="bottom"/>
          </w:tcPr>
          <w:p>
            <w:pPr>
              <w:pStyle w:val="TableContents"/>
              <w:bidi w:val="0"/>
              <w:spacing w:before="0" w:after="283"/>
              <w:jc w:val="left"/>
              <w:rPr/>
            </w:pPr>
            <w:r>
              <w:rPr/>
              <w:t>  </w:t>
            </w:r>
          </w:p>
        </w:tc>
        <w:tc>
          <w:tcPr>
            <w:tcW w:w="1368" w:type="dxa"/>
            <w:tcBorders/>
          </w:tcPr>
          <w:p>
            <w:pPr>
              <w:pStyle w:val="TableContents"/>
              <w:bidi w:val="0"/>
              <w:spacing w:before="0" w:after="283"/>
              <w:jc w:val="left"/>
              <w:rPr/>
            </w:pPr>
            <w:r>
              <w:rPr/>
              <w:t>Uncertificated</w:t>
            </w:r>
          </w:p>
        </w:tc>
      </w:tr>
      <w:tr>
        <w:trPr>
          <w:trHeight w:val="120" w:hRule="atLeast"/>
        </w:trPr>
        <w:tc>
          <w:tcPr>
            <w:tcW w:w="2226" w:type="dxa"/>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857" w:type="dxa"/>
            <w:gridSpan w:val="2"/>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489"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HOS Port II, LLC</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Limited Liability Company</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Delaware</w:t>
            </w:r>
          </w:p>
        </w:tc>
        <w:tc>
          <w:tcPr>
            <w:tcW w:w="122"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Restricted</w:t>
            </w:r>
          </w:p>
        </w:tc>
        <w:tc>
          <w:tcPr>
            <w:tcW w:w="121" w:type="dxa"/>
            <w:tcBorders/>
            <w:vAlign w:val="bottom"/>
          </w:tcPr>
          <w:p>
            <w:pPr>
              <w:pStyle w:val="TableContents"/>
              <w:bidi w:val="0"/>
              <w:spacing w:before="0" w:after="283"/>
              <w:jc w:val="left"/>
              <w:rPr/>
            </w:pPr>
            <w:r>
              <w:rPr/>
              <w:t>  </w:t>
            </w:r>
          </w:p>
        </w:tc>
        <w:tc>
          <w:tcPr>
            <w:tcW w:w="1368" w:type="dxa"/>
            <w:tcBorders/>
          </w:tcPr>
          <w:p>
            <w:pPr>
              <w:pStyle w:val="TableContents"/>
              <w:bidi w:val="0"/>
              <w:spacing w:before="0" w:after="283"/>
              <w:jc w:val="left"/>
              <w:rPr/>
            </w:pPr>
            <w:r>
              <w:rPr/>
              <w:t>Uncertificated</w:t>
            </w:r>
          </w:p>
        </w:tc>
      </w:tr>
      <w:tr>
        <w:trPr>
          <w:trHeight w:val="120" w:hRule="atLeast"/>
        </w:trPr>
        <w:tc>
          <w:tcPr>
            <w:tcW w:w="2226" w:type="dxa"/>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857" w:type="dxa"/>
            <w:gridSpan w:val="2"/>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489"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Hornbeck Offshore Rigging Services &amp; Equipment, LLC</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Limited Liability Company</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Delaware</w:t>
            </w:r>
          </w:p>
        </w:tc>
        <w:tc>
          <w:tcPr>
            <w:tcW w:w="122"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Restricted</w:t>
            </w:r>
          </w:p>
        </w:tc>
        <w:tc>
          <w:tcPr>
            <w:tcW w:w="121" w:type="dxa"/>
            <w:tcBorders/>
            <w:vAlign w:val="bottom"/>
          </w:tcPr>
          <w:p>
            <w:pPr>
              <w:pStyle w:val="TableContents"/>
              <w:bidi w:val="0"/>
              <w:spacing w:before="0" w:after="283"/>
              <w:jc w:val="left"/>
              <w:rPr/>
            </w:pPr>
            <w:r>
              <w:rPr/>
              <w:t>  </w:t>
            </w:r>
          </w:p>
        </w:tc>
        <w:tc>
          <w:tcPr>
            <w:tcW w:w="1368" w:type="dxa"/>
            <w:tcBorders/>
          </w:tcPr>
          <w:p>
            <w:pPr>
              <w:pStyle w:val="TableContents"/>
              <w:bidi w:val="0"/>
              <w:spacing w:before="0" w:after="283"/>
              <w:jc w:val="left"/>
              <w:rPr/>
            </w:pPr>
            <w:r>
              <w:rPr/>
              <w:t>Uncertificated</w:t>
            </w:r>
          </w:p>
        </w:tc>
      </w:tr>
      <w:tr>
        <w:trPr>
          <w:trHeight w:val="120" w:hRule="atLeast"/>
        </w:trPr>
        <w:tc>
          <w:tcPr>
            <w:tcW w:w="2226" w:type="dxa"/>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857" w:type="dxa"/>
            <w:gridSpan w:val="2"/>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489"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HOS IV, LLC</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Limited Liability Company</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Delaware</w:t>
            </w:r>
          </w:p>
        </w:tc>
        <w:tc>
          <w:tcPr>
            <w:tcW w:w="122"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Restricted</w:t>
            </w:r>
          </w:p>
        </w:tc>
        <w:tc>
          <w:tcPr>
            <w:tcW w:w="121" w:type="dxa"/>
            <w:tcBorders/>
            <w:vAlign w:val="bottom"/>
          </w:tcPr>
          <w:p>
            <w:pPr>
              <w:pStyle w:val="TableContents"/>
              <w:bidi w:val="0"/>
              <w:spacing w:before="0" w:after="283"/>
              <w:jc w:val="left"/>
              <w:rPr/>
            </w:pPr>
            <w:r>
              <w:rPr/>
              <w:t>  </w:t>
            </w:r>
          </w:p>
        </w:tc>
        <w:tc>
          <w:tcPr>
            <w:tcW w:w="1368" w:type="dxa"/>
            <w:tcBorders/>
          </w:tcPr>
          <w:p>
            <w:pPr>
              <w:pStyle w:val="TableContents"/>
              <w:bidi w:val="0"/>
              <w:spacing w:before="0" w:after="283"/>
              <w:jc w:val="left"/>
              <w:rPr/>
            </w:pPr>
            <w:r>
              <w:rPr/>
              <w:t>Uncertificated</w:t>
            </w:r>
          </w:p>
        </w:tc>
      </w:tr>
      <w:tr>
        <w:trPr>
          <w:trHeight w:val="120" w:hRule="atLeast"/>
        </w:trPr>
        <w:tc>
          <w:tcPr>
            <w:tcW w:w="2226" w:type="dxa"/>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857" w:type="dxa"/>
            <w:gridSpan w:val="2"/>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489"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KMS 124, LLC</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Limited Liability Company</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Delaware</w:t>
            </w:r>
          </w:p>
        </w:tc>
        <w:tc>
          <w:tcPr>
            <w:tcW w:w="122"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Restricted</w:t>
            </w:r>
          </w:p>
        </w:tc>
        <w:tc>
          <w:tcPr>
            <w:tcW w:w="121" w:type="dxa"/>
            <w:tcBorders/>
            <w:vAlign w:val="bottom"/>
          </w:tcPr>
          <w:p>
            <w:pPr>
              <w:pStyle w:val="TableContents"/>
              <w:bidi w:val="0"/>
              <w:spacing w:before="0" w:after="283"/>
              <w:jc w:val="left"/>
              <w:rPr/>
            </w:pPr>
            <w:r>
              <w:rPr/>
              <w:t>  </w:t>
            </w:r>
          </w:p>
        </w:tc>
        <w:tc>
          <w:tcPr>
            <w:tcW w:w="1368" w:type="dxa"/>
            <w:tcBorders/>
          </w:tcPr>
          <w:p>
            <w:pPr>
              <w:pStyle w:val="TableContents"/>
              <w:bidi w:val="0"/>
              <w:spacing w:before="0" w:after="283"/>
              <w:jc w:val="left"/>
              <w:rPr/>
            </w:pPr>
            <w:r>
              <w:rPr/>
              <w:t>Uncertificated</w:t>
            </w:r>
          </w:p>
        </w:tc>
      </w:tr>
      <w:tr>
        <w:trPr>
          <w:trHeight w:val="120" w:hRule="atLeast"/>
        </w:trPr>
        <w:tc>
          <w:tcPr>
            <w:tcW w:w="2226" w:type="dxa"/>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857" w:type="dxa"/>
            <w:gridSpan w:val="2"/>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489"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HOW Holding, LLC</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0"/>
              <w:jc w:val="left"/>
              <w:rPr>
                <w:rFonts w:ascii="Times New Roman" w:hAnsi="Times New Roman"/>
                <w:sz w:val="20"/>
              </w:rPr>
            </w:pPr>
            <w:r>
              <w:rPr>
                <w:rFonts w:ascii="Times New Roman" w:hAnsi="Times New Roman"/>
                <w:sz w:val="20"/>
              </w:rPr>
              <w:t>Hornbeck</w:t>
            </w:r>
          </w:p>
          <w:p>
            <w:pPr>
              <w:pStyle w:val="TableContents"/>
              <w:bidi w:val="0"/>
              <w:spacing w:before="0" w:after="20"/>
              <w:jc w:val="left"/>
              <w:rPr>
                <w:rFonts w:ascii="Times New Roman" w:hAnsi="Times New Roman"/>
                <w:sz w:val="20"/>
              </w:rPr>
            </w:pPr>
            <w:r>
              <w:rPr>
                <w:rFonts w:ascii="Times New Roman" w:hAnsi="Times New Roman"/>
                <w:sz w:val="20"/>
              </w:rPr>
              <w:t>Offshore Services, Inc.</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Limited Liability Company</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Delaware</w:t>
            </w:r>
          </w:p>
        </w:tc>
        <w:tc>
          <w:tcPr>
            <w:tcW w:w="122"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Restricted</w:t>
            </w:r>
          </w:p>
        </w:tc>
        <w:tc>
          <w:tcPr>
            <w:tcW w:w="121" w:type="dxa"/>
            <w:tcBorders/>
            <w:vAlign w:val="bottom"/>
          </w:tcPr>
          <w:p>
            <w:pPr>
              <w:pStyle w:val="TableContents"/>
              <w:bidi w:val="0"/>
              <w:spacing w:before="0" w:after="283"/>
              <w:jc w:val="left"/>
              <w:rPr/>
            </w:pPr>
            <w:r>
              <w:rPr/>
              <w:t>  </w:t>
            </w:r>
          </w:p>
        </w:tc>
        <w:tc>
          <w:tcPr>
            <w:tcW w:w="1368" w:type="dxa"/>
            <w:tcBorders/>
          </w:tcPr>
          <w:p>
            <w:pPr>
              <w:pStyle w:val="TableContents"/>
              <w:bidi w:val="0"/>
              <w:spacing w:before="0" w:after="283"/>
              <w:jc w:val="left"/>
              <w:rPr/>
            </w:pPr>
            <w:r>
              <w:rPr/>
              <w:t>Uncertificated</w:t>
            </w:r>
          </w:p>
        </w:tc>
      </w:tr>
      <w:tr>
        <w:trPr>
          <w:trHeight w:val="120" w:hRule="atLeast"/>
        </w:trPr>
        <w:tc>
          <w:tcPr>
            <w:tcW w:w="2226" w:type="dxa"/>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857" w:type="dxa"/>
            <w:gridSpan w:val="2"/>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489"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HOS Holding, LLC</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Hornbeck Offshore Services, LLC</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Limited Liability Company</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Delaware</w:t>
            </w:r>
          </w:p>
        </w:tc>
        <w:tc>
          <w:tcPr>
            <w:tcW w:w="122"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Restricted</w:t>
            </w:r>
          </w:p>
        </w:tc>
        <w:tc>
          <w:tcPr>
            <w:tcW w:w="121" w:type="dxa"/>
            <w:tcBorders/>
            <w:vAlign w:val="bottom"/>
          </w:tcPr>
          <w:p>
            <w:pPr>
              <w:pStyle w:val="TableContents"/>
              <w:bidi w:val="0"/>
              <w:spacing w:before="0" w:after="283"/>
              <w:jc w:val="left"/>
              <w:rPr/>
            </w:pPr>
            <w:r>
              <w:rPr/>
              <w:t>  </w:t>
            </w:r>
          </w:p>
        </w:tc>
        <w:tc>
          <w:tcPr>
            <w:tcW w:w="1368" w:type="dxa"/>
            <w:tcBorders/>
          </w:tcPr>
          <w:p>
            <w:pPr>
              <w:pStyle w:val="TableContents"/>
              <w:bidi w:val="0"/>
              <w:spacing w:before="0" w:after="283"/>
              <w:jc w:val="left"/>
              <w:rPr/>
            </w:pPr>
            <w:r>
              <w:rPr/>
              <w:t>Uncertificated</w:t>
            </w:r>
          </w:p>
        </w:tc>
      </w:tr>
      <w:tr>
        <w:trPr>
          <w:trHeight w:val="120" w:hRule="atLeast"/>
        </w:trPr>
        <w:tc>
          <w:tcPr>
            <w:tcW w:w="2226" w:type="dxa"/>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857" w:type="dxa"/>
            <w:gridSpan w:val="2"/>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489" w:type="dxa"/>
            <w:gridSpan w:val="2"/>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pPr>
            <w:r>
              <w:rPr/>
              <w:t>Hornbeck Offshore Operators de Mexico</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Hornbeck Offshore Services, LLC</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S. de R.L. de C.V.</w:t>
            </w:r>
          </w:p>
        </w:tc>
        <w:tc>
          <w:tcPr>
            <w:tcW w:w="122" w:type="dxa"/>
            <w:tcBorders/>
            <w:vAlign w:val="bottom"/>
          </w:tcPr>
          <w:p>
            <w:pPr>
              <w:pStyle w:val="TableContents"/>
              <w:bidi w:val="0"/>
              <w:spacing w:before="0" w:after="283"/>
              <w:jc w:val="left"/>
              <w:rPr/>
            </w:pPr>
            <w:r>
              <w:rPr/>
              <w:t>  </w:t>
            </w:r>
          </w:p>
        </w:tc>
        <w:tc>
          <w:tcPr>
            <w:tcW w:w="1075" w:type="dxa"/>
            <w:tcBorders/>
          </w:tcPr>
          <w:p>
            <w:pPr>
              <w:pStyle w:val="TableContents"/>
              <w:bidi w:val="0"/>
              <w:spacing w:before="0" w:after="283"/>
              <w:jc w:val="left"/>
              <w:rPr/>
            </w:pPr>
            <w:r>
              <w:rPr/>
              <w:t>Mexico</w:t>
            </w:r>
          </w:p>
        </w:tc>
        <w:tc>
          <w:tcPr>
            <w:tcW w:w="122"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left"/>
              <w:rPr/>
            </w:pPr>
            <w:r>
              <w:rPr/>
              <w:t>99%</w:t>
            </w:r>
          </w:p>
        </w:tc>
        <w:tc>
          <w:tcPr>
            <w:tcW w:w="122" w:type="dxa"/>
            <w:tcBorders/>
            <w:vAlign w:val="bottom"/>
          </w:tcPr>
          <w:p>
            <w:pPr>
              <w:pStyle w:val="TableContents"/>
              <w:bidi w:val="0"/>
              <w:spacing w:before="0" w:after="283"/>
              <w:jc w:val="left"/>
              <w:rPr/>
            </w:pPr>
            <w:r>
              <w:rPr/>
              <w:t>  </w:t>
            </w:r>
          </w:p>
        </w:tc>
        <w:tc>
          <w:tcPr>
            <w:tcW w:w="735" w:type="dxa"/>
            <w:tcBorders/>
          </w:tcPr>
          <w:p>
            <w:pPr>
              <w:pStyle w:val="TableContents"/>
              <w:bidi w:val="0"/>
              <w:spacing w:before="0" w:after="283"/>
              <w:jc w:val="left"/>
              <w:rPr/>
            </w:pPr>
            <w:r>
              <w:rPr/>
              <w:t>100%</w:t>
            </w:r>
          </w:p>
        </w:tc>
        <w:tc>
          <w:tcPr>
            <w:tcW w:w="122"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left"/>
              <w:rPr/>
            </w:pPr>
            <w:r>
              <w:rPr/>
              <w:t>Restricted</w:t>
            </w:r>
          </w:p>
        </w:tc>
        <w:tc>
          <w:tcPr>
            <w:tcW w:w="121" w:type="dxa"/>
            <w:tcBorders/>
            <w:vAlign w:val="bottom"/>
          </w:tcPr>
          <w:p>
            <w:pPr>
              <w:pStyle w:val="TableContents"/>
              <w:bidi w:val="0"/>
              <w:spacing w:before="0" w:after="283"/>
              <w:jc w:val="left"/>
              <w:rPr/>
            </w:pPr>
            <w:r>
              <w:rPr/>
              <w:t>  </w:t>
            </w:r>
          </w:p>
        </w:tc>
        <w:tc>
          <w:tcPr>
            <w:tcW w:w="1368" w:type="dxa"/>
            <w:tcBorders/>
          </w:tcPr>
          <w:p>
            <w:pPr>
              <w:pStyle w:val="TableContents"/>
              <w:bidi w:val="0"/>
              <w:spacing w:before="0" w:after="283"/>
              <w:jc w:val="left"/>
              <w:rPr/>
            </w:pPr>
            <w:r>
              <w:rPr/>
              <w:t>Uncertificated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52"/>
        <w:gridCol w:w="124"/>
        <w:gridCol w:w="1330"/>
        <w:gridCol w:w="124"/>
        <w:gridCol w:w="1133"/>
        <w:gridCol w:w="124"/>
        <w:gridCol w:w="1133"/>
        <w:gridCol w:w="124"/>
        <w:gridCol w:w="871"/>
        <w:gridCol w:w="124"/>
        <w:gridCol w:w="838"/>
        <w:gridCol w:w="124"/>
        <w:gridCol w:w="1111"/>
        <w:gridCol w:w="124"/>
        <w:gridCol w:w="1369"/>
      </w:tblGrid>
      <w:tr>
        <w:trPr/>
        <w:tc>
          <w:tcPr>
            <w:tcW w:w="155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15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Grantor</w:t>
            </w:r>
          </w:p>
        </w:tc>
        <w:tc>
          <w:tcPr>
            <w:tcW w:w="124" w:type="dxa"/>
            <w:tcBorders/>
            <w:vAlign w:val="bottom"/>
          </w:tcPr>
          <w:p>
            <w:pPr>
              <w:pStyle w:val="TableContents"/>
              <w:bidi w:val="0"/>
              <w:spacing w:before="0" w:after="283"/>
              <w:jc w:val="left"/>
              <w:rPr/>
            </w:pPr>
            <w:r>
              <w:rPr/>
              <w:t>  </w:t>
            </w:r>
          </w:p>
        </w:tc>
        <w:tc>
          <w:tcPr>
            <w:tcW w:w="13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Issuer</w:t>
            </w:r>
          </w:p>
        </w:tc>
        <w:tc>
          <w:tcPr>
            <w:tcW w:w="124" w:type="dxa"/>
            <w:tcBorders/>
            <w:vAlign w:val="bottom"/>
          </w:tcPr>
          <w:p>
            <w:pPr>
              <w:pStyle w:val="TableContents"/>
              <w:bidi w:val="0"/>
              <w:spacing w:before="0" w:after="283"/>
              <w:jc w:val="left"/>
              <w:rPr/>
            </w:pPr>
            <w:r>
              <w:rPr/>
              <w:t>  </w:t>
            </w:r>
          </w:p>
        </w:tc>
        <w:tc>
          <w:tcPr>
            <w:tcW w:w="11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 of</w:t>
              <w:br/>
              <w:t>Organization</w:t>
            </w:r>
          </w:p>
        </w:tc>
        <w:tc>
          <w:tcPr>
            <w:tcW w:w="124" w:type="dxa"/>
            <w:tcBorders/>
            <w:vAlign w:val="bottom"/>
          </w:tcPr>
          <w:p>
            <w:pPr>
              <w:pStyle w:val="TableContents"/>
              <w:bidi w:val="0"/>
              <w:spacing w:before="0" w:after="283"/>
              <w:jc w:val="left"/>
              <w:rPr/>
            </w:pPr>
            <w:r>
              <w:rPr/>
              <w:t>  </w:t>
            </w:r>
          </w:p>
        </w:tc>
        <w:tc>
          <w:tcPr>
            <w:tcW w:w="113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w:t>
            </w:r>
          </w:p>
          <w:p>
            <w:pPr>
              <w:pStyle w:val="TableContents"/>
              <w:bidi w:val="0"/>
              <w:spacing w:before="0" w:after="0"/>
              <w:jc w:val="center"/>
              <w:rPr>
                <w:rFonts w:ascii="Times New Roman" w:hAnsi="Times New Roman"/>
                <w:b/>
                <w:sz w:val="16"/>
              </w:rPr>
            </w:pPr>
            <w:r>
              <w:rPr>
                <w:rFonts w:ascii="Times New Roman" w:hAnsi="Times New Roman"/>
                <w:b/>
                <w:sz w:val="16"/>
              </w:rPr>
              <w:t>of</w:t>
            </w:r>
          </w:p>
          <w:p>
            <w:pPr>
              <w:pStyle w:val="TableContents"/>
              <w:bidi w:val="0"/>
              <w:spacing w:before="0" w:after="20"/>
              <w:jc w:val="center"/>
              <w:rPr>
                <w:rFonts w:ascii="Times New Roman" w:hAnsi="Times New Roman"/>
                <w:b/>
                <w:sz w:val="16"/>
              </w:rPr>
            </w:pPr>
            <w:r>
              <w:rPr>
                <w:rFonts w:ascii="Times New Roman" w:hAnsi="Times New Roman"/>
                <w:b/>
                <w:sz w:val="16"/>
              </w:rPr>
              <w:t>Organization /</w:t>
              <w:br/>
              <w:t>Formation</w:t>
            </w:r>
          </w:p>
        </w:tc>
        <w:tc>
          <w:tcPr>
            <w:tcW w:w="124" w:type="dxa"/>
            <w:tcBorders/>
            <w:vAlign w:val="bottom"/>
          </w:tcPr>
          <w:p>
            <w:pPr>
              <w:pStyle w:val="TableContents"/>
              <w:bidi w:val="0"/>
              <w:spacing w:before="0" w:after="283"/>
              <w:jc w:val="left"/>
              <w:rPr/>
            </w:pPr>
            <w:r>
              <w:rPr/>
              <w:t>  </w:t>
            </w:r>
          </w:p>
        </w:tc>
        <w:tc>
          <w:tcPr>
            <w:tcW w:w="87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20"/>
              <w:jc w:val="center"/>
              <w:rPr>
                <w:rFonts w:ascii="Times New Roman" w:hAnsi="Times New Roman"/>
                <w:b/>
                <w:sz w:val="16"/>
              </w:rPr>
            </w:pPr>
            <w:r>
              <w:rPr>
                <w:rFonts w:ascii="Times New Roman" w:hAnsi="Times New Roman"/>
                <w:b/>
                <w:sz w:val="16"/>
              </w:rPr>
              <w:t>Interests</w:t>
              <w:br/>
              <w:t>Owned</w:t>
            </w:r>
          </w:p>
        </w:tc>
        <w:tc>
          <w:tcPr>
            <w:tcW w:w="124" w:type="dxa"/>
            <w:tcBorders/>
            <w:vAlign w:val="bottom"/>
          </w:tcPr>
          <w:p>
            <w:pPr>
              <w:pStyle w:val="TableContents"/>
              <w:bidi w:val="0"/>
              <w:spacing w:before="0" w:after="283"/>
              <w:jc w:val="left"/>
              <w:rPr/>
            </w:pPr>
            <w:r>
              <w:rPr/>
              <w:t>  </w:t>
            </w:r>
          </w:p>
        </w:tc>
        <w:tc>
          <w:tcPr>
            <w:tcW w:w="83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bidi w:val="0"/>
              <w:spacing w:before="0" w:after="20"/>
              <w:jc w:val="center"/>
              <w:rPr>
                <w:rFonts w:ascii="Times New Roman" w:hAnsi="Times New Roman"/>
                <w:b/>
                <w:sz w:val="16"/>
              </w:rPr>
            </w:pPr>
            <w:r>
              <w:rPr>
                <w:rFonts w:ascii="Times New Roman" w:hAnsi="Times New Roman"/>
                <w:b/>
                <w:sz w:val="16"/>
              </w:rPr>
              <w:t>Interest</w:t>
              <w:br/>
              <w:t>Pledged</w:t>
            </w:r>
          </w:p>
        </w:tc>
        <w:tc>
          <w:tcPr>
            <w:tcW w:w="124" w:type="dxa"/>
            <w:tcBorders/>
            <w:vAlign w:val="bottom"/>
          </w:tcPr>
          <w:p>
            <w:pPr>
              <w:pStyle w:val="TableContents"/>
              <w:bidi w:val="0"/>
              <w:spacing w:before="0" w:after="283"/>
              <w:jc w:val="left"/>
              <w:rPr/>
            </w:pPr>
            <w:r>
              <w:rPr/>
              <w:t>  </w:t>
            </w:r>
          </w:p>
        </w:tc>
        <w:tc>
          <w:tcPr>
            <w:tcW w:w="11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Restricted /</w:t>
              <w:br/>
              <w:t>Unrestricted</w:t>
            </w:r>
          </w:p>
        </w:tc>
        <w:tc>
          <w:tcPr>
            <w:tcW w:w="124" w:type="dxa"/>
            <w:tcBorders/>
            <w:vAlign w:val="bottom"/>
          </w:tcPr>
          <w:p>
            <w:pPr>
              <w:pStyle w:val="TableContents"/>
              <w:bidi w:val="0"/>
              <w:spacing w:before="0" w:after="283"/>
              <w:jc w:val="left"/>
              <w:rPr/>
            </w:pPr>
            <w:r>
              <w:rPr/>
              <w:t>  </w:t>
            </w:r>
          </w:p>
        </w:tc>
        <w:tc>
          <w:tcPr>
            <w:tcW w:w="13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Certificate No.</w:t>
            </w:r>
          </w:p>
        </w:tc>
      </w:tr>
      <w:tr>
        <w:trPr/>
        <w:tc>
          <w:tcPr>
            <w:tcW w:w="1552" w:type="dxa"/>
            <w:tcBorders/>
          </w:tcPr>
          <w:p>
            <w:pPr>
              <w:pStyle w:val="TableContents"/>
              <w:bidi w:val="0"/>
              <w:spacing w:before="0" w:after="283"/>
              <w:jc w:val="left"/>
              <w:rPr/>
            </w:pPr>
            <w:r>
              <w:rPr/>
              <w:t>HOS Leasing de Mexico</w:t>
            </w:r>
          </w:p>
        </w:tc>
        <w:tc>
          <w:tcPr>
            <w:tcW w:w="124"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pPr>
            <w:r>
              <w:rPr/>
              <w:t>Hornbeck Offshore Services, LLC</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S. de R.L. de C.V.</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Mexico</w:t>
            </w:r>
          </w:p>
        </w:tc>
        <w:tc>
          <w:tcPr>
            <w:tcW w:w="124" w:type="dxa"/>
            <w:tcBorders/>
            <w:vAlign w:val="bottom"/>
          </w:tcPr>
          <w:p>
            <w:pPr>
              <w:pStyle w:val="TableContents"/>
              <w:bidi w:val="0"/>
              <w:spacing w:before="0" w:after="283"/>
              <w:jc w:val="left"/>
              <w:rPr/>
            </w:pPr>
            <w:r>
              <w:rPr/>
              <w:t>  </w:t>
            </w:r>
          </w:p>
        </w:tc>
        <w:tc>
          <w:tcPr>
            <w:tcW w:w="871" w:type="dxa"/>
            <w:tcBorders/>
          </w:tcPr>
          <w:p>
            <w:pPr>
              <w:pStyle w:val="TableContents"/>
              <w:bidi w:val="0"/>
              <w:spacing w:before="0" w:after="283"/>
              <w:jc w:val="left"/>
              <w:rPr/>
            </w:pPr>
            <w:r>
              <w:rPr/>
              <w:t>99%</w:t>
            </w:r>
          </w:p>
        </w:tc>
        <w:tc>
          <w:tcPr>
            <w:tcW w:w="124"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1111"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9" w:type="dxa"/>
            <w:tcBorders/>
          </w:tcPr>
          <w:p>
            <w:pPr>
              <w:pStyle w:val="TableContents"/>
              <w:bidi w:val="0"/>
              <w:spacing w:before="0" w:after="283"/>
              <w:jc w:val="left"/>
              <w:rPr/>
            </w:pPr>
            <w:r>
              <w:rPr/>
              <w:t>Uncertificated</w:t>
            </w:r>
          </w:p>
        </w:tc>
      </w:tr>
      <w:tr>
        <w:trPr>
          <w:trHeight w:val="120" w:hRule="atLeast"/>
        </w:trPr>
        <w:tc>
          <w:tcPr>
            <w:tcW w:w="1552"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49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tcPr>
          <w:p>
            <w:pPr>
              <w:pStyle w:val="TableContents"/>
              <w:bidi w:val="0"/>
              <w:spacing w:before="0" w:after="283"/>
              <w:jc w:val="left"/>
              <w:rPr/>
            </w:pPr>
            <w:r>
              <w:rPr/>
              <w:t>HOI Holding, LLC</w:t>
            </w:r>
          </w:p>
        </w:tc>
        <w:tc>
          <w:tcPr>
            <w:tcW w:w="124"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pPr>
            <w:r>
              <w:rPr/>
              <w:t>Hornbeck Offshore International, LLC</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71"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283"/>
              <w:jc w:val="left"/>
              <w:rPr/>
            </w:pPr>
            <w:r>
              <w:rPr/>
              <w:t>0%</w:t>
            </w:r>
          </w:p>
        </w:tc>
        <w:tc>
          <w:tcPr>
            <w:tcW w:w="124" w:type="dxa"/>
            <w:tcBorders/>
            <w:vAlign w:val="bottom"/>
          </w:tcPr>
          <w:p>
            <w:pPr>
              <w:pStyle w:val="TableContents"/>
              <w:bidi w:val="0"/>
              <w:spacing w:before="0" w:after="283"/>
              <w:jc w:val="left"/>
              <w:rPr/>
            </w:pPr>
            <w:r>
              <w:rPr/>
              <w:t>  </w:t>
            </w:r>
          </w:p>
        </w:tc>
        <w:tc>
          <w:tcPr>
            <w:tcW w:w="1111"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9" w:type="dxa"/>
            <w:tcBorders/>
          </w:tcPr>
          <w:p>
            <w:pPr>
              <w:pStyle w:val="TableContents"/>
              <w:bidi w:val="0"/>
              <w:spacing w:before="0" w:after="283"/>
              <w:jc w:val="left"/>
              <w:rPr/>
            </w:pPr>
            <w:r>
              <w:rPr/>
              <w:t>N/A</w:t>
            </w:r>
          </w:p>
        </w:tc>
      </w:tr>
      <w:tr>
        <w:trPr>
          <w:trHeight w:val="120" w:hRule="atLeast"/>
        </w:trPr>
        <w:tc>
          <w:tcPr>
            <w:tcW w:w="1552"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49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tcPr>
          <w:p>
            <w:pPr>
              <w:pStyle w:val="TableContents"/>
              <w:bidi w:val="0"/>
              <w:spacing w:before="0" w:after="283"/>
              <w:jc w:val="left"/>
              <w:rPr/>
            </w:pPr>
            <w:r>
              <w:rPr/>
              <w:t>HON Navegacao II, Ltda.</w:t>
            </w:r>
          </w:p>
        </w:tc>
        <w:tc>
          <w:tcPr>
            <w:tcW w:w="124"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pPr>
            <w:r>
              <w:rPr/>
              <w:t>Hornbeck Offshore International, LLC</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Limitadas</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Brazil</w:t>
            </w:r>
          </w:p>
        </w:tc>
        <w:tc>
          <w:tcPr>
            <w:tcW w:w="124" w:type="dxa"/>
            <w:tcBorders/>
            <w:vAlign w:val="bottom"/>
          </w:tcPr>
          <w:p>
            <w:pPr>
              <w:pStyle w:val="TableContents"/>
              <w:bidi w:val="0"/>
              <w:spacing w:before="0" w:after="283"/>
              <w:jc w:val="left"/>
              <w:rPr/>
            </w:pPr>
            <w:r>
              <w:rPr/>
              <w:t>  </w:t>
            </w:r>
          </w:p>
        </w:tc>
        <w:tc>
          <w:tcPr>
            <w:tcW w:w="871" w:type="dxa"/>
            <w:tcBorders/>
          </w:tcPr>
          <w:p>
            <w:pPr>
              <w:pStyle w:val="TableContents"/>
              <w:bidi w:val="0"/>
              <w:spacing w:before="0" w:after="283"/>
              <w:jc w:val="left"/>
              <w:rPr/>
            </w:pPr>
            <w:r>
              <w:rPr/>
              <w:t>99.9%</w:t>
            </w:r>
          </w:p>
        </w:tc>
        <w:tc>
          <w:tcPr>
            <w:tcW w:w="124"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283"/>
              <w:jc w:val="left"/>
              <w:rPr/>
            </w:pPr>
            <w:r>
              <w:rPr/>
              <w:t>0%</w:t>
            </w:r>
          </w:p>
        </w:tc>
        <w:tc>
          <w:tcPr>
            <w:tcW w:w="124" w:type="dxa"/>
            <w:tcBorders/>
            <w:vAlign w:val="bottom"/>
          </w:tcPr>
          <w:p>
            <w:pPr>
              <w:pStyle w:val="TableContents"/>
              <w:bidi w:val="0"/>
              <w:spacing w:before="0" w:after="283"/>
              <w:jc w:val="left"/>
              <w:rPr/>
            </w:pPr>
            <w:r>
              <w:rPr/>
              <w:t>  </w:t>
            </w:r>
          </w:p>
        </w:tc>
        <w:tc>
          <w:tcPr>
            <w:tcW w:w="1111"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9" w:type="dxa"/>
            <w:tcBorders/>
          </w:tcPr>
          <w:p>
            <w:pPr>
              <w:pStyle w:val="TableContents"/>
              <w:bidi w:val="0"/>
              <w:spacing w:before="0" w:after="283"/>
              <w:jc w:val="left"/>
              <w:rPr/>
            </w:pPr>
            <w:r>
              <w:rPr/>
              <w:t>N/A</w:t>
            </w:r>
          </w:p>
        </w:tc>
      </w:tr>
      <w:tr>
        <w:trPr>
          <w:trHeight w:val="120" w:hRule="atLeast"/>
        </w:trPr>
        <w:tc>
          <w:tcPr>
            <w:tcW w:w="1552"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49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tcPr>
          <w:p>
            <w:pPr>
              <w:pStyle w:val="TableContents"/>
              <w:bidi w:val="0"/>
              <w:spacing w:before="0" w:after="283"/>
              <w:jc w:val="left"/>
              <w:rPr/>
            </w:pPr>
            <w:r>
              <w:rPr/>
              <w:t>HOOI Holding, LLC</w:t>
            </w:r>
          </w:p>
        </w:tc>
        <w:tc>
          <w:tcPr>
            <w:tcW w:w="124"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pPr>
            <w:r>
              <w:rPr/>
              <w:t>Hornbeck Offshore International, LLC</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71"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283"/>
              <w:jc w:val="left"/>
              <w:rPr/>
            </w:pPr>
            <w:r>
              <w:rPr/>
              <w:t>0%</w:t>
            </w:r>
          </w:p>
        </w:tc>
        <w:tc>
          <w:tcPr>
            <w:tcW w:w="124" w:type="dxa"/>
            <w:tcBorders/>
            <w:vAlign w:val="bottom"/>
          </w:tcPr>
          <w:p>
            <w:pPr>
              <w:pStyle w:val="TableContents"/>
              <w:bidi w:val="0"/>
              <w:spacing w:before="0" w:after="283"/>
              <w:jc w:val="left"/>
              <w:rPr/>
            </w:pPr>
            <w:r>
              <w:rPr/>
              <w:t>  </w:t>
            </w:r>
          </w:p>
        </w:tc>
        <w:tc>
          <w:tcPr>
            <w:tcW w:w="1111"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9" w:type="dxa"/>
            <w:tcBorders/>
          </w:tcPr>
          <w:p>
            <w:pPr>
              <w:pStyle w:val="TableContents"/>
              <w:bidi w:val="0"/>
              <w:spacing w:before="0" w:after="283"/>
              <w:jc w:val="left"/>
              <w:rPr/>
            </w:pPr>
            <w:r>
              <w:rPr/>
              <w:t>N/A</w:t>
            </w:r>
          </w:p>
        </w:tc>
      </w:tr>
      <w:tr>
        <w:trPr>
          <w:trHeight w:val="120" w:hRule="atLeast"/>
        </w:trPr>
        <w:tc>
          <w:tcPr>
            <w:tcW w:w="1552"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49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tcPr>
          <w:p>
            <w:pPr>
              <w:pStyle w:val="TableContents"/>
              <w:bidi w:val="0"/>
              <w:spacing w:before="0" w:after="283"/>
              <w:jc w:val="left"/>
              <w:rPr/>
            </w:pPr>
            <w:r>
              <w:rPr/>
              <w:t>Hornbeck Offshore Cayman, Ltd.</w:t>
            </w:r>
          </w:p>
        </w:tc>
        <w:tc>
          <w:tcPr>
            <w:tcW w:w="124"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pPr>
            <w:r>
              <w:rPr/>
              <w:t>Hornbeck Offshore International, LLC</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Limited Company</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Cayman</w:t>
            </w:r>
          </w:p>
        </w:tc>
        <w:tc>
          <w:tcPr>
            <w:tcW w:w="124" w:type="dxa"/>
            <w:tcBorders/>
            <w:vAlign w:val="bottom"/>
          </w:tcPr>
          <w:p>
            <w:pPr>
              <w:pStyle w:val="TableContents"/>
              <w:bidi w:val="0"/>
              <w:spacing w:before="0" w:after="283"/>
              <w:jc w:val="left"/>
              <w:rPr/>
            </w:pPr>
            <w:r>
              <w:rPr/>
              <w:t>  </w:t>
            </w:r>
          </w:p>
        </w:tc>
        <w:tc>
          <w:tcPr>
            <w:tcW w:w="871"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283"/>
              <w:jc w:val="left"/>
              <w:rPr/>
            </w:pPr>
            <w:r>
              <w:rPr/>
              <w:t>0%</w:t>
            </w:r>
          </w:p>
        </w:tc>
        <w:tc>
          <w:tcPr>
            <w:tcW w:w="124" w:type="dxa"/>
            <w:tcBorders/>
            <w:vAlign w:val="bottom"/>
          </w:tcPr>
          <w:p>
            <w:pPr>
              <w:pStyle w:val="TableContents"/>
              <w:bidi w:val="0"/>
              <w:spacing w:before="0" w:after="283"/>
              <w:jc w:val="left"/>
              <w:rPr/>
            </w:pPr>
            <w:r>
              <w:rPr/>
              <w:t>  </w:t>
            </w:r>
          </w:p>
        </w:tc>
        <w:tc>
          <w:tcPr>
            <w:tcW w:w="1111"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9" w:type="dxa"/>
            <w:tcBorders/>
          </w:tcPr>
          <w:p>
            <w:pPr>
              <w:pStyle w:val="TableContents"/>
              <w:bidi w:val="0"/>
              <w:spacing w:before="0" w:after="283"/>
              <w:jc w:val="left"/>
              <w:rPr/>
            </w:pPr>
            <w:r>
              <w:rPr/>
              <w:t>N/A</w:t>
            </w:r>
          </w:p>
        </w:tc>
      </w:tr>
      <w:tr>
        <w:trPr>
          <w:trHeight w:val="120" w:hRule="atLeast"/>
        </w:trPr>
        <w:tc>
          <w:tcPr>
            <w:tcW w:w="1552"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49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tcPr>
          <w:p>
            <w:pPr>
              <w:pStyle w:val="TableContents"/>
              <w:bidi w:val="0"/>
              <w:spacing w:before="0" w:after="283"/>
              <w:jc w:val="left"/>
              <w:rPr/>
            </w:pPr>
            <w:r>
              <w:rPr/>
              <w:t>Hornbeck Offshore Navegaca Ltda</w:t>
            </w:r>
          </w:p>
        </w:tc>
        <w:tc>
          <w:tcPr>
            <w:tcW w:w="124"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pPr>
            <w:r>
              <w:rPr/>
              <w:t>Hornbeck Offshore International, LLC</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Limitadas</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Brazil</w:t>
            </w:r>
          </w:p>
        </w:tc>
        <w:tc>
          <w:tcPr>
            <w:tcW w:w="124" w:type="dxa"/>
            <w:tcBorders/>
            <w:vAlign w:val="bottom"/>
          </w:tcPr>
          <w:p>
            <w:pPr>
              <w:pStyle w:val="TableContents"/>
              <w:bidi w:val="0"/>
              <w:spacing w:before="0" w:after="283"/>
              <w:jc w:val="left"/>
              <w:rPr/>
            </w:pPr>
            <w:r>
              <w:rPr/>
              <w:t>  </w:t>
            </w:r>
          </w:p>
        </w:tc>
        <w:tc>
          <w:tcPr>
            <w:tcW w:w="871" w:type="dxa"/>
            <w:tcBorders/>
          </w:tcPr>
          <w:p>
            <w:pPr>
              <w:pStyle w:val="TableContents"/>
              <w:bidi w:val="0"/>
              <w:spacing w:before="0" w:after="283"/>
              <w:jc w:val="left"/>
              <w:rPr/>
            </w:pPr>
            <w:r>
              <w:rPr/>
              <w:t>99.9%</w:t>
            </w:r>
          </w:p>
        </w:tc>
        <w:tc>
          <w:tcPr>
            <w:tcW w:w="124"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283"/>
              <w:jc w:val="left"/>
              <w:rPr/>
            </w:pPr>
            <w:r>
              <w:rPr/>
              <w:t>0%</w:t>
            </w:r>
          </w:p>
        </w:tc>
        <w:tc>
          <w:tcPr>
            <w:tcW w:w="124" w:type="dxa"/>
            <w:tcBorders/>
            <w:vAlign w:val="bottom"/>
          </w:tcPr>
          <w:p>
            <w:pPr>
              <w:pStyle w:val="TableContents"/>
              <w:bidi w:val="0"/>
              <w:spacing w:before="0" w:after="283"/>
              <w:jc w:val="left"/>
              <w:rPr/>
            </w:pPr>
            <w:r>
              <w:rPr/>
              <w:t>  </w:t>
            </w:r>
          </w:p>
        </w:tc>
        <w:tc>
          <w:tcPr>
            <w:tcW w:w="1111"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9" w:type="dxa"/>
            <w:tcBorders/>
          </w:tcPr>
          <w:p>
            <w:pPr>
              <w:pStyle w:val="TableContents"/>
              <w:bidi w:val="0"/>
              <w:spacing w:before="0" w:after="283"/>
              <w:jc w:val="left"/>
              <w:rPr/>
            </w:pPr>
            <w:r>
              <w:rPr/>
              <w:t>N/A</w:t>
            </w:r>
          </w:p>
        </w:tc>
      </w:tr>
      <w:tr>
        <w:trPr>
          <w:trHeight w:val="120" w:hRule="atLeast"/>
        </w:trPr>
        <w:tc>
          <w:tcPr>
            <w:tcW w:w="1552"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49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tcPr>
          <w:p>
            <w:pPr>
              <w:pStyle w:val="TableContents"/>
              <w:bidi w:val="0"/>
              <w:spacing w:before="0" w:after="283"/>
              <w:jc w:val="left"/>
              <w:rPr/>
            </w:pPr>
            <w:r>
              <w:rPr/>
              <w:t>Hornbeck Offshore Operators International, LLC</w:t>
            </w:r>
          </w:p>
        </w:tc>
        <w:tc>
          <w:tcPr>
            <w:tcW w:w="124"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pPr>
            <w:r>
              <w:rPr/>
              <w:t>HOOI Holding, LLC</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71"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283"/>
              <w:jc w:val="left"/>
              <w:rPr/>
            </w:pPr>
            <w:r>
              <w:rPr/>
              <w:t>0%</w:t>
            </w:r>
          </w:p>
        </w:tc>
        <w:tc>
          <w:tcPr>
            <w:tcW w:w="124" w:type="dxa"/>
            <w:tcBorders/>
            <w:vAlign w:val="bottom"/>
          </w:tcPr>
          <w:p>
            <w:pPr>
              <w:pStyle w:val="TableContents"/>
              <w:bidi w:val="0"/>
              <w:spacing w:before="0" w:after="283"/>
              <w:jc w:val="left"/>
              <w:rPr/>
            </w:pPr>
            <w:r>
              <w:rPr/>
              <w:t>  </w:t>
            </w:r>
          </w:p>
        </w:tc>
        <w:tc>
          <w:tcPr>
            <w:tcW w:w="1111"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9" w:type="dxa"/>
            <w:tcBorders/>
          </w:tcPr>
          <w:p>
            <w:pPr>
              <w:pStyle w:val="TableContents"/>
              <w:bidi w:val="0"/>
              <w:spacing w:before="0" w:after="283"/>
              <w:jc w:val="left"/>
              <w:rPr/>
            </w:pPr>
            <w:r>
              <w:rPr/>
              <w:t>N/A</w:t>
            </w:r>
          </w:p>
        </w:tc>
      </w:tr>
      <w:tr>
        <w:trPr>
          <w:trHeight w:val="120" w:hRule="atLeast"/>
        </w:trPr>
        <w:tc>
          <w:tcPr>
            <w:tcW w:w="1552"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1257"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493" w:type="dxa"/>
            <w:gridSpan w:val="2"/>
            <w:tcBorders/>
            <w:vAlign w:val="center"/>
          </w:tcPr>
          <w:p>
            <w:pPr>
              <w:pStyle w:val="TableContents"/>
              <w:bidi w:val="0"/>
              <w:spacing w:before="0" w:after="283"/>
              <w:jc w:val="left"/>
              <w:rPr>
                <w:sz w:val="4"/>
                <w:szCs w:val="4"/>
              </w:rPr>
            </w:pPr>
            <w:r>
              <w:rPr>
                <w:sz w:val="4"/>
                <w:szCs w:val="4"/>
              </w:rPr>
            </w:r>
          </w:p>
        </w:tc>
      </w:tr>
      <w:tr>
        <w:trPr/>
        <w:tc>
          <w:tcPr>
            <w:tcW w:w="1552" w:type="dxa"/>
            <w:tcBorders/>
          </w:tcPr>
          <w:p>
            <w:pPr>
              <w:pStyle w:val="TableContents"/>
              <w:bidi w:val="0"/>
              <w:spacing w:before="0" w:after="283"/>
              <w:jc w:val="left"/>
              <w:rPr/>
            </w:pPr>
            <w:r>
              <w:rPr/>
              <w:t>Hornbeck Offshore Wind, LLC</w:t>
            </w:r>
          </w:p>
        </w:tc>
        <w:tc>
          <w:tcPr>
            <w:tcW w:w="124" w:type="dxa"/>
            <w:tcBorders/>
            <w:vAlign w:val="bottom"/>
          </w:tcPr>
          <w:p>
            <w:pPr>
              <w:pStyle w:val="TableContents"/>
              <w:bidi w:val="0"/>
              <w:spacing w:before="0" w:after="283"/>
              <w:jc w:val="left"/>
              <w:rPr/>
            </w:pPr>
            <w:r>
              <w:rPr/>
              <w:t>  </w:t>
            </w:r>
          </w:p>
        </w:tc>
        <w:tc>
          <w:tcPr>
            <w:tcW w:w="1330" w:type="dxa"/>
            <w:tcBorders/>
          </w:tcPr>
          <w:p>
            <w:pPr>
              <w:pStyle w:val="TableContents"/>
              <w:bidi w:val="0"/>
              <w:spacing w:before="0" w:after="283"/>
              <w:jc w:val="left"/>
              <w:rPr/>
            </w:pPr>
            <w:r>
              <w:rPr/>
              <w:t>HOW Holding, LLC</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Limited Liability Company</w:t>
            </w:r>
          </w:p>
        </w:tc>
        <w:tc>
          <w:tcPr>
            <w:tcW w:w="124" w:type="dxa"/>
            <w:tcBorders/>
            <w:vAlign w:val="bottom"/>
          </w:tcPr>
          <w:p>
            <w:pPr>
              <w:pStyle w:val="TableContents"/>
              <w:bidi w:val="0"/>
              <w:spacing w:before="0" w:after="283"/>
              <w:jc w:val="left"/>
              <w:rPr/>
            </w:pPr>
            <w:r>
              <w:rPr/>
              <w:t>  </w:t>
            </w:r>
          </w:p>
        </w:tc>
        <w:tc>
          <w:tcPr>
            <w:tcW w:w="1133" w:type="dxa"/>
            <w:tcBorders/>
          </w:tcPr>
          <w:p>
            <w:pPr>
              <w:pStyle w:val="TableContents"/>
              <w:bidi w:val="0"/>
              <w:spacing w:before="0" w:after="283"/>
              <w:jc w:val="left"/>
              <w:rPr/>
            </w:pPr>
            <w:r>
              <w:rPr/>
              <w:t>Delaware</w:t>
            </w:r>
          </w:p>
        </w:tc>
        <w:tc>
          <w:tcPr>
            <w:tcW w:w="124" w:type="dxa"/>
            <w:tcBorders/>
            <w:vAlign w:val="bottom"/>
          </w:tcPr>
          <w:p>
            <w:pPr>
              <w:pStyle w:val="TableContents"/>
              <w:bidi w:val="0"/>
              <w:spacing w:before="0" w:after="283"/>
              <w:jc w:val="left"/>
              <w:rPr/>
            </w:pPr>
            <w:r>
              <w:rPr/>
              <w:t>  </w:t>
            </w:r>
          </w:p>
        </w:tc>
        <w:tc>
          <w:tcPr>
            <w:tcW w:w="871" w:type="dxa"/>
            <w:tcBorders/>
          </w:tcPr>
          <w:p>
            <w:pPr>
              <w:pStyle w:val="TableContents"/>
              <w:bidi w:val="0"/>
              <w:spacing w:before="0" w:after="283"/>
              <w:jc w:val="left"/>
              <w:rPr/>
            </w:pPr>
            <w:r>
              <w:rPr/>
              <w:t>100%</w:t>
            </w:r>
          </w:p>
        </w:tc>
        <w:tc>
          <w:tcPr>
            <w:tcW w:w="124"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283"/>
              <w:jc w:val="left"/>
              <w:rPr/>
            </w:pPr>
            <w:r>
              <w:rPr/>
              <w:t>0%</w:t>
            </w:r>
          </w:p>
        </w:tc>
        <w:tc>
          <w:tcPr>
            <w:tcW w:w="124" w:type="dxa"/>
            <w:tcBorders/>
            <w:vAlign w:val="bottom"/>
          </w:tcPr>
          <w:p>
            <w:pPr>
              <w:pStyle w:val="TableContents"/>
              <w:bidi w:val="0"/>
              <w:spacing w:before="0" w:after="283"/>
              <w:jc w:val="left"/>
              <w:rPr/>
            </w:pPr>
            <w:r>
              <w:rPr/>
              <w:t>  </w:t>
            </w:r>
          </w:p>
        </w:tc>
        <w:tc>
          <w:tcPr>
            <w:tcW w:w="1111" w:type="dxa"/>
            <w:tcBorders/>
          </w:tcPr>
          <w:p>
            <w:pPr>
              <w:pStyle w:val="TableContents"/>
              <w:bidi w:val="0"/>
              <w:spacing w:before="0" w:after="283"/>
              <w:jc w:val="left"/>
              <w:rPr/>
            </w:pPr>
            <w:r>
              <w:rPr/>
              <w:t>Restricted</w:t>
            </w:r>
          </w:p>
        </w:tc>
        <w:tc>
          <w:tcPr>
            <w:tcW w:w="124" w:type="dxa"/>
            <w:tcBorders/>
            <w:vAlign w:val="bottom"/>
          </w:tcPr>
          <w:p>
            <w:pPr>
              <w:pStyle w:val="TableContents"/>
              <w:bidi w:val="0"/>
              <w:spacing w:before="0" w:after="283"/>
              <w:jc w:val="left"/>
              <w:rPr/>
            </w:pPr>
            <w:r>
              <w:rPr/>
              <w:t>  </w:t>
            </w:r>
          </w:p>
        </w:tc>
        <w:tc>
          <w:tcPr>
            <w:tcW w:w="1369" w:type="dxa"/>
            <w:tcBorders/>
          </w:tcPr>
          <w:p>
            <w:pPr>
              <w:pStyle w:val="TableContents"/>
              <w:bidi w:val="0"/>
              <w:spacing w:before="0" w:after="283"/>
              <w:jc w:val="left"/>
              <w:rPr/>
            </w:pPr>
            <w:r>
              <w:rPr/>
              <w:t>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73"/>
        <w:gridCol w:w="120"/>
        <w:gridCol w:w="1300"/>
        <w:gridCol w:w="120"/>
        <w:gridCol w:w="1159"/>
        <w:gridCol w:w="120"/>
        <w:gridCol w:w="1159"/>
        <w:gridCol w:w="120"/>
        <w:gridCol w:w="973"/>
        <w:gridCol w:w="120"/>
        <w:gridCol w:w="949"/>
        <w:gridCol w:w="119"/>
        <w:gridCol w:w="1144"/>
        <w:gridCol w:w="120"/>
        <w:gridCol w:w="1009"/>
      </w:tblGrid>
      <w:tr>
        <w:trPr/>
        <w:tc>
          <w:tcPr>
            <w:tcW w:w="16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16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Grantor</w:t>
            </w:r>
          </w:p>
        </w:tc>
        <w:tc>
          <w:tcPr>
            <w:tcW w:w="120" w:type="dxa"/>
            <w:tcBorders/>
            <w:vAlign w:val="bottom"/>
          </w:tcPr>
          <w:p>
            <w:pPr>
              <w:pStyle w:val="TableContents"/>
              <w:bidi w:val="0"/>
              <w:spacing w:before="0" w:after="283"/>
              <w:jc w:val="left"/>
              <w:rPr/>
            </w:pPr>
            <w:r>
              <w:rPr/>
              <w:t>  </w:t>
            </w:r>
          </w:p>
        </w:tc>
        <w:tc>
          <w:tcPr>
            <w:tcW w:w="13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Issuer</w:t>
            </w:r>
          </w:p>
        </w:tc>
        <w:tc>
          <w:tcPr>
            <w:tcW w:w="120" w:type="dxa"/>
            <w:tcBorders/>
            <w:vAlign w:val="bottom"/>
          </w:tcPr>
          <w:p>
            <w:pPr>
              <w:pStyle w:val="TableContents"/>
              <w:bidi w:val="0"/>
              <w:spacing w:before="0" w:after="283"/>
              <w:jc w:val="left"/>
              <w:rPr/>
            </w:pPr>
            <w:r>
              <w:rPr/>
              <w:t>  </w:t>
            </w:r>
          </w:p>
        </w:tc>
        <w:tc>
          <w:tcPr>
            <w:tcW w:w="11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 of</w:t>
              <w:br/>
              <w:t>Organization</w:t>
            </w:r>
          </w:p>
        </w:tc>
        <w:tc>
          <w:tcPr>
            <w:tcW w:w="120" w:type="dxa"/>
            <w:tcBorders/>
            <w:vAlign w:val="bottom"/>
          </w:tcPr>
          <w:p>
            <w:pPr>
              <w:pStyle w:val="TableContents"/>
              <w:bidi w:val="0"/>
              <w:spacing w:before="0" w:after="283"/>
              <w:jc w:val="left"/>
              <w:rPr/>
            </w:pPr>
            <w:r>
              <w:rPr/>
              <w:t>  </w:t>
            </w:r>
          </w:p>
        </w:tc>
        <w:tc>
          <w:tcPr>
            <w:tcW w:w="115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w:t>
            </w:r>
          </w:p>
          <w:p>
            <w:pPr>
              <w:pStyle w:val="TableContents"/>
              <w:bidi w:val="0"/>
              <w:spacing w:before="0" w:after="0"/>
              <w:jc w:val="center"/>
              <w:rPr>
                <w:rFonts w:ascii="Times New Roman" w:hAnsi="Times New Roman"/>
                <w:b/>
                <w:sz w:val="16"/>
              </w:rPr>
            </w:pPr>
            <w:r>
              <w:rPr>
                <w:rFonts w:ascii="Times New Roman" w:hAnsi="Times New Roman"/>
                <w:b/>
                <w:sz w:val="16"/>
              </w:rPr>
              <w:t>of</w:t>
            </w:r>
          </w:p>
          <w:p>
            <w:pPr>
              <w:pStyle w:val="TableContents"/>
              <w:bidi w:val="0"/>
              <w:spacing w:before="0" w:after="20"/>
              <w:jc w:val="center"/>
              <w:rPr>
                <w:rFonts w:ascii="Times New Roman" w:hAnsi="Times New Roman"/>
                <w:b/>
                <w:sz w:val="16"/>
              </w:rPr>
            </w:pPr>
            <w:r>
              <w:rPr>
                <w:rFonts w:ascii="Times New Roman" w:hAnsi="Times New Roman"/>
                <w:b/>
                <w:sz w:val="16"/>
              </w:rPr>
              <w:t>Organization /</w:t>
              <w:br/>
              <w:t>Formation</w:t>
            </w:r>
          </w:p>
        </w:tc>
        <w:tc>
          <w:tcPr>
            <w:tcW w:w="120" w:type="dxa"/>
            <w:tcBorders/>
            <w:vAlign w:val="bottom"/>
          </w:tcPr>
          <w:p>
            <w:pPr>
              <w:pStyle w:val="TableContents"/>
              <w:bidi w:val="0"/>
              <w:spacing w:before="0" w:after="283"/>
              <w:jc w:val="left"/>
              <w:rPr/>
            </w:pPr>
            <w:r>
              <w:rPr/>
              <w:t>  </w:t>
            </w:r>
          </w:p>
        </w:tc>
        <w:tc>
          <w:tcPr>
            <w:tcW w:w="97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20"/>
              <w:jc w:val="center"/>
              <w:rPr>
                <w:rFonts w:ascii="Times New Roman" w:hAnsi="Times New Roman"/>
                <w:b/>
                <w:sz w:val="16"/>
              </w:rPr>
            </w:pPr>
            <w:r>
              <w:rPr>
                <w:rFonts w:ascii="Times New Roman" w:hAnsi="Times New Roman"/>
                <w:b/>
                <w:sz w:val="16"/>
              </w:rPr>
              <w:t>Interests</w:t>
              <w:br/>
              <w:t>Owned</w:t>
            </w:r>
          </w:p>
        </w:tc>
        <w:tc>
          <w:tcPr>
            <w:tcW w:w="120" w:type="dxa"/>
            <w:tcBorders/>
            <w:vAlign w:val="bottom"/>
          </w:tcPr>
          <w:p>
            <w:pPr>
              <w:pStyle w:val="TableContents"/>
              <w:bidi w:val="0"/>
              <w:spacing w:before="0" w:after="283"/>
              <w:jc w:val="left"/>
              <w:rPr/>
            </w:pPr>
            <w:r>
              <w:rPr/>
              <w:t>  </w:t>
            </w:r>
          </w:p>
        </w:tc>
        <w:tc>
          <w:tcPr>
            <w:tcW w:w="94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 of</w:t>
            </w:r>
          </w:p>
          <w:p>
            <w:pPr>
              <w:pStyle w:val="TableContents"/>
              <w:bidi w:val="0"/>
              <w:spacing w:before="0" w:after="20"/>
              <w:jc w:val="center"/>
              <w:rPr>
                <w:rFonts w:ascii="Times New Roman" w:hAnsi="Times New Roman"/>
                <w:b/>
                <w:sz w:val="16"/>
              </w:rPr>
            </w:pPr>
            <w:r>
              <w:rPr>
                <w:rFonts w:ascii="Times New Roman" w:hAnsi="Times New Roman"/>
                <w:b/>
                <w:sz w:val="16"/>
              </w:rPr>
              <w:t>Interest</w:t>
              <w:br/>
              <w:t>Pledged</w:t>
            </w:r>
          </w:p>
        </w:tc>
        <w:tc>
          <w:tcPr>
            <w:tcW w:w="119" w:type="dxa"/>
            <w:tcBorders/>
            <w:vAlign w:val="bottom"/>
          </w:tcPr>
          <w:p>
            <w:pPr>
              <w:pStyle w:val="TableContents"/>
              <w:bidi w:val="0"/>
              <w:spacing w:before="0" w:after="283"/>
              <w:jc w:val="left"/>
              <w:rPr/>
            </w:pPr>
            <w:r>
              <w:rPr/>
              <w:t>  </w:t>
            </w:r>
          </w:p>
        </w:tc>
        <w:tc>
          <w:tcPr>
            <w:tcW w:w="11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Restricted /</w:t>
              <w:br/>
              <w:t>Unrestricted</w:t>
            </w:r>
          </w:p>
        </w:tc>
        <w:tc>
          <w:tcPr>
            <w:tcW w:w="120" w:type="dxa"/>
            <w:tcBorders/>
            <w:vAlign w:val="bottom"/>
          </w:tcPr>
          <w:p>
            <w:pPr>
              <w:pStyle w:val="TableContents"/>
              <w:bidi w:val="0"/>
              <w:spacing w:before="0" w:after="283"/>
              <w:jc w:val="left"/>
              <w:rPr/>
            </w:pPr>
            <w:r>
              <w:rPr/>
              <w:t>  </w:t>
            </w:r>
          </w:p>
        </w:tc>
        <w:tc>
          <w:tcPr>
            <w:tcW w:w="10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Certificate No.</w:t>
            </w:r>
          </w:p>
        </w:tc>
      </w:tr>
      <w:tr>
        <w:trPr/>
        <w:tc>
          <w:tcPr>
            <w:tcW w:w="1673" w:type="dxa"/>
            <w:tcBorders/>
          </w:tcPr>
          <w:p>
            <w:pPr>
              <w:pStyle w:val="TableContents"/>
              <w:bidi w:val="0"/>
              <w:spacing w:before="0" w:after="283"/>
              <w:jc w:val="left"/>
              <w:rPr/>
            </w:pPr>
            <w:r>
              <w:rPr/>
              <w:t>HOS de Mexico II, S. De R.L. de C.V.</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HOI Holding, LLC</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S. de R.L. de C.V.</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Mexico</w:t>
            </w:r>
          </w:p>
        </w:tc>
        <w:tc>
          <w:tcPr>
            <w:tcW w:w="120" w:type="dxa"/>
            <w:tcBorders/>
            <w:vAlign w:val="bottom"/>
          </w:tcPr>
          <w:p>
            <w:pPr>
              <w:pStyle w:val="TableContents"/>
              <w:bidi w:val="0"/>
              <w:spacing w:before="0" w:after="283"/>
              <w:jc w:val="left"/>
              <w:rPr/>
            </w:pPr>
            <w:r>
              <w:rPr/>
              <w:t>  </w:t>
            </w:r>
          </w:p>
        </w:tc>
        <w:tc>
          <w:tcPr>
            <w:tcW w:w="973" w:type="dxa"/>
            <w:tcBorders/>
          </w:tcPr>
          <w:p>
            <w:pPr>
              <w:pStyle w:val="TableContents"/>
              <w:bidi w:val="0"/>
              <w:spacing w:before="0" w:after="283"/>
              <w:jc w:val="left"/>
              <w:rPr/>
            </w:pPr>
            <w:r>
              <w:rPr/>
              <w:t>99%</w:t>
            </w:r>
          </w:p>
        </w:tc>
        <w:tc>
          <w:tcPr>
            <w:tcW w:w="120"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left"/>
              <w:rPr/>
            </w:pPr>
            <w:r>
              <w:rPr/>
              <w:t>0%</w:t>
            </w:r>
          </w:p>
        </w:tc>
        <w:tc>
          <w:tcPr>
            <w:tcW w:w="119" w:type="dxa"/>
            <w:tcBorders/>
            <w:vAlign w:val="bottom"/>
          </w:tcPr>
          <w:p>
            <w:pPr>
              <w:pStyle w:val="TableContents"/>
              <w:bidi w:val="0"/>
              <w:spacing w:before="0" w:after="283"/>
              <w:jc w:val="left"/>
              <w:rPr/>
            </w:pPr>
            <w:r>
              <w:rPr/>
              <w:t>  </w:t>
            </w:r>
          </w:p>
        </w:tc>
        <w:tc>
          <w:tcPr>
            <w:tcW w:w="1144" w:type="dxa"/>
            <w:tcBorders/>
          </w:tcPr>
          <w:p>
            <w:pPr>
              <w:pStyle w:val="TableContents"/>
              <w:bidi w:val="0"/>
              <w:spacing w:before="0" w:after="283"/>
              <w:jc w:val="left"/>
              <w:rPr/>
            </w:pPr>
            <w:r>
              <w:rPr/>
              <w:t>Restricted</w:t>
            </w:r>
          </w:p>
        </w:tc>
        <w:tc>
          <w:tcPr>
            <w:tcW w:w="120" w:type="dxa"/>
            <w:tcBorders/>
            <w:vAlign w:val="bottom"/>
          </w:tcPr>
          <w:p>
            <w:pPr>
              <w:pStyle w:val="TableContents"/>
              <w:bidi w:val="0"/>
              <w:spacing w:before="0" w:after="283"/>
              <w:jc w:val="left"/>
              <w:rPr/>
            </w:pPr>
            <w:r>
              <w:rPr/>
              <w:t>  </w:t>
            </w:r>
          </w:p>
        </w:tc>
        <w:tc>
          <w:tcPr>
            <w:tcW w:w="1009" w:type="dxa"/>
            <w:tcBorders/>
          </w:tcPr>
          <w:p>
            <w:pPr>
              <w:pStyle w:val="TableContents"/>
              <w:bidi w:val="0"/>
              <w:spacing w:before="0" w:after="283"/>
              <w:jc w:val="left"/>
              <w:rPr/>
            </w:pPr>
            <w:r>
              <w:rPr/>
              <w:t>N/A</w:t>
            </w:r>
          </w:p>
        </w:tc>
      </w:tr>
      <w:tr>
        <w:trPr>
          <w:trHeight w:val="120" w:hRule="atLeast"/>
        </w:trPr>
        <w:tc>
          <w:tcPr>
            <w:tcW w:w="1673" w:type="dxa"/>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263" w:type="dxa"/>
            <w:gridSpan w:val="2"/>
            <w:tcBorders/>
            <w:vAlign w:val="center"/>
          </w:tcPr>
          <w:p>
            <w:pPr>
              <w:pStyle w:val="TableContents"/>
              <w:bidi w:val="0"/>
              <w:spacing w:before="0" w:after="283"/>
              <w:jc w:val="left"/>
              <w:rPr>
                <w:sz w:val="4"/>
                <w:szCs w:val="4"/>
              </w:rPr>
            </w:pPr>
            <w:r>
              <w:rPr>
                <w:sz w:val="4"/>
                <w:szCs w:val="4"/>
              </w:rPr>
            </w:r>
          </w:p>
        </w:tc>
        <w:tc>
          <w:tcPr>
            <w:tcW w:w="1129" w:type="dxa"/>
            <w:gridSpan w:val="2"/>
            <w:tcBorders/>
            <w:vAlign w:val="center"/>
          </w:tcPr>
          <w:p>
            <w:pPr>
              <w:pStyle w:val="TableContents"/>
              <w:bidi w:val="0"/>
              <w:spacing w:before="0" w:after="283"/>
              <w:jc w:val="left"/>
              <w:rPr>
                <w:sz w:val="4"/>
                <w:szCs w:val="4"/>
              </w:rPr>
            </w:pPr>
            <w:r>
              <w:rPr>
                <w:sz w:val="4"/>
                <w:szCs w:val="4"/>
              </w:rPr>
            </w:r>
          </w:p>
        </w:tc>
      </w:tr>
      <w:tr>
        <w:trPr/>
        <w:tc>
          <w:tcPr>
            <w:tcW w:w="1673" w:type="dxa"/>
            <w:tcBorders/>
          </w:tcPr>
          <w:p>
            <w:pPr>
              <w:pStyle w:val="TableContents"/>
              <w:bidi w:val="0"/>
              <w:spacing w:before="0" w:after="283"/>
              <w:jc w:val="left"/>
              <w:rPr/>
            </w:pPr>
            <w:r>
              <w:rPr/>
              <w:t>HOS de Mexico, III</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HOI Holding, LLC</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S. de R.L. de C.V.</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Mexico</w:t>
            </w:r>
          </w:p>
        </w:tc>
        <w:tc>
          <w:tcPr>
            <w:tcW w:w="120" w:type="dxa"/>
            <w:tcBorders/>
            <w:vAlign w:val="bottom"/>
          </w:tcPr>
          <w:p>
            <w:pPr>
              <w:pStyle w:val="TableContents"/>
              <w:bidi w:val="0"/>
              <w:spacing w:before="0" w:after="283"/>
              <w:jc w:val="left"/>
              <w:rPr/>
            </w:pPr>
            <w:r>
              <w:rPr/>
              <w:t>  </w:t>
            </w:r>
          </w:p>
        </w:tc>
        <w:tc>
          <w:tcPr>
            <w:tcW w:w="973" w:type="dxa"/>
            <w:tcBorders/>
          </w:tcPr>
          <w:p>
            <w:pPr>
              <w:pStyle w:val="TableContents"/>
              <w:bidi w:val="0"/>
              <w:spacing w:before="0" w:after="283"/>
              <w:jc w:val="left"/>
              <w:rPr/>
            </w:pPr>
            <w:r>
              <w:rPr/>
              <w:t>99%</w:t>
            </w:r>
          </w:p>
        </w:tc>
        <w:tc>
          <w:tcPr>
            <w:tcW w:w="120"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left"/>
              <w:rPr/>
            </w:pPr>
            <w:r>
              <w:rPr/>
              <w:t>0%</w:t>
            </w:r>
          </w:p>
        </w:tc>
        <w:tc>
          <w:tcPr>
            <w:tcW w:w="119" w:type="dxa"/>
            <w:tcBorders/>
            <w:vAlign w:val="bottom"/>
          </w:tcPr>
          <w:p>
            <w:pPr>
              <w:pStyle w:val="TableContents"/>
              <w:bidi w:val="0"/>
              <w:spacing w:before="0" w:after="283"/>
              <w:jc w:val="left"/>
              <w:rPr/>
            </w:pPr>
            <w:r>
              <w:rPr/>
              <w:t>  </w:t>
            </w:r>
          </w:p>
        </w:tc>
        <w:tc>
          <w:tcPr>
            <w:tcW w:w="1144" w:type="dxa"/>
            <w:tcBorders/>
          </w:tcPr>
          <w:p>
            <w:pPr>
              <w:pStyle w:val="TableContents"/>
              <w:bidi w:val="0"/>
              <w:spacing w:before="0" w:after="283"/>
              <w:jc w:val="left"/>
              <w:rPr/>
            </w:pPr>
            <w:r>
              <w:rPr/>
              <w:t>Restricted</w:t>
            </w:r>
          </w:p>
        </w:tc>
        <w:tc>
          <w:tcPr>
            <w:tcW w:w="120" w:type="dxa"/>
            <w:tcBorders/>
            <w:vAlign w:val="bottom"/>
          </w:tcPr>
          <w:p>
            <w:pPr>
              <w:pStyle w:val="TableContents"/>
              <w:bidi w:val="0"/>
              <w:spacing w:before="0" w:after="283"/>
              <w:jc w:val="left"/>
              <w:rPr/>
            </w:pPr>
            <w:r>
              <w:rPr/>
              <w:t>  </w:t>
            </w:r>
          </w:p>
        </w:tc>
        <w:tc>
          <w:tcPr>
            <w:tcW w:w="1009" w:type="dxa"/>
            <w:tcBorders/>
          </w:tcPr>
          <w:p>
            <w:pPr>
              <w:pStyle w:val="TableContents"/>
              <w:bidi w:val="0"/>
              <w:spacing w:before="0" w:after="283"/>
              <w:jc w:val="left"/>
              <w:rPr/>
            </w:pPr>
            <w:r>
              <w:rPr/>
              <w:t>N/A</w:t>
            </w:r>
          </w:p>
        </w:tc>
      </w:tr>
      <w:tr>
        <w:trPr>
          <w:trHeight w:val="120" w:hRule="atLeast"/>
        </w:trPr>
        <w:tc>
          <w:tcPr>
            <w:tcW w:w="1673" w:type="dxa"/>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263" w:type="dxa"/>
            <w:gridSpan w:val="2"/>
            <w:tcBorders/>
            <w:vAlign w:val="center"/>
          </w:tcPr>
          <w:p>
            <w:pPr>
              <w:pStyle w:val="TableContents"/>
              <w:bidi w:val="0"/>
              <w:spacing w:before="0" w:after="283"/>
              <w:jc w:val="left"/>
              <w:rPr>
                <w:sz w:val="4"/>
                <w:szCs w:val="4"/>
              </w:rPr>
            </w:pPr>
            <w:r>
              <w:rPr>
                <w:sz w:val="4"/>
                <w:szCs w:val="4"/>
              </w:rPr>
            </w:r>
          </w:p>
        </w:tc>
        <w:tc>
          <w:tcPr>
            <w:tcW w:w="1129" w:type="dxa"/>
            <w:gridSpan w:val="2"/>
            <w:tcBorders/>
            <w:vAlign w:val="center"/>
          </w:tcPr>
          <w:p>
            <w:pPr>
              <w:pStyle w:val="TableContents"/>
              <w:bidi w:val="0"/>
              <w:spacing w:before="0" w:after="283"/>
              <w:jc w:val="left"/>
              <w:rPr>
                <w:sz w:val="4"/>
                <w:szCs w:val="4"/>
              </w:rPr>
            </w:pPr>
            <w:r>
              <w:rPr>
                <w:sz w:val="4"/>
                <w:szCs w:val="4"/>
              </w:rPr>
            </w:r>
          </w:p>
        </w:tc>
      </w:tr>
      <w:tr>
        <w:trPr/>
        <w:tc>
          <w:tcPr>
            <w:tcW w:w="1673" w:type="dxa"/>
            <w:tcBorders/>
          </w:tcPr>
          <w:p>
            <w:pPr>
              <w:pStyle w:val="TableContents"/>
              <w:bidi w:val="0"/>
              <w:spacing w:before="0" w:after="283"/>
              <w:jc w:val="left"/>
              <w:rPr/>
            </w:pPr>
            <w:r>
              <w:rPr/>
              <w:t>HOS de Mexico, S. De R.L. de C.V.</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Hornbeck Offshore International, LLC</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S. de R.L. de C.V.</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Mexico</w:t>
            </w:r>
          </w:p>
        </w:tc>
        <w:tc>
          <w:tcPr>
            <w:tcW w:w="120" w:type="dxa"/>
            <w:tcBorders/>
            <w:vAlign w:val="bottom"/>
          </w:tcPr>
          <w:p>
            <w:pPr>
              <w:pStyle w:val="TableContents"/>
              <w:bidi w:val="0"/>
              <w:spacing w:before="0" w:after="283"/>
              <w:jc w:val="left"/>
              <w:rPr/>
            </w:pPr>
            <w:r>
              <w:rPr/>
              <w:t>  </w:t>
            </w:r>
          </w:p>
        </w:tc>
        <w:tc>
          <w:tcPr>
            <w:tcW w:w="973" w:type="dxa"/>
            <w:tcBorders/>
          </w:tcPr>
          <w:p>
            <w:pPr>
              <w:pStyle w:val="TableContents"/>
              <w:bidi w:val="0"/>
              <w:spacing w:before="0" w:after="283"/>
              <w:jc w:val="left"/>
              <w:rPr/>
            </w:pPr>
            <w:r>
              <w:rPr/>
              <w:t>99%</w:t>
            </w:r>
          </w:p>
        </w:tc>
        <w:tc>
          <w:tcPr>
            <w:tcW w:w="120"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left"/>
              <w:rPr/>
            </w:pPr>
            <w:r>
              <w:rPr/>
              <w:t>0%</w:t>
            </w:r>
          </w:p>
        </w:tc>
        <w:tc>
          <w:tcPr>
            <w:tcW w:w="119" w:type="dxa"/>
            <w:tcBorders/>
            <w:vAlign w:val="bottom"/>
          </w:tcPr>
          <w:p>
            <w:pPr>
              <w:pStyle w:val="TableContents"/>
              <w:bidi w:val="0"/>
              <w:spacing w:before="0" w:after="283"/>
              <w:jc w:val="left"/>
              <w:rPr/>
            </w:pPr>
            <w:r>
              <w:rPr/>
              <w:t>  </w:t>
            </w:r>
          </w:p>
        </w:tc>
        <w:tc>
          <w:tcPr>
            <w:tcW w:w="1144" w:type="dxa"/>
            <w:tcBorders/>
          </w:tcPr>
          <w:p>
            <w:pPr>
              <w:pStyle w:val="TableContents"/>
              <w:bidi w:val="0"/>
              <w:spacing w:before="0" w:after="283"/>
              <w:jc w:val="left"/>
              <w:rPr/>
            </w:pPr>
            <w:r>
              <w:rPr/>
              <w:t>Restricted</w:t>
            </w:r>
          </w:p>
        </w:tc>
        <w:tc>
          <w:tcPr>
            <w:tcW w:w="120" w:type="dxa"/>
            <w:tcBorders/>
            <w:vAlign w:val="bottom"/>
          </w:tcPr>
          <w:p>
            <w:pPr>
              <w:pStyle w:val="TableContents"/>
              <w:bidi w:val="0"/>
              <w:spacing w:before="0" w:after="283"/>
              <w:jc w:val="left"/>
              <w:rPr/>
            </w:pPr>
            <w:r>
              <w:rPr/>
              <w:t>  </w:t>
            </w:r>
          </w:p>
        </w:tc>
        <w:tc>
          <w:tcPr>
            <w:tcW w:w="1009" w:type="dxa"/>
            <w:tcBorders/>
          </w:tcPr>
          <w:p>
            <w:pPr>
              <w:pStyle w:val="TableContents"/>
              <w:bidi w:val="0"/>
              <w:spacing w:before="0" w:after="283"/>
              <w:jc w:val="left"/>
              <w:rPr/>
            </w:pPr>
            <w:r>
              <w:rPr/>
              <w:t>N/A</w:t>
            </w:r>
          </w:p>
        </w:tc>
      </w:tr>
      <w:tr>
        <w:trPr>
          <w:trHeight w:val="120" w:hRule="atLeast"/>
        </w:trPr>
        <w:tc>
          <w:tcPr>
            <w:tcW w:w="1673" w:type="dxa"/>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263" w:type="dxa"/>
            <w:gridSpan w:val="2"/>
            <w:tcBorders/>
            <w:vAlign w:val="center"/>
          </w:tcPr>
          <w:p>
            <w:pPr>
              <w:pStyle w:val="TableContents"/>
              <w:bidi w:val="0"/>
              <w:spacing w:before="0" w:after="283"/>
              <w:jc w:val="left"/>
              <w:rPr>
                <w:sz w:val="4"/>
                <w:szCs w:val="4"/>
              </w:rPr>
            </w:pPr>
            <w:r>
              <w:rPr>
                <w:sz w:val="4"/>
                <w:szCs w:val="4"/>
              </w:rPr>
            </w:r>
          </w:p>
        </w:tc>
        <w:tc>
          <w:tcPr>
            <w:tcW w:w="1129" w:type="dxa"/>
            <w:gridSpan w:val="2"/>
            <w:tcBorders/>
            <w:vAlign w:val="center"/>
          </w:tcPr>
          <w:p>
            <w:pPr>
              <w:pStyle w:val="TableContents"/>
              <w:bidi w:val="0"/>
              <w:spacing w:before="0" w:after="283"/>
              <w:jc w:val="left"/>
              <w:rPr>
                <w:sz w:val="4"/>
                <w:szCs w:val="4"/>
              </w:rPr>
            </w:pPr>
            <w:r>
              <w:rPr>
                <w:sz w:val="4"/>
                <w:szCs w:val="4"/>
              </w:rPr>
            </w:r>
          </w:p>
        </w:tc>
      </w:tr>
      <w:tr>
        <w:trPr/>
        <w:tc>
          <w:tcPr>
            <w:tcW w:w="1673" w:type="dxa"/>
            <w:tcBorders/>
          </w:tcPr>
          <w:p>
            <w:pPr>
              <w:pStyle w:val="TableContents"/>
              <w:bidi w:val="0"/>
              <w:spacing w:before="0" w:after="283"/>
              <w:jc w:val="left"/>
              <w:rPr/>
            </w:pPr>
            <w:r>
              <w:rPr/>
              <w:t>Seahorse Crew Management, Ltd.</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Hornbeck Offshore Cayman, Ltd.</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Limited Company</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Cayman</w:t>
            </w:r>
          </w:p>
        </w:tc>
        <w:tc>
          <w:tcPr>
            <w:tcW w:w="120" w:type="dxa"/>
            <w:tcBorders/>
            <w:vAlign w:val="bottom"/>
          </w:tcPr>
          <w:p>
            <w:pPr>
              <w:pStyle w:val="TableContents"/>
              <w:bidi w:val="0"/>
              <w:spacing w:before="0" w:after="283"/>
              <w:jc w:val="left"/>
              <w:rPr/>
            </w:pPr>
            <w:r>
              <w:rPr/>
              <w:t>  </w:t>
            </w:r>
          </w:p>
        </w:tc>
        <w:tc>
          <w:tcPr>
            <w:tcW w:w="973" w:type="dxa"/>
            <w:tcBorders/>
          </w:tcPr>
          <w:p>
            <w:pPr>
              <w:pStyle w:val="TableContents"/>
              <w:bidi w:val="0"/>
              <w:spacing w:before="0" w:after="283"/>
              <w:jc w:val="left"/>
              <w:rPr/>
            </w:pPr>
            <w:r>
              <w:rPr/>
              <w:t>100%</w:t>
            </w:r>
          </w:p>
        </w:tc>
        <w:tc>
          <w:tcPr>
            <w:tcW w:w="120"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left"/>
              <w:rPr/>
            </w:pPr>
            <w:r>
              <w:rPr/>
              <w:t>0%</w:t>
            </w:r>
          </w:p>
        </w:tc>
        <w:tc>
          <w:tcPr>
            <w:tcW w:w="119" w:type="dxa"/>
            <w:tcBorders/>
            <w:vAlign w:val="bottom"/>
          </w:tcPr>
          <w:p>
            <w:pPr>
              <w:pStyle w:val="TableContents"/>
              <w:bidi w:val="0"/>
              <w:spacing w:before="0" w:after="283"/>
              <w:jc w:val="left"/>
              <w:rPr/>
            </w:pPr>
            <w:r>
              <w:rPr/>
              <w:t>  </w:t>
            </w:r>
          </w:p>
        </w:tc>
        <w:tc>
          <w:tcPr>
            <w:tcW w:w="1144" w:type="dxa"/>
            <w:tcBorders/>
          </w:tcPr>
          <w:p>
            <w:pPr>
              <w:pStyle w:val="TableContents"/>
              <w:bidi w:val="0"/>
              <w:spacing w:before="0" w:after="283"/>
              <w:jc w:val="left"/>
              <w:rPr/>
            </w:pPr>
            <w:r>
              <w:rPr/>
              <w:t>Restricted</w:t>
            </w:r>
          </w:p>
        </w:tc>
        <w:tc>
          <w:tcPr>
            <w:tcW w:w="120" w:type="dxa"/>
            <w:tcBorders/>
            <w:vAlign w:val="bottom"/>
          </w:tcPr>
          <w:p>
            <w:pPr>
              <w:pStyle w:val="TableContents"/>
              <w:bidi w:val="0"/>
              <w:spacing w:before="0" w:after="283"/>
              <w:jc w:val="left"/>
              <w:rPr/>
            </w:pPr>
            <w:r>
              <w:rPr/>
              <w:t>  </w:t>
            </w:r>
          </w:p>
        </w:tc>
        <w:tc>
          <w:tcPr>
            <w:tcW w:w="1009" w:type="dxa"/>
            <w:tcBorders/>
          </w:tcPr>
          <w:p>
            <w:pPr>
              <w:pStyle w:val="TableContents"/>
              <w:bidi w:val="0"/>
              <w:spacing w:before="0" w:after="283"/>
              <w:jc w:val="left"/>
              <w:rPr/>
            </w:pPr>
            <w:r>
              <w:rPr/>
              <w:t>N/A</w:t>
            </w:r>
          </w:p>
        </w:tc>
      </w:tr>
      <w:tr>
        <w:trPr>
          <w:trHeight w:val="120" w:hRule="atLeast"/>
        </w:trPr>
        <w:tc>
          <w:tcPr>
            <w:tcW w:w="1673" w:type="dxa"/>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263" w:type="dxa"/>
            <w:gridSpan w:val="2"/>
            <w:tcBorders/>
            <w:vAlign w:val="center"/>
          </w:tcPr>
          <w:p>
            <w:pPr>
              <w:pStyle w:val="TableContents"/>
              <w:bidi w:val="0"/>
              <w:spacing w:before="0" w:after="283"/>
              <w:jc w:val="left"/>
              <w:rPr>
                <w:sz w:val="4"/>
                <w:szCs w:val="4"/>
              </w:rPr>
            </w:pPr>
            <w:r>
              <w:rPr>
                <w:sz w:val="4"/>
                <w:szCs w:val="4"/>
              </w:rPr>
            </w:r>
          </w:p>
        </w:tc>
        <w:tc>
          <w:tcPr>
            <w:tcW w:w="1129" w:type="dxa"/>
            <w:gridSpan w:val="2"/>
            <w:tcBorders/>
            <w:vAlign w:val="center"/>
          </w:tcPr>
          <w:p>
            <w:pPr>
              <w:pStyle w:val="TableContents"/>
              <w:bidi w:val="0"/>
              <w:spacing w:before="0" w:after="283"/>
              <w:jc w:val="left"/>
              <w:rPr>
                <w:sz w:val="4"/>
                <w:szCs w:val="4"/>
              </w:rPr>
            </w:pPr>
            <w:r>
              <w:rPr>
                <w:sz w:val="4"/>
                <w:szCs w:val="4"/>
              </w:rPr>
            </w:r>
          </w:p>
        </w:tc>
      </w:tr>
      <w:tr>
        <w:trPr/>
        <w:tc>
          <w:tcPr>
            <w:tcW w:w="1673" w:type="dxa"/>
            <w:tcBorders/>
          </w:tcPr>
          <w:p>
            <w:pPr>
              <w:pStyle w:val="TableContents"/>
              <w:bidi w:val="0"/>
              <w:spacing w:before="0" w:after="283"/>
              <w:jc w:val="left"/>
              <w:rPr/>
            </w:pPr>
            <w:r>
              <w:rPr/>
              <w:t>T.N. Percheron</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Hornbeck Offshore International, LLC</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S. de R.L. de C.V.</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Mexico</w:t>
            </w:r>
          </w:p>
        </w:tc>
        <w:tc>
          <w:tcPr>
            <w:tcW w:w="120" w:type="dxa"/>
            <w:tcBorders/>
            <w:vAlign w:val="bottom"/>
          </w:tcPr>
          <w:p>
            <w:pPr>
              <w:pStyle w:val="TableContents"/>
              <w:bidi w:val="0"/>
              <w:spacing w:before="0" w:after="283"/>
              <w:jc w:val="left"/>
              <w:rPr/>
            </w:pPr>
            <w:r>
              <w:rPr/>
              <w:t>  </w:t>
            </w:r>
          </w:p>
        </w:tc>
        <w:tc>
          <w:tcPr>
            <w:tcW w:w="973" w:type="dxa"/>
            <w:tcBorders/>
          </w:tcPr>
          <w:p>
            <w:pPr>
              <w:pStyle w:val="TableContents"/>
              <w:bidi w:val="0"/>
              <w:spacing w:before="0" w:after="283"/>
              <w:jc w:val="left"/>
              <w:rPr/>
            </w:pPr>
            <w:r>
              <w:rPr/>
              <w:t>99%</w:t>
            </w:r>
          </w:p>
        </w:tc>
        <w:tc>
          <w:tcPr>
            <w:tcW w:w="120"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left"/>
              <w:rPr/>
            </w:pPr>
            <w:r>
              <w:rPr/>
              <w:t>0%</w:t>
            </w:r>
          </w:p>
        </w:tc>
        <w:tc>
          <w:tcPr>
            <w:tcW w:w="119" w:type="dxa"/>
            <w:tcBorders/>
            <w:vAlign w:val="bottom"/>
          </w:tcPr>
          <w:p>
            <w:pPr>
              <w:pStyle w:val="TableContents"/>
              <w:bidi w:val="0"/>
              <w:spacing w:before="0" w:after="283"/>
              <w:jc w:val="left"/>
              <w:rPr/>
            </w:pPr>
            <w:r>
              <w:rPr/>
              <w:t>  </w:t>
            </w:r>
          </w:p>
        </w:tc>
        <w:tc>
          <w:tcPr>
            <w:tcW w:w="1144" w:type="dxa"/>
            <w:tcBorders/>
          </w:tcPr>
          <w:p>
            <w:pPr>
              <w:pStyle w:val="TableContents"/>
              <w:bidi w:val="0"/>
              <w:spacing w:before="0" w:after="283"/>
              <w:jc w:val="left"/>
              <w:rPr/>
            </w:pPr>
            <w:r>
              <w:rPr/>
              <w:t>Restricted</w:t>
            </w:r>
          </w:p>
        </w:tc>
        <w:tc>
          <w:tcPr>
            <w:tcW w:w="120" w:type="dxa"/>
            <w:tcBorders/>
            <w:vAlign w:val="bottom"/>
          </w:tcPr>
          <w:p>
            <w:pPr>
              <w:pStyle w:val="TableContents"/>
              <w:bidi w:val="0"/>
              <w:spacing w:before="0" w:after="283"/>
              <w:jc w:val="left"/>
              <w:rPr/>
            </w:pPr>
            <w:r>
              <w:rPr/>
              <w:t>  </w:t>
            </w:r>
          </w:p>
        </w:tc>
        <w:tc>
          <w:tcPr>
            <w:tcW w:w="1009" w:type="dxa"/>
            <w:tcBorders/>
          </w:tcPr>
          <w:p>
            <w:pPr>
              <w:pStyle w:val="TableContents"/>
              <w:bidi w:val="0"/>
              <w:spacing w:before="0" w:after="283"/>
              <w:jc w:val="left"/>
              <w:rPr/>
            </w:pPr>
            <w:r>
              <w:rPr/>
              <w:t>N/A</w:t>
            </w:r>
          </w:p>
        </w:tc>
      </w:tr>
      <w:tr>
        <w:trPr>
          <w:trHeight w:val="120" w:hRule="atLeast"/>
        </w:trPr>
        <w:tc>
          <w:tcPr>
            <w:tcW w:w="1673" w:type="dxa"/>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279"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263" w:type="dxa"/>
            <w:gridSpan w:val="2"/>
            <w:tcBorders/>
            <w:vAlign w:val="center"/>
          </w:tcPr>
          <w:p>
            <w:pPr>
              <w:pStyle w:val="TableContents"/>
              <w:bidi w:val="0"/>
              <w:spacing w:before="0" w:after="283"/>
              <w:jc w:val="left"/>
              <w:rPr>
                <w:sz w:val="4"/>
                <w:szCs w:val="4"/>
              </w:rPr>
            </w:pPr>
            <w:r>
              <w:rPr>
                <w:sz w:val="4"/>
                <w:szCs w:val="4"/>
              </w:rPr>
            </w:r>
          </w:p>
        </w:tc>
        <w:tc>
          <w:tcPr>
            <w:tcW w:w="1129" w:type="dxa"/>
            <w:gridSpan w:val="2"/>
            <w:tcBorders/>
            <w:vAlign w:val="center"/>
          </w:tcPr>
          <w:p>
            <w:pPr>
              <w:pStyle w:val="TableContents"/>
              <w:bidi w:val="0"/>
              <w:spacing w:before="0" w:after="283"/>
              <w:jc w:val="left"/>
              <w:rPr>
                <w:sz w:val="4"/>
                <w:szCs w:val="4"/>
              </w:rPr>
            </w:pPr>
            <w:r>
              <w:rPr>
                <w:sz w:val="4"/>
                <w:szCs w:val="4"/>
              </w:rPr>
            </w:r>
          </w:p>
        </w:tc>
      </w:tr>
      <w:tr>
        <w:trPr/>
        <w:tc>
          <w:tcPr>
            <w:tcW w:w="1673" w:type="dxa"/>
            <w:tcBorders/>
          </w:tcPr>
          <w:p>
            <w:pPr>
              <w:pStyle w:val="TableContents"/>
              <w:bidi w:val="0"/>
              <w:spacing w:before="0" w:after="283"/>
              <w:jc w:val="left"/>
              <w:rPr/>
            </w:pPr>
            <w:r>
              <w:rPr/>
              <w:t>Hornbeck Offshore Training Institute, LLC</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Hornbeck Offshore Operators, LLC</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Limited Liability Company</w:t>
            </w:r>
          </w:p>
        </w:tc>
        <w:tc>
          <w:tcPr>
            <w:tcW w:w="120"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Delaware</w:t>
            </w:r>
          </w:p>
        </w:tc>
        <w:tc>
          <w:tcPr>
            <w:tcW w:w="120" w:type="dxa"/>
            <w:tcBorders/>
            <w:vAlign w:val="bottom"/>
          </w:tcPr>
          <w:p>
            <w:pPr>
              <w:pStyle w:val="TableContents"/>
              <w:bidi w:val="0"/>
              <w:spacing w:before="0" w:after="283"/>
              <w:jc w:val="left"/>
              <w:rPr/>
            </w:pPr>
            <w:r>
              <w:rPr/>
              <w:t>  </w:t>
            </w:r>
          </w:p>
        </w:tc>
        <w:tc>
          <w:tcPr>
            <w:tcW w:w="973" w:type="dxa"/>
            <w:tcBorders/>
          </w:tcPr>
          <w:p>
            <w:pPr>
              <w:pStyle w:val="TableContents"/>
              <w:bidi w:val="0"/>
              <w:spacing w:before="0" w:after="283"/>
              <w:jc w:val="left"/>
              <w:rPr/>
            </w:pPr>
            <w:r>
              <w:rPr/>
              <w:t>100%</w:t>
            </w:r>
          </w:p>
        </w:tc>
        <w:tc>
          <w:tcPr>
            <w:tcW w:w="120"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left"/>
              <w:rPr/>
            </w:pPr>
            <w:r>
              <w:rPr/>
              <w:t>0%</w:t>
            </w:r>
          </w:p>
        </w:tc>
        <w:tc>
          <w:tcPr>
            <w:tcW w:w="119" w:type="dxa"/>
            <w:tcBorders/>
            <w:vAlign w:val="bottom"/>
          </w:tcPr>
          <w:p>
            <w:pPr>
              <w:pStyle w:val="TableContents"/>
              <w:bidi w:val="0"/>
              <w:spacing w:before="0" w:after="283"/>
              <w:jc w:val="left"/>
              <w:rPr/>
            </w:pPr>
            <w:r>
              <w:rPr/>
              <w:t>  </w:t>
            </w:r>
          </w:p>
        </w:tc>
        <w:tc>
          <w:tcPr>
            <w:tcW w:w="1144" w:type="dxa"/>
            <w:tcBorders/>
          </w:tcPr>
          <w:p>
            <w:pPr>
              <w:pStyle w:val="TableContents"/>
              <w:bidi w:val="0"/>
              <w:spacing w:before="0" w:after="283"/>
              <w:jc w:val="left"/>
              <w:rPr/>
            </w:pPr>
            <w:r>
              <w:rPr/>
              <w:t>Restricted</w:t>
            </w:r>
          </w:p>
        </w:tc>
        <w:tc>
          <w:tcPr>
            <w:tcW w:w="120" w:type="dxa"/>
            <w:tcBorders/>
            <w:vAlign w:val="bottom"/>
          </w:tcPr>
          <w:p>
            <w:pPr>
              <w:pStyle w:val="TableContents"/>
              <w:bidi w:val="0"/>
              <w:spacing w:before="0" w:after="283"/>
              <w:jc w:val="left"/>
              <w:rPr/>
            </w:pPr>
            <w:r>
              <w:rPr/>
              <w:t>  </w:t>
            </w:r>
          </w:p>
        </w:tc>
        <w:tc>
          <w:tcPr>
            <w:tcW w:w="1009" w:type="dxa"/>
            <w:tcBorders/>
          </w:tcPr>
          <w:p>
            <w:pPr>
              <w:pStyle w:val="TableContents"/>
              <w:bidi w:val="0"/>
              <w:spacing w:before="0" w:after="283"/>
              <w:jc w:val="left"/>
              <w:rPr/>
            </w:pPr>
            <w:r>
              <w:rPr/>
              <w:t>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5.15 </w:t>
      </w:r>
    </w:p>
    <w:p>
      <w:pPr>
        <w:pStyle w:val="TextBody"/>
        <w:bidi w:val="0"/>
        <w:spacing w:before="240" w:after="0"/>
        <w:jc w:val="center"/>
        <w:rPr>
          <w:rFonts w:ascii="Times New Roman" w:hAnsi="Times New Roman"/>
          <w:sz w:val="20"/>
        </w:rPr>
      </w:pPr>
      <w:r>
        <w:rPr>
          <w:rFonts w:ascii="Times New Roman" w:hAnsi="Times New Roman"/>
          <w:sz w:val="20"/>
        </w:rPr>
        <w:t xml:space="preserve">PROPERTIES; TITLE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5"/>
        <w:gridCol w:w="127"/>
        <w:gridCol w:w="1866"/>
        <w:gridCol w:w="127"/>
        <w:gridCol w:w="1171"/>
        <w:gridCol w:w="127"/>
        <w:gridCol w:w="1171"/>
        <w:gridCol w:w="127"/>
        <w:gridCol w:w="1036"/>
        <w:gridCol w:w="127"/>
        <w:gridCol w:w="1108"/>
        <w:gridCol w:w="127"/>
        <w:gridCol w:w="1526"/>
      </w:tblGrid>
      <w:tr>
        <w:trPr/>
        <w:tc>
          <w:tcPr>
            <w:tcW w:w="15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VESSEL NAME</w:t>
            </w:r>
          </w:p>
        </w:tc>
        <w:tc>
          <w:tcPr>
            <w:tcW w:w="127" w:type="dxa"/>
            <w:tcBorders/>
            <w:vAlign w:val="bottom"/>
          </w:tcPr>
          <w:p>
            <w:pPr>
              <w:pStyle w:val="TableContents"/>
              <w:bidi w:val="0"/>
              <w:spacing w:before="0" w:after="283"/>
              <w:jc w:val="left"/>
              <w:rPr/>
            </w:pPr>
            <w:r>
              <w:rPr/>
              <w:t>  </w:t>
            </w:r>
          </w:p>
        </w:tc>
        <w:tc>
          <w:tcPr>
            <w:tcW w:w="18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w:t>
            </w:r>
          </w:p>
        </w:tc>
        <w:tc>
          <w:tcPr>
            <w:tcW w:w="127" w:type="dxa"/>
            <w:tcBorders/>
            <w:vAlign w:val="bottom"/>
          </w:tcPr>
          <w:p>
            <w:pPr>
              <w:pStyle w:val="TableContents"/>
              <w:bidi w:val="0"/>
              <w:spacing w:before="0" w:after="283"/>
              <w:jc w:val="left"/>
              <w:rPr/>
            </w:pPr>
            <w:r>
              <w:rPr/>
              <w:t>  </w:t>
            </w:r>
          </w:p>
        </w:tc>
        <w:tc>
          <w:tcPr>
            <w:tcW w:w="11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OFFICIAL</w:t>
              <w:br/>
              <w:t>NUMBER</w:t>
            </w:r>
          </w:p>
        </w:tc>
        <w:tc>
          <w:tcPr>
            <w:tcW w:w="127" w:type="dxa"/>
            <w:tcBorders/>
            <w:vAlign w:val="bottom"/>
          </w:tcPr>
          <w:p>
            <w:pPr>
              <w:pStyle w:val="TableContents"/>
              <w:bidi w:val="0"/>
              <w:spacing w:before="0" w:after="283"/>
              <w:jc w:val="left"/>
              <w:rPr/>
            </w:pPr>
            <w:r>
              <w:rPr/>
              <w:t>  </w:t>
            </w:r>
          </w:p>
        </w:tc>
        <w:tc>
          <w:tcPr>
            <w:tcW w:w="11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I.M.O NO.</w:t>
            </w:r>
          </w:p>
        </w:tc>
        <w:tc>
          <w:tcPr>
            <w:tcW w:w="127" w:type="dxa"/>
            <w:tcBorders/>
            <w:vAlign w:val="bottom"/>
          </w:tcPr>
          <w:p>
            <w:pPr>
              <w:pStyle w:val="TableContents"/>
              <w:bidi w:val="0"/>
              <w:spacing w:before="0" w:after="283"/>
              <w:jc w:val="left"/>
              <w:rPr/>
            </w:pPr>
            <w:r>
              <w:rPr/>
              <w:t>  </w:t>
            </w:r>
          </w:p>
        </w:tc>
        <w:tc>
          <w:tcPr>
            <w:tcW w:w="10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FLAG</w:t>
            </w:r>
          </w:p>
        </w:tc>
        <w:tc>
          <w:tcPr>
            <w:tcW w:w="127" w:type="dxa"/>
            <w:tcBorders/>
            <w:vAlign w:val="bottom"/>
          </w:tcPr>
          <w:p>
            <w:pPr>
              <w:pStyle w:val="TableContents"/>
              <w:bidi w:val="0"/>
              <w:spacing w:before="0" w:after="283"/>
              <w:jc w:val="left"/>
              <w:rPr/>
            </w:pPr>
            <w:r>
              <w:rPr/>
              <w:t>  </w:t>
            </w:r>
          </w:p>
        </w:tc>
        <w:tc>
          <w:tcPr>
            <w:tcW w:w="11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w:t>
            </w:r>
          </w:p>
        </w:tc>
        <w:tc>
          <w:tcPr>
            <w:tcW w:w="127" w:type="dxa"/>
            <w:tcBorders/>
            <w:vAlign w:val="bottom"/>
          </w:tcPr>
          <w:p>
            <w:pPr>
              <w:pStyle w:val="TableContents"/>
              <w:bidi w:val="0"/>
              <w:spacing w:before="0" w:after="283"/>
              <w:jc w:val="left"/>
              <w:rPr/>
            </w:pPr>
            <w:r>
              <w:rPr/>
              <w:t>  </w:t>
            </w:r>
          </w:p>
        </w:tc>
        <w:tc>
          <w:tcPr>
            <w:tcW w:w="15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CLASSIFICATION</w:t>
            </w:r>
          </w:p>
        </w:tc>
      </w:tr>
      <w:tr>
        <w:trPr/>
        <w:tc>
          <w:tcPr>
            <w:tcW w:w="1565" w:type="dxa"/>
            <w:tcBorders/>
          </w:tcPr>
          <w:p>
            <w:pPr>
              <w:pStyle w:val="TableContents"/>
              <w:bidi w:val="0"/>
              <w:spacing w:before="0" w:after="283"/>
              <w:jc w:val="left"/>
              <w:rPr/>
            </w:pPr>
            <w:r>
              <w:rPr/>
              <w:t>HOS Bayou</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1244577</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9647681</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Active</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MPSV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Beignet</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1097129</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9240184</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Stacked</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Mid-Spec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Benelli</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1201702</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9382865</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Active</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High-Spec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Beretta</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1178758</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9347346</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Active</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High-Spec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Black Foot</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 xml:space="preserve">Hornbeck Offshore </w:t>
              <w:br/>
              <w:t>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1244582</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9647693</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Active</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Ultra High-Spec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Black Rock</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1244583</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9647708</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Active</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Ultra High-Spec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Black Watch</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1244581</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9647710</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Active</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Ultra High-Spec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Blackhawk</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1185543</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9382877</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Active</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High-Spec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Bluewater</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1136268</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9273480</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Stacked</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Mid-Spec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Boudin</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 xml:space="preserve">Hornbeck Offshore </w:t>
              <w:br/>
              <w:t>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1088474</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9229922</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Stacked</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Mid-Spec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Bourre</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1076184</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9216377</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Stacked</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Mid-Spec OSV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Briarwood</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1244594</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9672648</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Active</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MPSV</w:t>
            </w:r>
          </w:p>
        </w:tc>
      </w:tr>
      <w:tr>
        <w:trPr>
          <w:trHeight w:val="120" w:hRule="atLeast"/>
        </w:trPr>
        <w:tc>
          <w:tcPr>
            <w:tcW w:w="1565"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298" w:type="dxa"/>
            <w:gridSpan w:val="2"/>
            <w:tcBorders/>
            <w:vAlign w:val="center"/>
          </w:tcPr>
          <w:p>
            <w:pPr>
              <w:pStyle w:val="TableContents"/>
              <w:bidi w:val="0"/>
              <w:spacing w:before="0" w:after="283"/>
              <w:jc w:val="left"/>
              <w:rPr>
                <w:sz w:val="4"/>
                <w:szCs w:val="4"/>
              </w:rPr>
            </w:pPr>
            <w:r>
              <w:rPr>
                <w:sz w:val="4"/>
                <w:szCs w:val="4"/>
              </w:rPr>
            </w:r>
          </w:p>
        </w:tc>
        <w:tc>
          <w:tcPr>
            <w:tcW w:w="1163" w:type="dxa"/>
            <w:gridSpan w:val="2"/>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HOS Brimstone</w:t>
            </w:r>
          </w:p>
        </w:tc>
        <w:tc>
          <w:tcPr>
            <w:tcW w:w="127"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Hornbeck Offshore Services, LLC</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1124426</w:t>
            </w:r>
          </w:p>
        </w:tc>
        <w:tc>
          <w:tcPr>
            <w:tcW w:w="127" w:type="dxa"/>
            <w:tcBorders/>
            <w:vAlign w:val="bottom"/>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9271016</w:t>
            </w:r>
          </w:p>
        </w:tc>
        <w:tc>
          <w:tcPr>
            <w:tcW w:w="127" w:type="dxa"/>
            <w:tcBorders/>
            <w:vAlign w:val="bottom"/>
          </w:tcPr>
          <w:p>
            <w:pPr>
              <w:pStyle w:val="TableContents"/>
              <w:bidi w:val="0"/>
              <w:spacing w:before="0" w:after="283"/>
              <w:jc w:val="left"/>
              <w:rPr/>
            </w:pPr>
            <w:r>
              <w:rPr/>
              <w:t>  </w:t>
            </w:r>
          </w:p>
        </w:tc>
        <w:tc>
          <w:tcPr>
            <w:tcW w:w="1036" w:type="dxa"/>
            <w:tcBorders/>
          </w:tcPr>
          <w:p>
            <w:pPr>
              <w:pStyle w:val="TableContents"/>
              <w:bidi w:val="0"/>
              <w:spacing w:before="0" w:after="283"/>
              <w:jc w:val="left"/>
              <w:rPr/>
            </w:pPr>
            <w:r>
              <w:rPr/>
              <w:t>United States</w:t>
            </w:r>
          </w:p>
        </w:tc>
        <w:tc>
          <w:tcPr>
            <w:tcW w:w="127"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Active</w:t>
            </w:r>
          </w:p>
        </w:tc>
        <w:tc>
          <w:tcPr>
            <w:tcW w:w="127"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High-Spec OSV</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730"/>
        <w:gridCol w:w="120"/>
        <w:gridCol w:w="1344"/>
        <w:gridCol w:w="120"/>
        <w:gridCol w:w="1304"/>
        <w:gridCol w:w="120"/>
        <w:gridCol w:w="1304"/>
        <w:gridCol w:w="120"/>
        <w:gridCol w:w="1228"/>
        <w:gridCol w:w="120"/>
        <w:gridCol w:w="1269"/>
        <w:gridCol w:w="120"/>
        <w:gridCol w:w="1306"/>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Caledonia</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1244585</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9647629</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Captain</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1244589</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9647590</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Carolina</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1244587</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9647576</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Carousel</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1246522</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9672600</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Cayenne</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1076117</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9207182</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Stacked</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Mid-Spec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Cedar Ridge</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1246521</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9672595</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Centerline</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981472</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9040546</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Stacked</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Chicory</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1076182</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9224934</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Stacked</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Mid-Spec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Claymore</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1244588</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9647588</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Clearview</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1244579</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9647605</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Commander</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1244578</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9647564</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Coquille</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1076183</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9219848</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Stacked</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Mid-Spec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Cornerstone</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Trinidad and Tobago,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1091051</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9227065</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Stacked</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Mid-Spec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Crockett</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1244584</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9647617</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Ultra High-Spec OSV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Dominator</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 xml:space="preserve">Hornbeck Offshore </w:t>
              <w:br/>
              <w:t>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1122403</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9265811</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MPSV</w:t>
            </w:r>
          </w:p>
        </w:tc>
      </w:tr>
      <w:tr>
        <w:trPr>
          <w:trHeight w:val="120" w:hRule="atLeast"/>
        </w:trPr>
        <w:tc>
          <w:tcPr>
            <w:tcW w:w="1730" w:type="dxa"/>
            <w:tcBorders/>
            <w:vAlign w:val="center"/>
          </w:tcPr>
          <w:p>
            <w:pPr>
              <w:pStyle w:val="TableContents"/>
              <w:bidi w:val="0"/>
              <w:spacing w:before="0" w:after="283"/>
              <w:jc w:val="left"/>
              <w:rPr>
                <w:sz w:val="4"/>
                <w:szCs w:val="4"/>
              </w:rPr>
            </w:pPr>
            <w:r>
              <w:rPr>
                <w:sz w:val="4"/>
                <w:szCs w:val="4"/>
              </w:rPr>
            </w:r>
          </w:p>
        </w:tc>
        <w:tc>
          <w:tcPr>
            <w:tcW w:w="146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1348"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tcPr>
          <w:p>
            <w:pPr>
              <w:pStyle w:val="TableContents"/>
              <w:bidi w:val="0"/>
              <w:spacing w:before="0" w:after="283"/>
              <w:jc w:val="left"/>
              <w:rPr/>
            </w:pPr>
            <w:r>
              <w:rPr/>
              <w:t>HOS Gemstone</w:t>
            </w:r>
          </w:p>
        </w:tc>
        <w:tc>
          <w:tcPr>
            <w:tcW w:w="120" w:type="dxa"/>
            <w:tcBorders/>
            <w:vAlign w:val="bottom"/>
          </w:tcPr>
          <w:p>
            <w:pPr>
              <w:pStyle w:val="TableContents"/>
              <w:bidi w:val="0"/>
              <w:spacing w:before="0" w:after="283"/>
              <w:jc w:val="left"/>
              <w:rPr/>
            </w:pPr>
            <w:r>
              <w:rPr/>
              <w:t>  </w:t>
            </w:r>
          </w:p>
        </w:tc>
        <w:tc>
          <w:tcPr>
            <w:tcW w:w="1344" w:type="dxa"/>
            <w:tcBorders/>
          </w:tcPr>
          <w:p>
            <w:pPr>
              <w:pStyle w:val="TableContents"/>
              <w:bidi w:val="0"/>
              <w:spacing w:before="0" w:after="283"/>
              <w:jc w:val="left"/>
              <w:rPr/>
            </w:pPr>
            <w:r>
              <w:rPr/>
              <w:t xml:space="preserve">Hornbeck Offshore </w:t>
              <w:br/>
              <w:t>Services, LLC</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1141952</w:t>
            </w:r>
          </w:p>
        </w:tc>
        <w:tc>
          <w:tcPr>
            <w:tcW w:w="120"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9270995</w:t>
            </w:r>
          </w:p>
        </w:tc>
        <w:tc>
          <w:tcPr>
            <w:tcW w:w="120" w:type="dxa"/>
            <w:tcBorders/>
            <w:vAlign w:val="bottom"/>
          </w:tcPr>
          <w:p>
            <w:pPr>
              <w:pStyle w:val="TableContents"/>
              <w:bidi w:val="0"/>
              <w:spacing w:before="0" w:after="283"/>
              <w:jc w:val="left"/>
              <w:rPr/>
            </w:pPr>
            <w:r>
              <w:rPr/>
              <w:t>  </w:t>
            </w:r>
          </w:p>
        </w:tc>
        <w:tc>
          <w:tcPr>
            <w:tcW w:w="1228"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Stacked</w:t>
            </w:r>
          </w:p>
        </w:tc>
        <w:tc>
          <w:tcPr>
            <w:tcW w:w="120" w:type="dxa"/>
            <w:tcBorders/>
            <w:vAlign w:val="bottom"/>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Mid-Spec OSV</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57"/>
        <w:gridCol w:w="120"/>
        <w:gridCol w:w="1334"/>
        <w:gridCol w:w="120"/>
        <w:gridCol w:w="1293"/>
        <w:gridCol w:w="120"/>
        <w:gridCol w:w="1293"/>
        <w:gridCol w:w="120"/>
        <w:gridCol w:w="1216"/>
        <w:gridCol w:w="120"/>
        <w:gridCol w:w="1392"/>
        <w:gridCol w:w="120"/>
        <w:gridCol w:w="1300"/>
      </w:tblGrid>
      <w:tr>
        <w:trPr/>
        <w:tc>
          <w:tcPr>
            <w:tcW w:w="16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Greystone</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 xml:space="preserve">Hornbeck Offshore </w:t>
              <w:br/>
              <w:t>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1144440</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9271004</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Stacked</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Mid-Spec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Innovator</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 xml:space="preserve">Hornbeck Offshore </w:t>
              <w:br/>
              <w:t>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1108573</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9251808</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MPSV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Mauser</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 xml:space="preserve">Hornbeck Offshore </w:t>
              <w:br/>
              <w:t>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1211932</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9515852</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High-Spec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Maverick</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 xml:space="preserve">Hornbeck Offshore </w:t>
              <w:br/>
              <w:t>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1190785</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9385257</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High-Spec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Mossberg</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 xml:space="preserve">Hornbeck Offshore </w:t>
              <w:br/>
              <w:t>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1227085</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9530034</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High-Spec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Mystique</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1205143</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9472323</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MPSV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Panther</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1218372</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9529683</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High-Spec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Pinnacle</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1205149</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9472385</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Stacked</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Mid-Spec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Polestar</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1205152</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9472414</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Stacked</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Mid-Spec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Red Dawn</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1244590</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9647643</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Ultra High-Spec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Red Rock</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1244591</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9647655</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Ultra High-Spec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Resolution</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1205144</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9472335</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MPSV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Riverbend</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1244595</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9647679</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MPSV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Rosebud</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1323239</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9645619</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High-Spec OSV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Rosehill</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1323240</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9645621</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C/SOV Conversion</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MPSV</w:t>
            </w:r>
          </w:p>
        </w:tc>
      </w:tr>
      <w:tr>
        <w:trPr>
          <w:trHeight w:val="120" w:hRule="atLeast"/>
        </w:trPr>
        <w:tc>
          <w:tcPr>
            <w:tcW w:w="1657" w:type="dxa"/>
            <w:tcBorders/>
            <w:vAlign w:val="center"/>
          </w:tcPr>
          <w:p>
            <w:pPr>
              <w:pStyle w:val="TableContents"/>
              <w:bidi w:val="0"/>
              <w:spacing w:before="0" w:after="283"/>
              <w:jc w:val="left"/>
              <w:rPr>
                <w:sz w:val="4"/>
                <w:szCs w:val="4"/>
              </w:rPr>
            </w:pPr>
            <w:r>
              <w:rPr>
                <w:sz w:val="4"/>
                <w:szCs w:val="4"/>
              </w:rPr>
            </w:r>
          </w:p>
        </w:tc>
        <w:tc>
          <w:tcPr>
            <w:tcW w:w="1454"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413" w:type="dxa"/>
            <w:gridSpan w:val="2"/>
            <w:tcBorders/>
            <w:vAlign w:val="center"/>
          </w:tcPr>
          <w:p>
            <w:pPr>
              <w:pStyle w:val="TableContents"/>
              <w:bidi w:val="0"/>
              <w:spacing w:before="0" w:after="283"/>
              <w:jc w:val="left"/>
              <w:rPr>
                <w:sz w:val="4"/>
                <w:szCs w:val="4"/>
              </w:rPr>
            </w:pPr>
            <w:r>
              <w:rPr>
                <w:sz w:val="4"/>
                <w:szCs w:val="4"/>
              </w:rPr>
            </w:r>
          </w:p>
        </w:tc>
        <w:tc>
          <w:tcPr>
            <w:tcW w:w="1336" w:type="dxa"/>
            <w:gridSpan w:val="2"/>
            <w:tcBorders/>
            <w:vAlign w:val="center"/>
          </w:tcPr>
          <w:p>
            <w:pPr>
              <w:pStyle w:val="TableContents"/>
              <w:bidi w:val="0"/>
              <w:spacing w:before="0" w:after="283"/>
              <w:jc w:val="left"/>
              <w:rPr>
                <w:sz w:val="4"/>
                <w:szCs w:val="4"/>
              </w:rPr>
            </w:pPr>
            <w:r>
              <w:rPr>
                <w:sz w:val="4"/>
                <w:szCs w:val="4"/>
              </w:rPr>
            </w:r>
          </w:p>
        </w:tc>
        <w:tc>
          <w:tcPr>
            <w:tcW w:w="151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pPr>
            <w:r>
              <w:rPr/>
              <w:t>HOS Ruger</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1193951</w:t>
            </w:r>
          </w:p>
        </w:tc>
        <w:tc>
          <w:tcPr>
            <w:tcW w:w="120" w:type="dxa"/>
            <w:tcBorders/>
            <w:vAlign w:val="bottom"/>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9385269</w:t>
            </w:r>
          </w:p>
        </w:tc>
        <w:tc>
          <w:tcPr>
            <w:tcW w:w="12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283"/>
              <w:jc w:val="left"/>
              <w:rPr/>
            </w:pPr>
            <w:r>
              <w:rPr/>
              <w:t>Active</w:t>
            </w:r>
          </w:p>
        </w:tc>
        <w:tc>
          <w:tcPr>
            <w:tcW w:w="12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left"/>
              <w:rPr/>
            </w:pPr>
            <w:r>
              <w:rPr/>
              <w:t>High-Spec OSV</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91"/>
        <w:gridCol w:w="120"/>
        <w:gridCol w:w="1350"/>
        <w:gridCol w:w="120"/>
        <w:gridCol w:w="1310"/>
        <w:gridCol w:w="120"/>
        <w:gridCol w:w="1310"/>
        <w:gridCol w:w="120"/>
        <w:gridCol w:w="1236"/>
        <w:gridCol w:w="120"/>
        <w:gridCol w:w="1276"/>
        <w:gridCol w:w="119"/>
        <w:gridCol w:w="1313"/>
      </w:tblGrid>
      <w:tr>
        <w:trPr/>
        <w:tc>
          <w:tcPr>
            <w:tcW w:w="16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Running Buck</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1323242</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9645633</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Active</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High-Spec OSV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Sandstorm</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1124424</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9246865</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Stacked</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High-Spec OSV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Silverstar</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1144439</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9273478</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Stacked</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Mid-Spec OSV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Springfield</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1169676</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9347322</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Active</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High-Spec OSV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Stormridge</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1124421</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9246877</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Stacked</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High-Spec OSV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Strongline</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988333</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9040534</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Active</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Ultra High-Spec OSV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Warland</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1253611</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9742704</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Active</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MPSV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Weatherby</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1210979</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9515840</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Active</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High-Spec OSV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Wildwing</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1205151</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9472402</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Stacked</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Mid-Spec OSV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Windancer</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1205150</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9472397</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Stacked</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Mid-Spec OSV</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396" w:type="dxa"/>
            <w:gridSpan w:val="2"/>
            <w:tcBorders/>
            <w:vAlign w:val="center"/>
          </w:tcPr>
          <w:p>
            <w:pPr>
              <w:pStyle w:val="TableContents"/>
              <w:bidi w:val="0"/>
              <w:spacing w:before="0" w:after="283"/>
              <w:jc w:val="left"/>
              <w:rPr>
                <w:sz w:val="4"/>
                <w:szCs w:val="4"/>
              </w:rPr>
            </w:pPr>
            <w:r>
              <w:rPr>
                <w:sz w:val="4"/>
                <w:szCs w:val="4"/>
              </w:rPr>
            </w:r>
          </w:p>
        </w:tc>
        <w:tc>
          <w:tcPr>
            <w:tcW w:w="1432"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HOS Woodland</w:t>
            </w:r>
          </w:p>
        </w:tc>
        <w:tc>
          <w:tcPr>
            <w:tcW w:w="120" w:type="dxa"/>
            <w:tcBorders/>
            <w:vAlign w:val="bottom"/>
          </w:tcPr>
          <w:p>
            <w:pPr>
              <w:pStyle w:val="TableContents"/>
              <w:bidi w:val="0"/>
              <w:spacing w:before="0" w:after="283"/>
              <w:jc w:val="left"/>
              <w:rPr/>
            </w:pPr>
            <w:r>
              <w:rPr/>
              <w:t>  </w:t>
            </w:r>
          </w:p>
        </w:tc>
        <w:tc>
          <w:tcPr>
            <w:tcW w:w="1350" w:type="dxa"/>
            <w:tcBorders/>
          </w:tcPr>
          <w:p>
            <w:pPr>
              <w:pStyle w:val="TableContents"/>
              <w:bidi w:val="0"/>
              <w:spacing w:before="0" w:after="283"/>
              <w:jc w:val="left"/>
              <w:rPr/>
            </w:pPr>
            <w:r>
              <w:rPr/>
              <w:t>Hornbeck Offshore Services, LLC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1253612</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9742716</w:t>
            </w:r>
          </w:p>
        </w:tc>
        <w:tc>
          <w:tcPr>
            <w:tcW w:w="120"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pPr>
            <w:r>
              <w:rPr/>
              <w:t>Active</w:t>
            </w:r>
          </w:p>
        </w:tc>
        <w:tc>
          <w:tcPr>
            <w:tcW w:w="119"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pPr>
            <w:r>
              <w:rPr/>
              <w:t>MPSV</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5.20 </w:t>
      </w:r>
    </w:p>
    <w:p>
      <w:pPr>
        <w:pStyle w:val="TextBody"/>
        <w:bidi w:val="0"/>
        <w:spacing w:before="240" w:after="0"/>
        <w:jc w:val="center"/>
        <w:rPr>
          <w:rFonts w:ascii="Times New Roman" w:hAnsi="Times New Roman"/>
          <w:sz w:val="20"/>
        </w:rPr>
      </w:pPr>
      <w:r>
        <w:rPr>
          <w:rFonts w:ascii="Times New Roman" w:hAnsi="Times New Roman"/>
          <w:sz w:val="20"/>
        </w:rPr>
        <w:t xml:space="preserve">CLOSING DATE JONES ACT VESSELS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50"/>
        <w:gridCol w:w="150"/>
        <w:gridCol w:w="60"/>
        <w:gridCol w:w="883"/>
        <w:gridCol w:w="62"/>
      </w:tblGrid>
      <w:tr>
        <w:trPr/>
        <w:tc>
          <w:tcPr>
            <w:tcW w:w="905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Vessel Name</w:t>
            </w:r>
          </w:p>
        </w:tc>
        <w:tc>
          <w:tcPr>
            <w:tcW w:w="150"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Official</w:t>
              <w:br/>
              <w:t>No.</w:t>
            </w:r>
          </w:p>
        </w:tc>
        <w:tc>
          <w:tcPr>
            <w:tcW w:w="62" w:type="dxa"/>
            <w:tcBorders/>
            <w:vAlign w:val="bottom"/>
          </w:tcPr>
          <w:p>
            <w:pPr>
              <w:pStyle w:val="TableContents"/>
              <w:bidi w:val="0"/>
              <w:spacing w:before="0" w:after="283"/>
              <w:jc w:val="left"/>
              <w:rPr/>
            </w:pPr>
            <w:r>
              <w:rPr/>
              <w:t> </w:t>
            </w:r>
          </w:p>
        </w:tc>
      </w:tr>
      <w:tr>
        <w:trPr/>
        <w:tc>
          <w:tcPr>
            <w:tcW w:w="10143" w:type="dxa"/>
            <w:gridSpan w:val="4"/>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Hornbeck Offshore Services, LLC</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Vessels</w:t>
            </w:r>
          </w:p>
        </w:tc>
        <w:tc>
          <w:tcPr>
            <w:tcW w:w="62" w:type="dxa"/>
            <w:tcBorders/>
            <w:vAlign w:val="bottom"/>
          </w:tcPr>
          <w:p>
            <w:pPr>
              <w:pStyle w:val="TableContents"/>
              <w:bidi w:val="0"/>
              <w:spacing w:before="0" w:after="283"/>
              <w:jc w:val="left"/>
              <w:rPr/>
            </w:pPr>
            <w:r>
              <w:rPr/>
              <w:t> </w:t>
            </w:r>
          </w:p>
        </w:tc>
      </w:tr>
      <w:tr>
        <w:trPr/>
        <w:tc>
          <w:tcPr>
            <w:tcW w:w="9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Bayou</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1244577</w:t>
            </w:r>
          </w:p>
        </w:tc>
        <w:tc>
          <w:tcPr>
            <w:tcW w:w="62" w:type="dxa"/>
            <w:tcBorders/>
            <w:shd w:fill="CCEEFF" w:val="clear"/>
            <w:vAlign w:val="bottom"/>
          </w:tcPr>
          <w:p>
            <w:pPr>
              <w:pStyle w:val="TableContents"/>
              <w:bidi w:val="0"/>
              <w:spacing w:before="0" w:after="283"/>
              <w:jc w:val="left"/>
              <w:rPr/>
            </w:pPr>
            <w:r>
              <w:rPr/>
              <w:t> </w:t>
            </w:r>
          </w:p>
        </w:tc>
      </w:tr>
      <w:tr>
        <w:trPr/>
        <w:tc>
          <w:tcPr>
            <w:tcW w:w="9050" w:type="dxa"/>
            <w:tcBorders/>
          </w:tcPr>
          <w:p>
            <w:pPr>
              <w:pStyle w:val="TableContents"/>
              <w:bidi w:val="0"/>
              <w:spacing w:before="0" w:after="0"/>
              <w:jc w:val="left"/>
              <w:rPr>
                <w:rFonts w:ascii="Times New Roman" w:hAnsi="Times New Roman"/>
                <w:sz w:val="20"/>
              </w:rPr>
            </w:pPr>
            <w:r>
              <w:rPr>
                <w:rFonts w:ascii="Times New Roman" w:hAnsi="Times New Roman"/>
                <w:sz w:val="20"/>
              </w:rPr>
              <w:t>HOS Beignet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1097129</w:t>
            </w:r>
          </w:p>
        </w:tc>
        <w:tc>
          <w:tcPr>
            <w:tcW w:w="62" w:type="dxa"/>
            <w:tcBorders/>
            <w:vAlign w:val="bottom"/>
          </w:tcPr>
          <w:p>
            <w:pPr>
              <w:pStyle w:val="TableContents"/>
              <w:bidi w:val="0"/>
              <w:spacing w:before="0" w:after="283"/>
              <w:jc w:val="left"/>
              <w:rPr/>
            </w:pPr>
            <w:r>
              <w:rPr/>
              <w:t> </w:t>
            </w:r>
          </w:p>
        </w:tc>
      </w:tr>
      <w:tr>
        <w:trPr/>
        <w:tc>
          <w:tcPr>
            <w:tcW w:w="9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Benelli</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1201702</w:t>
            </w:r>
          </w:p>
        </w:tc>
        <w:tc>
          <w:tcPr>
            <w:tcW w:w="62" w:type="dxa"/>
            <w:tcBorders/>
            <w:shd w:fill="CCEEFF" w:val="clear"/>
            <w:vAlign w:val="bottom"/>
          </w:tcPr>
          <w:p>
            <w:pPr>
              <w:pStyle w:val="TableContents"/>
              <w:bidi w:val="0"/>
              <w:spacing w:before="0" w:after="283"/>
              <w:jc w:val="left"/>
              <w:rPr/>
            </w:pPr>
            <w:r>
              <w:rPr/>
              <w:t> </w:t>
            </w:r>
          </w:p>
        </w:tc>
      </w:tr>
      <w:tr>
        <w:trPr/>
        <w:tc>
          <w:tcPr>
            <w:tcW w:w="9050" w:type="dxa"/>
            <w:tcBorders/>
          </w:tcPr>
          <w:p>
            <w:pPr>
              <w:pStyle w:val="TableContents"/>
              <w:bidi w:val="0"/>
              <w:spacing w:before="0" w:after="0"/>
              <w:jc w:val="left"/>
              <w:rPr>
                <w:rFonts w:ascii="Times New Roman" w:hAnsi="Times New Roman"/>
                <w:sz w:val="20"/>
              </w:rPr>
            </w:pPr>
            <w:r>
              <w:rPr>
                <w:rFonts w:ascii="Times New Roman" w:hAnsi="Times New Roman"/>
                <w:sz w:val="20"/>
              </w:rPr>
              <w:t>HOS Beretta</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1178758</w:t>
            </w:r>
          </w:p>
        </w:tc>
        <w:tc>
          <w:tcPr>
            <w:tcW w:w="62" w:type="dxa"/>
            <w:tcBorders/>
            <w:vAlign w:val="bottom"/>
          </w:tcPr>
          <w:p>
            <w:pPr>
              <w:pStyle w:val="TableContents"/>
              <w:bidi w:val="0"/>
              <w:spacing w:before="0" w:after="283"/>
              <w:jc w:val="left"/>
              <w:rPr/>
            </w:pPr>
            <w:r>
              <w:rPr/>
              <w:t> </w:t>
            </w:r>
          </w:p>
        </w:tc>
      </w:tr>
      <w:tr>
        <w:trPr/>
        <w:tc>
          <w:tcPr>
            <w:tcW w:w="9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Black Foot</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1244582</w:t>
            </w:r>
          </w:p>
        </w:tc>
        <w:tc>
          <w:tcPr>
            <w:tcW w:w="62" w:type="dxa"/>
            <w:tcBorders/>
            <w:shd w:fill="CCEEFF" w:val="clear"/>
            <w:vAlign w:val="bottom"/>
          </w:tcPr>
          <w:p>
            <w:pPr>
              <w:pStyle w:val="TableContents"/>
              <w:bidi w:val="0"/>
              <w:spacing w:before="0" w:after="283"/>
              <w:jc w:val="left"/>
              <w:rPr/>
            </w:pPr>
            <w:r>
              <w:rPr/>
              <w:t> </w:t>
            </w:r>
          </w:p>
        </w:tc>
      </w:tr>
      <w:tr>
        <w:trPr/>
        <w:tc>
          <w:tcPr>
            <w:tcW w:w="9050" w:type="dxa"/>
            <w:tcBorders/>
          </w:tcPr>
          <w:p>
            <w:pPr>
              <w:pStyle w:val="TableContents"/>
              <w:bidi w:val="0"/>
              <w:spacing w:before="0" w:after="0"/>
              <w:jc w:val="left"/>
              <w:rPr>
                <w:rFonts w:ascii="Times New Roman" w:hAnsi="Times New Roman"/>
                <w:sz w:val="20"/>
              </w:rPr>
            </w:pPr>
            <w:r>
              <w:rPr>
                <w:rFonts w:ascii="Times New Roman" w:hAnsi="Times New Roman"/>
                <w:sz w:val="20"/>
              </w:rPr>
              <w:t>HOS Black Rock</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1244583</w:t>
            </w:r>
          </w:p>
        </w:tc>
        <w:tc>
          <w:tcPr>
            <w:tcW w:w="62" w:type="dxa"/>
            <w:tcBorders/>
            <w:vAlign w:val="bottom"/>
          </w:tcPr>
          <w:p>
            <w:pPr>
              <w:pStyle w:val="TableContents"/>
              <w:bidi w:val="0"/>
              <w:spacing w:before="0" w:after="283"/>
              <w:jc w:val="left"/>
              <w:rPr/>
            </w:pPr>
            <w:r>
              <w:rPr/>
              <w:t> </w:t>
            </w:r>
          </w:p>
        </w:tc>
      </w:tr>
      <w:tr>
        <w:trPr/>
        <w:tc>
          <w:tcPr>
            <w:tcW w:w="9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Black Watch</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1244581</w:t>
            </w:r>
          </w:p>
        </w:tc>
        <w:tc>
          <w:tcPr>
            <w:tcW w:w="62" w:type="dxa"/>
            <w:tcBorders/>
            <w:shd w:fill="CCEEFF" w:val="clear"/>
            <w:vAlign w:val="bottom"/>
          </w:tcPr>
          <w:p>
            <w:pPr>
              <w:pStyle w:val="TableContents"/>
              <w:bidi w:val="0"/>
              <w:spacing w:before="0" w:after="283"/>
              <w:jc w:val="left"/>
              <w:rPr/>
            </w:pPr>
            <w:r>
              <w:rPr/>
              <w:t> </w:t>
            </w:r>
          </w:p>
        </w:tc>
      </w:tr>
      <w:tr>
        <w:trPr/>
        <w:tc>
          <w:tcPr>
            <w:tcW w:w="9050" w:type="dxa"/>
            <w:tcBorders/>
          </w:tcPr>
          <w:p>
            <w:pPr>
              <w:pStyle w:val="TableContents"/>
              <w:bidi w:val="0"/>
              <w:spacing w:before="0" w:after="0"/>
              <w:jc w:val="left"/>
              <w:rPr>
                <w:rFonts w:ascii="Times New Roman" w:hAnsi="Times New Roman"/>
                <w:sz w:val="20"/>
              </w:rPr>
            </w:pPr>
            <w:r>
              <w:rPr>
                <w:rFonts w:ascii="Times New Roman" w:hAnsi="Times New Roman"/>
                <w:sz w:val="20"/>
              </w:rPr>
              <w:t>HOS Blackhawk</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1185543</w:t>
            </w:r>
          </w:p>
        </w:tc>
        <w:tc>
          <w:tcPr>
            <w:tcW w:w="62" w:type="dxa"/>
            <w:tcBorders/>
            <w:vAlign w:val="bottom"/>
          </w:tcPr>
          <w:p>
            <w:pPr>
              <w:pStyle w:val="TableContents"/>
              <w:bidi w:val="0"/>
              <w:spacing w:before="0" w:after="283"/>
              <w:jc w:val="left"/>
              <w:rPr/>
            </w:pPr>
            <w:r>
              <w:rPr/>
              <w:t> </w:t>
            </w:r>
          </w:p>
        </w:tc>
      </w:tr>
      <w:tr>
        <w:trPr/>
        <w:tc>
          <w:tcPr>
            <w:tcW w:w="9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Bluewater</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1136268</w:t>
            </w:r>
          </w:p>
        </w:tc>
        <w:tc>
          <w:tcPr>
            <w:tcW w:w="62" w:type="dxa"/>
            <w:tcBorders/>
            <w:shd w:fill="CCEEFF" w:val="clear"/>
            <w:vAlign w:val="bottom"/>
          </w:tcPr>
          <w:p>
            <w:pPr>
              <w:pStyle w:val="TableContents"/>
              <w:bidi w:val="0"/>
              <w:spacing w:before="0" w:after="283"/>
              <w:jc w:val="left"/>
              <w:rPr/>
            </w:pPr>
            <w:r>
              <w:rPr/>
              <w:t> </w:t>
            </w:r>
          </w:p>
        </w:tc>
      </w:tr>
      <w:tr>
        <w:trPr/>
        <w:tc>
          <w:tcPr>
            <w:tcW w:w="9050" w:type="dxa"/>
            <w:tcBorders/>
          </w:tcPr>
          <w:p>
            <w:pPr>
              <w:pStyle w:val="TableContents"/>
              <w:bidi w:val="0"/>
              <w:spacing w:before="0" w:after="0"/>
              <w:jc w:val="left"/>
              <w:rPr>
                <w:rFonts w:ascii="Times New Roman" w:hAnsi="Times New Roman"/>
                <w:sz w:val="20"/>
              </w:rPr>
            </w:pPr>
            <w:r>
              <w:rPr>
                <w:rFonts w:ascii="Times New Roman" w:hAnsi="Times New Roman"/>
                <w:sz w:val="20"/>
              </w:rPr>
              <w:t>HOS Boudin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1088474</w:t>
            </w:r>
          </w:p>
        </w:tc>
        <w:tc>
          <w:tcPr>
            <w:tcW w:w="62" w:type="dxa"/>
            <w:tcBorders/>
            <w:vAlign w:val="bottom"/>
          </w:tcPr>
          <w:p>
            <w:pPr>
              <w:pStyle w:val="TableContents"/>
              <w:bidi w:val="0"/>
              <w:spacing w:before="0" w:after="283"/>
              <w:jc w:val="left"/>
              <w:rPr/>
            </w:pPr>
            <w:r>
              <w:rPr/>
              <w:t> </w:t>
            </w:r>
          </w:p>
        </w:tc>
      </w:tr>
      <w:tr>
        <w:trPr/>
        <w:tc>
          <w:tcPr>
            <w:tcW w:w="9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Bourre</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1076184</w:t>
            </w:r>
          </w:p>
        </w:tc>
        <w:tc>
          <w:tcPr>
            <w:tcW w:w="62" w:type="dxa"/>
            <w:tcBorders/>
            <w:shd w:fill="CCEEFF" w:val="clear"/>
            <w:vAlign w:val="bottom"/>
          </w:tcPr>
          <w:p>
            <w:pPr>
              <w:pStyle w:val="TableContents"/>
              <w:bidi w:val="0"/>
              <w:spacing w:before="0" w:after="283"/>
              <w:jc w:val="left"/>
              <w:rPr/>
            </w:pPr>
            <w:r>
              <w:rPr/>
              <w:t> </w:t>
            </w:r>
          </w:p>
        </w:tc>
      </w:tr>
      <w:tr>
        <w:trPr/>
        <w:tc>
          <w:tcPr>
            <w:tcW w:w="9050" w:type="dxa"/>
            <w:tcBorders/>
          </w:tcPr>
          <w:p>
            <w:pPr>
              <w:pStyle w:val="TableContents"/>
              <w:bidi w:val="0"/>
              <w:spacing w:before="0" w:after="0"/>
              <w:jc w:val="left"/>
              <w:rPr>
                <w:rFonts w:ascii="Times New Roman" w:hAnsi="Times New Roman"/>
                <w:sz w:val="20"/>
              </w:rPr>
            </w:pPr>
            <w:r>
              <w:rPr>
                <w:rFonts w:ascii="Times New Roman" w:hAnsi="Times New Roman"/>
                <w:sz w:val="20"/>
              </w:rPr>
              <w:t>HOS Briarwood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1244594</w:t>
            </w:r>
          </w:p>
        </w:tc>
        <w:tc>
          <w:tcPr>
            <w:tcW w:w="62" w:type="dxa"/>
            <w:tcBorders/>
            <w:vAlign w:val="bottom"/>
          </w:tcPr>
          <w:p>
            <w:pPr>
              <w:pStyle w:val="TableContents"/>
              <w:bidi w:val="0"/>
              <w:spacing w:before="0" w:after="283"/>
              <w:jc w:val="left"/>
              <w:rPr/>
            </w:pPr>
            <w:r>
              <w:rPr/>
              <w:t> </w:t>
            </w:r>
          </w:p>
        </w:tc>
      </w:tr>
      <w:tr>
        <w:trPr/>
        <w:tc>
          <w:tcPr>
            <w:tcW w:w="9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Brimstone</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1124426</w:t>
            </w:r>
          </w:p>
        </w:tc>
        <w:tc>
          <w:tcPr>
            <w:tcW w:w="62" w:type="dxa"/>
            <w:tcBorders/>
            <w:shd w:fill="CCEEFF" w:val="clear"/>
            <w:vAlign w:val="bottom"/>
          </w:tcPr>
          <w:p>
            <w:pPr>
              <w:pStyle w:val="TableContents"/>
              <w:bidi w:val="0"/>
              <w:spacing w:before="0" w:after="283"/>
              <w:jc w:val="left"/>
              <w:rPr/>
            </w:pPr>
            <w:r>
              <w:rPr/>
              <w:t> </w:t>
            </w:r>
          </w:p>
        </w:tc>
      </w:tr>
      <w:tr>
        <w:trPr/>
        <w:tc>
          <w:tcPr>
            <w:tcW w:w="9050" w:type="dxa"/>
            <w:tcBorders/>
          </w:tcPr>
          <w:p>
            <w:pPr>
              <w:pStyle w:val="TableContents"/>
              <w:bidi w:val="0"/>
              <w:spacing w:before="0" w:after="0"/>
              <w:jc w:val="left"/>
              <w:rPr>
                <w:rFonts w:ascii="Times New Roman" w:hAnsi="Times New Roman"/>
                <w:sz w:val="20"/>
              </w:rPr>
            </w:pPr>
            <w:r>
              <w:rPr>
                <w:rFonts w:ascii="Times New Roman" w:hAnsi="Times New Roman"/>
                <w:sz w:val="20"/>
              </w:rPr>
              <w:t>HOS Caledonia</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1244585</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065"/>
        <w:gridCol w:w="148"/>
        <w:gridCol w:w="60"/>
        <w:gridCol w:w="869"/>
        <w:gridCol w:w="63"/>
      </w:tblGrid>
      <w:tr>
        <w:trPr/>
        <w:tc>
          <w:tcPr>
            <w:tcW w:w="906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Captain</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1244589</w:t>
            </w:r>
          </w:p>
        </w:tc>
        <w:tc>
          <w:tcPr>
            <w:tcW w:w="63" w:type="dxa"/>
            <w:tcBorders/>
            <w:shd w:fill="CCEEFF" w:val="clear"/>
            <w:vAlign w:val="bottom"/>
          </w:tcPr>
          <w:p>
            <w:pPr>
              <w:pStyle w:val="TableContents"/>
              <w:bidi w:val="0"/>
              <w:spacing w:before="0" w:after="283"/>
              <w:jc w:val="left"/>
              <w:rPr/>
            </w:pPr>
            <w:r>
              <w:rPr/>
              <w:t> </w:t>
            </w:r>
          </w:p>
        </w:tc>
      </w:tr>
      <w:tr>
        <w:trPr/>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HOS Carolina</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1244587</w:t>
            </w:r>
          </w:p>
        </w:tc>
        <w:tc>
          <w:tcPr>
            <w:tcW w:w="63" w:type="dxa"/>
            <w:tcBorders/>
            <w:vAlign w:val="bottom"/>
          </w:tcPr>
          <w:p>
            <w:pPr>
              <w:pStyle w:val="TableContents"/>
              <w:bidi w:val="0"/>
              <w:spacing w:before="0" w:after="283"/>
              <w:jc w:val="left"/>
              <w:rPr/>
            </w:pPr>
            <w:r>
              <w:rPr/>
              <w:t> </w:t>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Carousel</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1246522</w:t>
            </w:r>
          </w:p>
        </w:tc>
        <w:tc>
          <w:tcPr>
            <w:tcW w:w="63" w:type="dxa"/>
            <w:tcBorders/>
            <w:shd w:fill="CCEEFF" w:val="clear"/>
            <w:vAlign w:val="bottom"/>
          </w:tcPr>
          <w:p>
            <w:pPr>
              <w:pStyle w:val="TableContents"/>
              <w:bidi w:val="0"/>
              <w:spacing w:before="0" w:after="283"/>
              <w:jc w:val="left"/>
              <w:rPr/>
            </w:pPr>
            <w:r>
              <w:rPr/>
              <w:t> </w:t>
            </w:r>
          </w:p>
        </w:tc>
      </w:tr>
      <w:tr>
        <w:trPr/>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HOS Cayenne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1076117</w:t>
            </w:r>
          </w:p>
        </w:tc>
        <w:tc>
          <w:tcPr>
            <w:tcW w:w="63" w:type="dxa"/>
            <w:tcBorders/>
            <w:vAlign w:val="bottom"/>
          </w:tcPr>
          <w:p>
            <w:pPr>
              <w:pStyle w:val="TableContents"/>
              <w:bidi w:val="0"/>
              <w:spacing w:before="0" w:after="283"/>
              <w:jc w:val="left"/>
              <w:rPr/>
            </w:pPr>
            <w:r>
              <w:rPr/>
              <w:t> </w:t>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Cedar Ridge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1246521</w:t>
            </w:r>
          </w:p>
        </w:tc>
        <w:tc>
          <w:tcPr>
            <w:tcW w:w="63" w:type="dxa"/>
            <w:tcBorders/>
            <w:shd w:fill="CCEEFF" w:val="clear"/>
            <w:vAlign w:val="bottom"/>
          </w:tcPr>
          <w:p>
            <w:pPr>
              <w:pStyle w:val="TableContents"/>
              <w:bidi w:val="0"/>
              <w:spacing w:before="0" w:after="283"/>
              <w:jc w:val="left"/>
              <w:rPr/>
            </w:pPr>
            <w:r>
              <w:rPr/>
              <w:t> </w:t>
            </w:r>
          </w:p>
        </w:tc>
      </w:tr>
      <w:tr>
        <w:trPr/>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HOS Centerline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981472</w:t>
            </w:r>
          </w:p>
        </w:tc>
        <w:tc>
          <w:tcPr>
            <w:tcW w:w="63" w:type="dxa"/>
            <w:tcBorders/>
            <w:vAlign w:val="bottom"/>
          </w:tcPr>
          <w:p>
            <w:pPr>
              <w:pStyle w:val="TableContents"/>
              <w:bidi w:val="0"/>
              <w:spacing w:before="0" w:after="283"/>
              <w:jc w:val="left"/>
              <w:rPr/>
            </w:pPr>
            <w:r>
              <w:rPr/>
              <w:t> </w:t>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Chicory</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1076182</w:t>
            </w:r>
          </w:p>
        </w:tc>
        <w:tc>
          <w:tcPr>
            <w:tcW w:w="63" w:type="dxa"/>
            <w:tcBorders/>
            <w:shd w:fill="CCEEFF" w:val="clear"/>
            <w:vAlign w:val="bottom"/>
          </w:tcPr>
          <w:p>
            <w:pPr>
              <w:pStyle w:val="TableContents"/>
              <w:bidi w:val="0"/>
              <w:spacing w:before="0" w:after="283"/>
              <w:jc w:val="left"/>
              <w:rPr/>
            </w:pPr>
            <w:r>
              <w:rPr/>
              <w:t> </w:t>
            </w:r>
          </w:p>
        </w:tc>
      </w:tr>
      <w:tr>
        <w:trPr/>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HOS Claymore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1244588</w:t>
            </w:r>
          </w:p>
        </w:tc>
        <w:tc>
          <w:tcPr>
            <w:tcW w:w="63" w:type="dxa"/>
            <w:tcBorders/>
            <w:vAlign w:val="bottom"/>
          </w:tcPr>
          <w:p>
            <w:pPr>
              <w:pStyle w:val="TableContents"/>
              <w:bidi w:val="0"/>
              <w:spacing w:before="0" w:after="283"/>
              <w:jc w:val="left"/>
              <w:rPr/>
            </w:pPr>
            <w:r>
              <w:rPr/>
              <w:t> </w:t>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Clearview</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1244579</w:t>
            </w:r>
          </w:p>
        </w:tc>
        <w:tc>
          <w:tcPr>
            <w:tcW w:w="63" w:type="dxa"/>
            <w:tcBorders/>
            <w:shd w:fill="CCEEFF" w:val="clear"/>
            <w:vAlign w:val="bottom"/>
          </w:tcPr>
          <w:p>
            <w:pPr>
              <w:pStyle w:val="TableContents"/>
              <w:bidi w:val="0"/>
              <w:spacing w:before="0" w:after="283"/>
              <w:jc w:val="left"/>
              <w:rPr/>
            </w:pPr>
            <w:r>
              <w:rPr/>
              <w:t> </w:t>
            </w:r>
          </w:p>
        </w:tc>
      </w:tr>
      <w:tr>
        <w:trPr/>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HOS Commander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1244578</w:t>
            </w:r>
          </w:p>
        </w:tc>
        <w:tc>
          <w:tcPr>
            <w:tcW w:w="63" w:type="dxa"/>
            <w:tcBorders/>
            <w:vAlign w:val="bottom"/>
          </w:tcPr>
          <w:p>
            <w:pPr>
              <w:pStyle w:val="TableContents"/>
              <w:bidi w:val="0"/>
              <w:spacing w:before="0" w:after="283"/>
              <w:jc w:val="left"/>
              <w:rPr/>
            </w:pPr>
            <w:r>
              <w:rPr/>
              <w:t> </w:t>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Coquille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1076183</w:t>
            </w:r>
          </w:p>
        </w:tc>
        <w:tc>
          <w:tcPr>
            <w:tcW w:w="63" w:type="dxa"/>
            <w:tcBorders/>
            <w:shd w:fill="CCEEFF" w:val="clear"/>
            <w:vAlign w:val="bottom"/>
          </w:tcPr>
          <w:p>
            <w:pPr>
              <w:pStyle w:val="TableContents"/>
              <w:bidi w:val="0"/>
              <w:spacing w:before="0" w:after="283"/>
              <w:jc w:val="left"/>
              <w:rPr/>
            </w:pPr>
            <w:r>
              <w:rPr/>
              <w:t> </w:t>
            </w:r>
          </w:p>
        </w:tc>
      </w:tr>
      <w:tr>
        <w:trPr/>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HOS Crockett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1244584</w:t>
            </w:r>
          </w:p>
        </w:tc>
        <w:tc>
          <w:tcPr>
            <w:tcW w:w="63" w:type="dxa"/>
            <w:tcBorders/>
            <w:vAlign w:val="bottom"/>
          </w:tcPr>
          <w:p>
            <w:pPr>
              <w:pStyle w:val="TableContents"/>
              <w:bidi w:val="0"/>
              <w:spacing w:before="0" w:after="283"/>
              <w:jc w:val="left"/>
              <w:rPr/>
            </w:pPr>
            <w:r>
              <w:rPr/>
              <w:t> </w:t>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Dominator</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1122403</w:t>
            </w:r>
          </w:p>
        </w:tc>
        <w:tc>
          <w:tcPr>
            <w:tcW w:w="63" w:type="dxa"/>
            <w:tcBorders/>
            <w:shd w:fill="CCEEFF" w:val="clear"/>
            <w:vAlign w:val="bottom"/>
          </w:tcPr>
          <w:p>
            <w:pPr>
              <w:pStyle w:val="TableContents"/>
              <w:bidi w:val="0"/>
              <w:spacing w:before="0" w:after="283"/>
              <w:jc w:val="left"/>
              <w:rPr/>
            </w:pPr>
            <w:r>
              <w:rPr/>
              <w:t> </w:t>
            </w:r>
          </w:p>
        </w:tc>
      </w:tr>
      <w:tr>
        <w:trPr/>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HOS Gemstone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1141952</w:t>
            </w:r>
          </w:p>
        </w:tc>
        <w:tc>
          <w:tcPr>
            <w:tcW w:w="63" w:type="dxa"/>
            <w:tcBorders/>
            <w:vAlign w:val="bottom"/>
          </w:tcPr>
          <w:p>
            <w:pPr>
              <w:pStyle w:val="TableContents"/>
              <w:bidi w:val="0"/>
              <w:spacing w:before="0" w:after="283"/>
              <w:jc w:val="left"/>
              <w:rPr/>
            </w:pPr>
            <w:r>
              <w:rPr/>
              <w:t> </w:t>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Greystone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1144440</w:t>
            </w:r>
          </w:p>
        </w:tc>
        <w:tc>
          <w:tcPr>
            <w:tcW w:w="63" w:type="dxa"/>
            <w:tcBorders/>
            <w:shd w:fill="CCEEFF" w:val="clear"/>
            <w:vAlign w:val="bottom"/>
          </w:tcPr>
          <w:p>
            <w:pPr>
              <w:pStyle w:val="TableContents"/>
              <w:bidi w:val="0"/>
              <w:spacing w:before="0" w:after="283"/>
              <w:jc w:val="left"/>
              <w:rPr/>
            </w:pPr>
            <w:r>
              <w:rPr/>
              <w:t> </w:t>
            </w:r>
          </w:p>
        </w:tc>
      </w:tr>
      <w:tr>
        <w:trPr/>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HOS Innovator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1108573</w:t>
            </w:r>
          </w:p>
        </w:tc>
        <w:tc>
          <w:tcPr>
            <w:tcW w:w="63" w:type="dxa"/>
            <w:tcBorders/>
            <w:vAlign w:val="bottom"/>
          </w:tcPr>
          <w:p>
            <w:pPr>
              <w:pStyle w:val="TableContents"/>
              <w:bidi w:val="0"/>
              <w:spacing w:before="0" w:after="283"/>
              <w:jc w:val="left"/>
              <w:rPr/>
            </w:pPr>
            <w:r>
              <w:rPr/>
              <w:t> </w:t>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Mauser</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1211932</w:t>
            </w:r>
          </w:p>
        </w:tc>
        <w:tc>
          <w:tcPr>
            <w:tcW w:w="63" w:type="dxa"/>
            <w:tcBorders/>
            <w:shd w:fill="CCEEFF" w:val="clear"/>
            <w:vAlign w:val="bottom"/>
          </w:tcPr>
          <w:p>
            <w:pPr>
              <w:pStyle w:val="TableContents"/>
              <w:bidi w:val="0"/>
              <w:spacing w:before="0" w:after="283"/>
              <w:jc w:val="left"/>
              <w:rPr/>
            </w:pPr>
            <w:r>
              <w:rPr/>
              <w:t> </w:t>
            </w:r>
          </w:p>
        </w:tc>
      </w:tr>
      <w:tr>
        <w:trPr/>
        <w:tc>
          <w:tcPr>
            <w:tcW w:w="9065" w:type="dxa"/>
            <w:tcBorders/>
          </w:tcPr>
          <w:p>
            <w:pPr>
              <w:pStyle w:val="TableContents"/>
              <w:bidi w:val="0"/>
              <w:spacing w:before="0" w:after="0"/>
              <w:jc w:val="left"/>
              <w:rPr>
                <w:rFonts w:ascii="Times New Roman" w:hAnsi="Times New Roman"/>
                <w:sz w:val="20"/>
              </w:rPr>
            </w:pPr>
            <w:r>
              <w:rPr>
                <w:rFonts w:ascii="Times New Roman" w:hAnsi="Times New Roman"/>
                <w:sz w:val="20"/>
              </w:rPr>
              <w:t>HOS Mossberg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1227085</w:t>
            </w:r>
          </w:p>
        </w:tc>
        <w:tc>
          <w:tcPr>
            <w:tcW w:w="63" w:type="dxa"/>
            <w:tcBorders/>
            <w:vAlign w:val="bottom"/>
          </w:tcPr>
          <w:p>
            <w:pPr>
              <w:pStyle w:val="TableContents"/>
              <w:bidi w:val="0"/>
              <w:spacing w:before="0" w:after="283"/>
              <w:jc w:val="left"/>
              <w:rPr/>
            </w:pPr>
            <w:r>
              <w:rPr/>
              <w:t> </w:t>
            </w:r>
          </w:p>
        </w:tc>
      </w:tr>
      <w:tr>
        <w:trPr/>
        <w:tc>
          <w:tcPr>
            <w:tcW w:w="90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Mystique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1205143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039"/>
        <w:gridCol w:w="152"/>
        <w:gridCol w:w="60"/>
        <w:gridCol w:w="892"/>
        <w:gridCol w:w="62"/>
      </w:tblGrid>
      <w:tr>
        <w:trPr/>
        <w:tc>
          <w:tcPr>
            <w:tcW w:w="903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Panther</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1218372</w:t>
            </w:r>
          </w:p>
        </w:tc>
        <w:tc>
          <w:tcPr>
            <w:tcW w:w="62" w:type="dxa"/>
            <w:tcBorders/>
            <w:shd w:fill="CCEEFF" w:val="clear"/>
            <w:vAlign w:val="bottom"/>
          </w:tcPr>
          <w:p>
            <w:pPr>
              <w:pStyle w:val="TableContents"/>
              <w:bidi w:val="0"/>
              <w:spacing w:before="0" w:after="283"/>
              <w:jc w:val="left"/>
              <w:rPr/>
            </w:pPr>
            <w:r>
              <w:rPr/>
              <w:t> </w:t>
            </w:r>
          </w:p>
        </w:tc>
      </w:tr>
      <w:tr>
        <w:trPr/>
        <w:tc>
          <w:tcPr>
            <w:tcW w:w="9039" w:type="dxa"/>
            <w:tcBorders/>
          </w:tcPr>
          <w:p>
            <w:pPr>
              <w:pStyle w:val="TableContents"/>
              <w:bidi w:val="0"/>
              <w:spacing w:before="0" w:after="0"/>
              <w:jc w:val="left"/>
              <w:rPr>
                <w:rFonts w:ascii="Times New Roman" w:hAnsi="Times New Roman"/>
                <w:sz w:val="20"/>
              </w:rPr>
            </w:pPr>
            <w:r>
              <w:rPr>
                <w:rFonts w:ascii="Times New Roman" w:hAnsi="Times New Roman"/>
                <w:sz w:val="20"/>
              </w:rPr>
              <w:t>HOS Pinnacle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1205149</w:t>
            </w:r>
          </w:p>
        </w:tc>
        <w:tc>
          <w:tcPr>
            <w:tcW w:w="62" w:type="dxa"/>
            <w:tcBorders/>
            <w:vAlign w:val="bottom"/>
          </w:tcPr>
          <w:p>
            <w:pPr>
              <w:pStyle w:val="TableContents"/>
              <w:bidi w:val="0"/>
              <w:spacing w:before="0" w:after="283"/>
              <w:jc w:val="left"/>
              <w:rPr/>
            </w:pPr>
            <w:r>
              <w:rPr/>
              <w:t> </w:t>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Polestar</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1205152</w:t>
            </w:r>
          </w:p>
        </w:tc>
        <w:tc>
          <w:tcPr>
            <w:tcW w:w="62" w:type="dxa"/>
            <w:tcBorders/>
            <w:shd w:fill="CCEEFF" w:val="clear"/>
            <w:vAlign w:val="bottom"/>
          </w:tcPr>
          <w:p>
            <w:pPr>
              <w:pStyle w:val="TableContents"/>
              <w:bidi w:val="0"/>
              <w:spacing w:before="0" w:after="283"/>
              <w:jc w:val="left"/>
              <w:rPr/>
            </w:pPr>
            <w:r>
              <w:rPr/>
              <w:t> </w:t>
            </w:r>
          </w:p>
        </w:tc>
      </w:tr>
      <w:tr>
        <w:trPr/>
        <w:tc>
          <w:tcPr>
            <w:tcW w:w="9039" w:type="dxa"/>
            <w:tcBorders/>
          </w:tcPr>
          <w:p>
            <w:pPr>
              <w:pStyle w:val="TableContents"/>
              <w:bidi w:val="0"/>
              <w:spacing w:before="0" w:after="0"/>
              <w:jc w:val="left"/>
              <w:rPr>
                <w:rFonts w:ascii="Times New Roman" w:hAnsi="Times New Roman"/>
                <w:sz w:val="20"/>
              </w:rPr>
            </w:pPr>
            <w:r>
              <w:rPr>
                <w:rFonts w:ascii="Times New Roman" w:hAnsi="Times New Roman"/>
                <w:sz w:val="20"/>
              </w:rPr>
              <w:t>HOS Red Dawn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1244590</w:t>
            </w:r>
          </w:p>
        </w:tc>
        <w:tc>
          <w:tcPr>
            <w:tcW w:w="62" w:type="dxa"/>
            <w:tcBorders/>
            <w:vAlign w:val="bottom"/>
          </w:tcPr>
          <w:p>
            <w:pPr>
              <w:pStyle w:val="TableContents"/>
              <w:bidi w:val="0"/>
              <w:spacing w:before="0" w:after="283"/>
              <w:jc w:val="left"/>
              <w:rPr/>
            </w:pPr>
            <w:r>
              <w:rPr/>
              <w:t> </w:t>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Red Rock</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1244591</w:t>
            </w:r>
          </w:p>
        </w:tc>
        <w:tc>
          <w:tcPr>
            <w:tcW w:w="62" w:type="dxa"/>
            <w:tcBorders/>
            <w:shd w:fill="CCEEFF" w:val="clear"/>
            <w:vAlign w:val="bottom"/>
          </w:tcPr>
          <w:p>
            <w:pPr>
              <w:pStyle w:val="TableContents"/>
              <w:bidi w:val="0"/>
              <w:spacing w:before="0" w:after="283"/>
              <w:jc w:val="left"/>
              <w:rPr/>
            </w:pPr>
            <w:r>
              <w:rPr/>
              <w:t> </w:t>
            </w:r>
          </w:p>
        </w:tc>
      </w:tr>
      <w:tr>
        <w:trPr/>
        <w:tc>
          <w:tcPr>
            <w:tcW w:w="9039" w:type="dxa"/>
            <w:tcBorders/>
          </w:tcPr>
          <w:p>
            <w:pPr>
              <w:pStyle w:val="TableContents"/>
              <w:bidi w:val="0"/>
              <w:spacing w:before="0" w:after="0"/>
              <w:jc w:val="left"/>
              <w:rPr>
                <w:rFonts w:ascii="Times New Roman" w:hAnsi="Times New Roman"/>
                <w:sz w:val="20"/>
              </w:rPr>
            </w:pPr>
            <w:r>
              <w:rPr>
                <w:rFonts w:ascii="Times New Roman" w:hAnsi="Times New Roman"/>
                <w:sz w:val="20"/>
              </w:rPr>
              <w:t>HOS Resolution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1205144</w:t>
            </w:r>
          </w:p>
        </w:tc>
        <w:tc>
          <w:tcPr>
            <w:tcW w:w="62" w:type="dxa"/>
            <w:tcBorders/>
            <w:vAlign w:val="bottom"/>
          </w:tcPr>
          <w:p>
            <w:pPr>
              <w:pStyle w:val="TableContents"/>
              <w:bidi w:val="0"/>
              <w:spacing w:before="0" w:after="283"/>
              <w:jc w:val="left"/>
              <w:rPr/>
            </w:pPr>
            <w:r>
              <w:rPr/>
              <w:t> </w:t>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Riverbend</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1244595</w:t>
            </w:r>
          </w:p>
        </w:tc>
        <w:tc>
          <w:tcPr>
            <w:tcW w:w="62" w:type="dxa"/>
            <w:tcBorders/>
            <w:shd w:fill="CCEEFF" w:val="clear"/>
            <w:vAlign w:val="bottom"/>
          </w:tcPr>
          <w:p>
            <w:pPr>
              <w:pStyle w:val="TableContents"/>
              <w:bidi w:val="0"/>
              <w:spacing w:before="0" w:after="283"/>
              <w:jc w:val="left"/>
              <w:rPr/>
            </w:pPr>
            <w:r>
              <w:rPr/>
              <w:t> </w:t>
            </w:r>
          </w:p>
        </w:tc>
      </w:tr>
      <w:tr>
        <w:trPr/>
        <w:tc>
          <w:tcPr>
            <w:tcW w:w="9039" w:type="dxa"/>
            <w:tcBorders/>
          </w:tcPr>
          <w:p>
            <w:pPr>
              <w:pStyle w:val="TableContents"/>
              <w:bidi w:val="0"/>
              <w:spacing w:before="0" w:after="0"/>
              <w:jc w:val="left"/>
              <w:rPr>
                <w:rFonts w:ascii="Times New Roman" w:hAnsi="Times New Roman"/>
                <w:sz w:val="20"/>
              </w:rPr>
            </w:pPr>
            <w:r>
              <w:rPr>
                <w:rFonts w:ascii="Times New Roman" w:hAnsi="Times New Roman"/>
                <w:sz w:val="20"/>
              </w:rPr>
              <w:t>HOS Sandstorm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1124424</w:t>
            </w:r>
          </w:p>
        </w:tc>
        <w:tc>
          <w:tcPr>
            <w:tcW w:w="62" w:type="dxa"/>
            <w:tcBorders/>
            <w:vAlign w:val="bottom"/>
          </w:tcPr>
          <w:p>
            <w:pPr>
              <w:pStyle w:val="TableContents"/>
              <w:bidi w:val="0"/>
              <w:spacing w:before="0" w:after="283"/>
              <w:jc w:val="left"/>
              <w:rPr/>
            </w:pPr>
            <w:r>
              <w:rPr/>
              <w:t> </w:t>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Silverstar</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1144439</w:t>
            </w:r>
          </w:p>
        </w:tc>
        <w:tc>
          <w:tcPr>
            <w:tcW w:w="62" w:type="dxa"/>
            <w:tcBorders/>
            <w:shd w:fill="CCEEFF" w:val="clear"/>
            <w:vAlign w:val="bottom"/>
          </w:tcPr>
          <w:p>
            <w:pPr>
              <w:pStyle w:val="TableContents"/>
              <w:bidi w:val="0"/>
              <w:spacing w:before="0" w:after="283"/>
              <w:jc w:val="left"/>
              <w:rPr/>
            </w:pPr>
            <w:r>
              <w:rPr/>
              <w:t> </w:t>
            </w:r>
          </w:p>
        </w:tc>
      </w:tr>
      <w:tr>
        <w:trPr/>
        <w:tc>
          <w:tcPr>
            <w:tcW w:w="9039" w:type="dxa"/>
            <w:tcBorders/>
          </w:tcPr>
          <w:p>
            <w:pPr>
              <w:pStyle w:val="TableContents"/>
              <w:bidi w:val="0"/>
              <w:spacing w:before="0" w:after="0"/>
              <w:jc w:val="left"/>
              <w:rPr>
                <w:rFonts w:ascii="Times New Roman" w:hAnsi="Times New Roman"/>
                <w:sz w:val="20"/>
              </w:rPr>
            </w:pPr>
            <w:r>
              <w:rPr>
                <w:rFonts w:ascii="Times New Roman" w:hAnsi="Times New Roman"/>
                <w:sz w:val="20"/>
              </w:rPr>
              <w:t>HOS Springfield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1169676</w:t>
            </w:r>
          </w:p>
        </w:tc>
        <w:tc>
          <w:tcPr>
            <w:tcW w:w="62" w:type="dxa"/>
            <w:tcBorders/>
            <w:vAlign w:val="bottom"/>
          </w:tcPr>
          <w:p>
            <w:pPr>
              <w:pStyle w:val="TableContents"/>
              <w:bidi w:val="0"/>
              <w:spacing w:before="0" w:after="283"/>
              <w:jc w:val="left"/>
              <w:rPr/>
            </w:pPr>
            <w:r>
              <w:rPr/>
              <w:t> </w:t>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Stormridge</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1124421</w:t>
            </w:r>
          </w:p>
        </w:tc>
        <w:tc>
          <w:tcPr>
            <w:tcW w:w="62" w:type="dxa"/>
            <w:tcBorders/>
            <w:shd w:fill="CCEEFF" w:val="clear"/>
            <w:vAlign w:val="bottom"/>
          </w:tcPr>
          <w:p>
            <w:pPr>
              <w:pStyle w:val="TableContents"/>
              <w:bidi w:val="0"/>
              <w:spacing w:before="0" w:after="283"/>
              <w:jc w:val="left"/>
              <w:rPr/>
            </w:pPr>
            <w:r>
              <w:rPr/>
              <w:t> </w:t>
            </w:r>
          </w:p>
        </w:tc>
      </w:tr>
      <w:tr>
        <w:trPr/>
        <w:tc>
          <w:tcPr>
            <w:tcW w:w="9039" w:type="dxa"/>
            <w:tcBorders/>
          </w:tcPr>
          <w:p>
            <w:pPr>
              <w:pStyle w:val="TableContents"/>
              <w:bidi w:val="0"/>
              <w:spacing w:before="0" w:after="0"/>
              <w:jc w:val="left"/>
              <w:rPr>
                <w:rFonts w:ascii="Times New Roman" w:hAnsi="Times New Roman"/>
                <w:sz w:val="20"/>
              </w:rPr>
            </w:pPr>
            <w:r>
              <w:rPr>
                <w:rFonts w:ascii="Times New Roman" w:hAnsi="Times New Roman"/>
                <w:sz w:val="20"/>
              </w:rPr>
              <w:t>HOS Strongline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988333</w:t>
            </w:r>
          </w:p>
        </w:tc>
        <w:tc>
          <w:tcPr>
            <w:tcW w:w="62" w:type="dxa"/>
            <w:tcBorders/>
            <w:vAlign w:val="bottom"/>
          </w:tcPr>
          <w:p>
            <w:pPr>
              <w:pStyle w:val="TableContents"/>
              <w:bidi w:val="0"/>
              <w:spacing w:before="0" w:after="283"/>
              <w:jc w:val="left"/>
              <w:rPr/>
            </w:pPr>
            <w:r>
              <w:rPr/>
              <w:t> </w:t>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Warland</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1253611</w:t>
            </w:r>
          </w:p>
        </w:tc>
        <w:tc>
          <w:tcPr>
            <w:tcW w:w="62" w:type="dxa"/>
            <w:tcBorders/>
            <w:shd w:fill="CCEEFF" w:val="clear"/>
            <w:vAlign w:val="bottom"/>
          </w:tcPr>
          <w:p>
            <w:pPr>
              <w:pStyle w:val="TableContents"/>
              <w:bidi w:val="0"/>
              <w:spacing w:before="0" w:after="283"/>
              <w:jc w:val="left"/>
              <w:rPr/>
            </w:pPr>
            <w:r>
              <w:rPr/>
              <w:t> </w:t>
            </w:r>
          </w:p>
        </w:tc>
      </w:tr>
      <w:tr>
        <w:trPr/>
        <w:tc>
          <w:tcPr>
            <w:tcW w:w="9039" w:type="dxa"/>
            <w:tcBorders/>
          </w:tcPr>
          <w:p>
            <w:pPr>
              <w:pStyle w:val="TableContents"/>
              <w:bidi w:val="0"/>
              <w:spacing w:before="0" w:after="0"/>
              <w:jc w:val="left"/>
              <w:rPr>
                <w:rFonts w:ascii="Times New Roman" w:hAnsi="Times New Roman"/>
                <w:sz w:val="20"/>
              </w:rPr>
            </w:pPr>
            <w:r>
              <w:rPr>
                <w:rFonts w:ascii="Times New Roman" w:hAnsi="Times New Roman"/>
                <w:sz w:val="20"/>
              </w:rPr>
              <w:t>HOS Weatherby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1210979</w:t>
            </w:r>
          </w:p>
        </w:tc>
        <w:tc>
          <w:tcPr>
            <w:tcW w:w="62" w:type="dxa"/>
            <w:tcBorders/>
            <w:vAlign w:val="bottom"/>
          </w:tcPr>
          <w:p>
            <w:pPr>
              <w:pStyle w:val="TableContents"/>
              <w:bidi w:val="0"/>
              <w:spacing w:before="0" w:after="283"/>
              <w:jc w:val="left"/>
              <w:rPr/>
            </w:pPr>
            <w:r>
              <w:rPr/>
              <w:t> </w:t>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Wildwing</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1205151</w:t>
            </w:r>
          </w:p>
        </w:tc>
        <w:tc>
          <w:tcPr>
            <w:tcW w:w="62" w:type="dxa"/>
            <w:tcBorders/>
            <w:shd w:fill="CCEEFF" w:val="clear"/>
            <w:vAlign w:val="bottom"/>
          </w:tcPr>
          <w:p>
            <w:pPr>
              <w:pStyle w:val="TableContents"/>
              <w:bidi w:val="0"/>
              <w:spacing w:before="0" w:after="283"/>
              <w:jc w:val="left"/>
              <w:rPr/>
            </w:pPr>
            <w:r>
              <w:rPr/>
              <w:t> </w:t>
            </w:r>
          </w:p>
        </w:tc>
      </w:tr>
      <w:tr>
        <w:trPr/>
        <w:tc>
          <w:tcPr>
            <w:tcW w:w="9039" w:type="dxa"/>
            <w:tcBorders/>
          </w:tcPr>
          <w:p>
            <w:pPr>
              <w:pStyle w:val="TableContents"/>
              <w:bidi w:val="0"/>
              <w:spacing w:before="0" w:after="0"/>
              <w:jc w:val="left"/>
              <w:rPr>
                <w:rFonts w:ascii="Times New Roman" w:hAnsi="Times New Roman"/>
                <w:sz w:val="20"/>
              </w:rPr>
            </w:pPr>
            <w:r>
              <w:rPr>
                <w:rFonts w:ascii="Times New Roman" w:hAnsi="Times New Roman"/>
                <w:sz w:val="20"/>
              </w:rPr>
              <w:t>HOS Windancer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1205150</w:t>
            </w:r>
          </w:p>
        </w:tc>
        <w:tc>
          <w:tcPr>
            <w:tcW w:w="62" w:type="dxa"/>
            <w:tcBorders/>
            <w:vAlign w:val="bottom"/>
          </w:tcPr>
          <w:p>
            <w:pPr>
              <w:pStyle w:val="TableContents"/>
              <w:bidi w:val="0"/>
              <w:spacing w:before="0" w:after="283"/>
              <w:jc w:val="left"/>
              <w:rPr/>
            </w:pPr>
            <w:r>
              <w:rPr/>
              <w:t> </w:t>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Woodland</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1253612</w:t>
            </w:r>
          </w:p>
        </w:tc>
        <w:tc>
          <w:tcPr>
            <w:tcW w:w="62" w:type="dxa"/>
            <w:tcBorders/>
            <w:shd w:fill="CCEEFF" w:val="clear"/>
            <w:vAlign w:val="bottom"/>
          </w:tcPr>
          <w:p>
            <w:pPr>
              <w:pStyle w:val="TableContents"/>
              <w:bidi w:val="0"/>
              <w:spacing w:before="0" w:after="283"/>
              <w:jc w:val="left"/>
              <w:rPr/>
            </w:pPr>
            <w:r>
              <w:rPr/>
              <w:t> </w:t>
            </w:r>
          </w:p>
        </w:tc>
      </w:tr>
      <w:tr>
        <w:trPr/>
        <w:tc>
          <w:tcPr>
            <w:tcW w:w="9039" w:type="dxa"/>
            <w:tcBorders/>
          </w:tcPr>
          <w:p>
            <w:pPr>
              <w:pStyle w:val="TableContents"/>
              <w:bidi w:val="0"/>
              <w:spacing w:before="0" w:after="0"/>
              <w:jc w:val="left"/>
              <w:rPr>
                <w:rFonts w:ascii="Times New Roman" w:hAnsi="Times New Roman"/>
                <w:sz w:val="20"/>
              </w:rPr>
            </w:pPr>
            <w:r>
              <w:rPr>
                <w:rFonts w:ascii="Times New Roman" w:hAnsi="Times New Roman"/>
                <w:sz w:val="20"/>
              </w:rPr>
              <w:t>HOS Rosebud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1323239</w:t>
            </w:r>
          </w:p>
        </w:tc>
        <w:tc>
          <w:tcPr>
            <w:tcW w:w="62" w:type="dxa"/>
            <w:tcBorders/>
            <w:vAlign w:val="bottom"/>
          </w:tcPr>
          <w:p>
            <w:pPr>
              <w:pStyle w:val="TableContents"/>
              <w:bidi w:val="0"/>
              <w:spacing w:before="0" w:after="283"/>
              <w:jc w:val="left"/>
              <w:rPr/>
            </w:pPr>
            <w:r>
              <w:rPr/>
              <w:t> </w:t>
            </w:r>
          </w:p>
        </w:tc>
      </w:tr>
      <w:tr>
        <w:trPr/>
        <w:tc>
          <w:tcPr>
            <w:tcW w:w="9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Rosehill</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1323240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70"/>
        <w:gridCol w:w="224"/>
        <w:gridCol w:w="100"/>
        <w:gridCol w:w="1448"/>
        <w:gridCol w:w="63"/>
      </w:tblGrid>
      <w:tr>
        <w:trPr/>
        <w:tc>
          <w:tcPr>
            <w:tcW w:w="837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Running Buck</w:t>
            </w:r>
          </w:p>
        </w:tc>
        <w:tc>
          <w:tcPr>
            <w:tcW w:w="22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1323242</w:t>
            </w:r>
          </w:p>
        </w:tc>
        <w:tc>
          <w:tcPr>
            <w:tcW w:w="63" w:type="dxa"/>
            <w:tcBorders/>
            <w:shd w:fill="CCEEFF" w:val="clear"/>
            <w:vAlign w:val="bottom"/>
          </w:tcPr>
          <w:p>
            <w:pPr>
              <w:pStyle w:val="TableContents"/>
              <w:bidi w:val="0"/>
              <w:spacing w:before="0" w:after="283"/>
              <w:jc w:val="left"/>
              <w:rPr/>
            </w:pPr>
            <w:r>
              <w:rPr/>
              <w:t> </w:t>
            </w:r>
          </w:p>
        </w:tc>
      </w:tr>
      <w:tr>
        <w:trPr/>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HOS Maverick</w:t>
            </w:r>
          </w:p>
        </w:tc>
        <w:tc>
          <w:tcPr>
            <w:tcW w:w="22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1190785</w:t>
            </w:r>
          </w:p>
        </w:tc>
        <w:tc>
          <w:tcPr>
            <w:tcW w:w="63" w:type="dxa"/>
            <w:tcBorders/>
            <w:vAlign w:val="bottom"/>
          </w:tcPr>
          <w:p>
            <w:pPr>
              <w:pStyle w:val="TableContents"/>
              <w:bidi w:val="0"/>
              <w:spacing w:before="0" w:after="283"/>
              <w:jc w:val="left"/>
              <w:rPr/>
            </w:pPr>
            <w:r>
              <w:rPr/>
              <w:t> </w:t>
            </w:r>
          </w:p>
        </w:tc>
      </w:tr>
      <w:tr>
        <w:trPr/>
        <w:tc>
          <w:tcPr>
            <w:tcW w:w="8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Ruger</w:t>
            </w:r>
          </w:p>
        </w:tc>
        <w:tc>
          <w:tcPr>
            <w:tcW w:w="22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1193951</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4"/>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Hornbeck Offshore Trinidad and Tobago, LLC</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Vessel</w:t>
            </w:r>
          </w:p>
        </w:tc>
        <w:tc>
          <w:tcPr>
            <w:tcW w:w="63" w:type="dxa"/>
            <w:tcBorders/>
            <w:vAlign w:val="bottom"/>
          </w:tcPr>
          <w:p>
            <w:pPr>
              <w:pStyle w:val="TableContents"/>
              <w:bidi w:val="0"/>
              <w:spacing w:before="0" w:after="283"/>
              <w:jc w:val="left"/>
              <w:rPr/>
            </w:pPr>
            <w:r>
              <w:rPr/>
              <w:t> </w:t>
            </w:r>
          </w:p>
        </w:tc>
      </w:tr>
      <w:tr>
        <w:trPr/>
        <w:tc>
          <w:tcPr>
            <w:tcW w:w="8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 Cornerstone</w:t>
            </w:r>
          </w:p>
        </w:tc>
        <w:tc>
          <w:tcPr>
            <w:tcW w:w="22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1091051</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6.07 </w:t>
      </w:r>
    </w:p>
    <w:p>
      <w:pPr>
        <w:pStyle w:val="TextBody"/>
        <w:bidi w:val="0"/>
        <w:spacing w:before="240" w:after="0"/>
        <w:jc w:val="center"/>
        <w:rPr>
          <w:rFonts w:ascii="Times New Roman" w:hAnsi="Times New Roman"/>
          <w:sz w:val="20"/>
        </w:rPr>
      </w:pPr>
      <w:r>
        <w:rPr>
          <w:rFonts w:ascii="Times New Roman" w:hAnsi="Times New Roman"/>
          <w:sz w:val="20"/>
        </w:rPr>
        <w:t xml:space="preserve">MATERIAL INSURANCE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6.15 </w:t>
      </w:r>
    </w:p>
    <w:p>
      <w:pPr>
        <w:pStyle w:val="TextBody"/>
        <w:bidi w:val="0"/>
        <w:spacing w:before="240" w:after="0"/>
        <w:jc w:val="center"/>
        <w:rPr>
          <w:rFonts w:ascii="Times New Roman" w:hAnsi="Times New Roman"/>
          <w:sz w:val="20"/>
        </w:rPr>
      </w:pPr>
      <w:r>
        <w:rPr>
          <w:rFonts w:ascii="Times New Roman" w:hAnsi="Times New Roman"/>
          <w:sz w:val="20"/>
        </w:rPr>
        <w:t xml:space="preserve">POST-CLOSING MATTERS </w:t>
      </w:r>
    </w:p>
    <w:p>
      <w:pPr>
        <w:pStyle w:val="TextBody"/>
        <w:bidi w:val="0"/>
        <w:spacing w:before="240" w:after="0"/>
        <w:jc w:val="left"/>
        <w:rPr>
          <w:rFonts w:ascii="Times New Roman" w:hAnsi="Times New Roman"/>
          <w:sz w:val="20"/>
        </w:rPr>
      </w:pPr>
      <w:r>
        <w:rPr>
          <w:rFonts w:ascii="Times New Roman" w:hAnsi="Times New Roman"/>
          <w:sz w:val="20"/>
        </w:rPr>
        <w:t xml:space="preserve">(a) As soon as possible, but in any event within ten (10) Business Days following the Closing Date, the Borrower shall deliver a revised Schedule 6.07 to the Agreement that (i) reflects an increase in the amount of Mortgagee’s Interest and Mortgagee’s Interest Additional Perils coverage from $349,001,386 to $530,000,000, (ii) updates the reference to the “Second” Priority Mortgage in this section to “First” Priority Mortgage and (iii) updates the reference to “Wilmington Trust, National Association” in this section to “Wilmington Trust, National Association, not in its individual capacity but solely in its capacity as Collateral Trustee and Mortgagee”. Such revised Schedule 6.07 may be substituted for Schedule 6.07 attached to the Agreement as of the Closing Date upon the written consent of the Borrower and the Administrative Agent to such substitution, without the need for the Borrower and the Administrative Agent to enter into a separate amendment to the Agreement. </w:t>
      </w:r>
    </w:p>
    <w:p>
      <w:pPr>
        <w:pStyle w:val="TextBody"/>
        <w:bidi w:val="0"/>
        <w:spacing w:before="120" w:after="0"/>
        <w:jc w:val="left"/>
        <w:rPr>
          <w:rFonts w:ascii="Times New Roman" w:hAnsi="Times New Roman"/>
          <w:sz w:val="20"/>
        </w:rPr>
      </w:pPr>
      <w:r>
        <w:rPr>
          <w:rFonts w:ascii="Times New Roman" w:hAnsi="Times New Roman"/>
          <w:sz w:val="20"/>
        </w:rPr>
        <w:t xml:space="preserve">(b) As soon as available, but in any event within ten (10) Business Days following the Closing Date, the Borrower shall deliver (or cause to be delivered) to the Administrative Agent, a certification from a Responsible Officer of the Borrower that each Vessel constituting Vessel Collateral (other than any Stacked Vessels, which may instead be insured under port risk insurance reasonably acceptable to the Administrative Agent in lieu of the insurance required by Section 6.19(j) of the Agreement so long as such Vessels are Stacked Vessels) is insured in accordance with the requirements of Section 6.19(j) and the other Loan Documents, with the relevant loss payee endorsements required under the Collateral Agreement. </w:t>
      </w:r>
    </w:p>
    <w:p>
      <w:pPr>
        <w:pStyle w:val="TextBody"/>
        <w:bidi w:val="0"/>
        <w:spacing w:before="120" w:after="0"/>
        <w:jc w:val="left"/>
        <w:rPr>
          <w:rFonts w:ascii="Times New Roman" w:hAnsi="Times New Roman"/>
          <w:sz w:val="20"/>
        </w:rPr>
      </w:pPr>
      <w:r>
        <w:rPr>
          <w:rFonts w:ascii="Times New Roman" w:hAnsi="Times New Roman"/>
          <w:sz w:val="20"/>
        </w:rPr>
        <w:t xml:space="preserve">(c) As soon as available, but in any event within ten (10) Business Days following the Closing Date, the Borrower shall deliver (or cause to be delivered) to the Administrative Agent, a report from a firm of independent marine insurance consultant in respect of the insurances on the Vessel Collateral, in form and substance reasonably satisfactory to the Administrative Agent, with the cost of such report to be reimbursed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(d) As soon as available, but in any event within forty-five (45) days following the Closing Date, the applicable Loan Parties shall deliver (or cause to be delivered) to the Administrative Agent such Control Agreements with respect to each Closing Date Deposit Account (as defined in the Collateral Agreement) as are required to comply with Section 6.11(c)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shall cause all Liens referred to on Schedule 7.01(c) to the Agreement to be terminated of record within thirty (30) days following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shall, or shall cause a Guarantor to, accept title and take delivery of the 2024 Newbuild Vessels upon the completion thereof in substantial compliance with the applicable Construction Contract and the Borrower or such Guarantor, as applicable, shall subject each such 2024 Newbuild Vessel to a Vessel Mortgage.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6.19(j) </w:t>
      </w:r>
    </w:p>
    <w:p>
      <w:pPr>
        <w:pStyle w:val="TextBody"/>
        <w:bidi w:val="0"/>
        <w:spacing w:before="240" w:after="0"/>
        <w:jc w:val="center"/>
        <w:rPr>
          <w:rFonts w:ascii="Times New Roman" w:hAnsi="Times New Roman"/>
          <w:sz w:val="20"/>
        </w:rPr>
      </w:pPr>
      <w:r>
        <w:rPr>
          <w:rFonts w:ascii="Times New Roman" w:hAnsi="Times New Roman"/>
          <w:sz w:val="20"/>
        </w:rPr>
        <w:t xml:space="preserve">VESSEL COLLATERAL INSURANCE </w:t>
      </w:r>
    </w:p>
    <w:p>
      <w:pPr>
        <w:pStyle w:val="TextBody"/>
        <w:bidi w:val="0"/>
        <w:spacing w:before="240" w:after="0"/>
        <w:jc w:val="center"/>
        <w:rPr>
          <w:rFonts w:ascii="Times New Roman" w:hAnsi="Times New Roman"/>
          <w:sz w:val="20"/>
        </w:rPr>
      </w:pPr>
      <w:r>
        <w:rPr>
          <w:rFonts w:ascii="Times New Roman" w:hAnsi="Times New Roman"/>
          <w:b/>
          <w:sz w:val="20"/>
          <w:u w:val="single"/>
        </w:rPr>
        <w:t>Vessel Collateral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Loan Party that owns, manages, operates and/or charters any Vessel that is Collateral (hereinafter referred to as a “</w:t>
      </w:r>
      <w:r>
        <w:rPr>
          <w:rFonts w:ascii="Times New Roman" w:hAnsi="Times New Roman"/>
          <w:sz w:val="20"/>
          <w:u w:val="single"/>
        </w:rPr>
        <w:t>Collateral Vessel</w:t>
      </w:r>
      <w:r>
        <w:rPr>
          <w:rFonts w:ascii="Times New Roman" w:hAnsi="Times New Roman"/>
          <w:sz w:val="20"/>
        </w:rPr>
        <w:t xml:space="preserve">”) shall maintain insurance as required to be maintained under the terms of this Schedule 6.19(j). The Loan Parties shall cause (within the time period required herein, as may be extended by the Required Lenders in their reasonable discretion): (i) the Collateral Agent to be named as loss payee, for the ratable benefit of the Secured Parties, as to the Vessel Collateral, including, as trustee/mortgagee, in accordance with this Schedule 6.19(j) and the Collateral Agreement; (ii) the Collateral Agent, as agent for the Secured Parties, to be named as an additional insured, with a waiver of rights of subrogation, under any marine and war-risk insurance policy and any protection and indemnity policy (or in lieu of the foregoing coverages in respect of Stacked Vessels constituting Collateral Vessels only, under any port risks insurance policy, including to the extent of the protection and indemnity coverage therein); (iii) to the extent applicable, each entry in a protection and indemnity club with respect to Vessel Collateral (or with respect Stacked Vessels constituting Collateral Vessels only, under any port risks insurance policy to the extent of the protection and indemnity coverage therein) to note the interest of the Collateral Agent, as agent for the Secured Parties; (iv) the Collateral Agent, as agent for the Secured Parties, to be named as an additional insured, with a waiver of rights of subrogation, under the comprehensive general liability insurance and (v) the Collateral Agent, as agent for the Secured Parties, to be named as an alternate employer, with a waiver of rights of subrogation, under the statutory workers’ compensation insurance and longshoreman and harbor workers’ act coverage policies. </w:t>
      </w:r>
    </w:p>
    <w:p>
      <w:pPr>
        <w:pStyle w:val="TextBody"/>
        <w:bidi w:val="0"/>
        <w:spacing w:before="240" w:after="0"/>
        <w:jc w:val="left"/>
        <w:rPr>
          <w:rFonts w:ascii="Times New Roman" w:hAnsi="Times New Roman"/>
          <w:sz w:val="20"/>
        </w:rPr>
      </w:pPr>
      <w:r>
        <w:rPr>
          <w:rFonts w:ascii="Times New Roman" w:hAnsi="Times New Roman"/>
          <w:sz w:val="20"/>
        </w:rPr>
        <w:t xml:space="preserve">Each Loan Party that is an owner or bareboat charterer of any Collateral Vessel shall comply in all material respects with all insurance policies in respect of the Collateral Vessels and upon notice of noncompliance will take such steps necessary under the terms of such insurance to come into compliance. Each Loan Party that owns Vessel Collateral, bareboat charters Vessel Collateral and places the insurances thereon, or bareboat charters in any Vessel shall assign to the Collateral Agent, including as trustee/mortgagee, for the benefit of the Secured Parties, pursuant to the Collateral Agreement, all of such Loan Party’s right, title, and interest in and to each policy and contract of insurance, and under all entries in any protection and indemnity or war risks association or club, relating to the Vessel Collateral that it owns or bareboat charters Vessel Collateral and places the insurances thereon, or the Collateral Vessels it bareboat charters in. </w:t>
      </w:r>
    </w:p>
    <w:p>
      <w:pPr>
        <w:pStyle w:val="TextBody"/>
        <w:bidi w:val="0"/>
        <w:spacing w:before="240" w:after="0"/>
        <w:jc w:val="left"/>
        <w:rPr>
          <w:rFonts w:ascii="Times New Roman" w:hAnsi="Times New Roman"/>
          <w:sz w:val="20"/>
        </w:rPr>
      </w:pPr>
      <w:r>
        <w:rPr>
          <w:rFonts w:ascii="Times New Roman" w:hAnsi="Times New Roman"/>
          <w:sz w:val="20"/>
        </w:rPr>
        <w:t xml:space="preserve">The Loan Parties agree that mortgagee’s interest insurance and mortgagee’s interest additional perils (pollution) insurance risks covering the Vessel Collateral may be placed directly by the Collateral Agent, including as trustee/mortgagee, for the benefit of the Secured Parties, or the Administrative Agent, at the cost of the Loan Parties, who will reimburse the Administrative Agent for the cost thereof. Upon the reasonable request of the Administrative Agent, the Loan Parties agree (A) to provide, or cause to be provided, to the Administrative Agent originals or certified copies of the policies of insurance or certificates with respect thereto required under this Schedule 6.19(j), and (B) to provide, or cause to be provided, to the Administrative Agent reports on each existing policy of insurance with respect to the Vessel Collateral and Vessels bareboat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chartered in and any other Property showing such information as the Administrative Agent may reasonably request, including without limitation the following: (1) the name of the insurer; (2) the risks insured; (3) the amount of the policy; (4) the Vessel Collateral and Vessels bareboat chartered in and other Property insured; (5) the then current value on the basis of which insurance has been obtained and the manner of determining that value; and (6) the expiration date of the policy.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renewal of insurances policies or contracts and entries in any protection and indemnity or war risks association or club, and in connection with any reflagging of any Vessel Collateral, the Loan Parties agree to provide, or cause to be provided, to the Administrative Agent, (a) customary letters of undertaking addressed to the Collateral Agent and the Administrative Agent, (b) copies of certificates of entry for such Vessel Collateral, (c) a certificate of insurances and a combined broker’s letter of undertaking and report, addressed to and in form and scope reasonable acceptable to the Collateral Agent and the Administrative Agent, from the Borrowers’ marine insurance broker or such other firm of marine insurance brokers reasonably acceptable to the Collateral Agent and the Administrative Agent, confirming the particulars and placement of the marine insurances covering such Vessel Collateral and its compliance with the insurance requirements of this Schedule 6.19(j), the acceptance or acknowledgment by the underwriters of notice of assignment of insurances, and the endorsement of loss payable clauses on the policies, and containing such, (d) a fleet premium lien waiver endorsed with respect to such Vessel Collateral. </w:t>
      </w:r>
    </w:p>
    <w:p>
      <w:pPr>
        <w:pStyle w:val="TextBody"/>
        <w:bidi w:val="0"/>
        <w:spacing w:before="240" w:after="0"/>
        <w:jc w:val="left"/>
        <w:rPr>
          <w:rFonts w:ascii="Times New Roman" w:hAnsi="Times New Roman"/>
          <w:sz w:val="20"/>
        </w:rPr>
      </w:pPr>
      <w:r>
        <w:rPr>
          <w:rFonts w:ascii="Times New Roman" w:hAnsi="Times New Roman"/>
          <w:sz w:val="20"/>
        </w:rPr>
        <w:t xml:space="preserve">Each Loan Party that owns a Collateral Vessel (each hereinafter referred to as “the Shipowner”), further agrees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Types and Coverage</w:t>
            </w:r>
            <w:r>
              <w:rPr>
                <w:rFonts w:ascii="Times New Roman" w:hAnsi="Times New Roman"/>
                <w:sz w:val="20"/>
              </w:rPr>
              <w:t xml:space="preserve">. The Shipowner will, at its own expense, when and so long as this Mortgage shall be outstanding, insure or cause to be insured each Collateral Vessel in the name of the Shipowner against the risks indicated below, in addition to such other risks that would be customarily covered by owners of similar vessels engaged in the same or similar operations in places and under conditions comparable to those in which such Collateral Vessel is employed from time to time and possessing operating characteristics similar to the Shipowner and operating vessels similar to the Collateral Vessels in similar trades (“Similar Companies”) in accordance with the usual and customary practices of Similar Companies, and keep it insured, in the aggregate, in lawful money of the United States, for not less than the higher of (i) the full commercial value of such Collateral Vessel, and (ii) the amount of coverage that would be reasonably consistent with that obtained by Similar Companies on similar vessels. Each Collateral Vessel shall in no event be insured for an amount less than the agreed valuations as set forth in the applicable marine and war risk policies (or in lieu of the foregoing coverages in respect of Stacked Vessels constituting Collateral Vessels only, port risks insurance policy). Such insurance shall include marine and war risk hull and machinery (including excess value) coverage (or in lieu of the foregoing coverages in respect of Stacked Vessels constituting Collateral Vessels only, port risks coverage) and shall be maintained in the broadest forms available in the American, British or equivalent insurance markets for vessels of the same type as each such Collateral Vessel. The Shipowner shall also obtain such workmen’s compensation or longshoremen’s and harbor worker’s insurance as shall be required by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including endorsements for Outer Continental Shelf operations, borrowed servant, voluntary compensation, and in rem claims. In addition, the Shipowner shall maintain or cause to be maintained protection and indemnity insurance in the name of the Shipowner (or with respect Stacked Vessels constituting Collateral Vessels only, port risks insurance to the extent of the protection and indemnity coverage therein), including coverage for contractual liability, contractual and legal wreck removal, crew coverage, excess collision, salvage, general average, care, pollution, custody and control coverage in an amount equal to the higher of (i) the full commercial value of each Collateral Vessel, and (ii) the amount of coverage that would be reasonably consistent with that obtained by Similar Companies on similar vessels, provided, however, that war risk protection and indemnity insurance, to the extent required, shall be in an amount not less than the amount of insurance against total loss, and provided, however, that insurance against liability under law or international convention arising out of pollution, spillage or leakage shall be in an amount not less than the greater of: (a) the maximum amount available from the International Group of Protection and Indemnity Associations (the “International Group”) or alternatively such sources of pollution, spillage or leakage coverage as are commercially available in any absence of such coverage by the International Group as shall be carried by prudent ship owners engaged in similar trades, or such lesser amount permitted by the Administrative Agent, and (y) the amounts required by the laws or regulations of the United States of America or any applicable jurisdiction in which the Collateral Vessel may be trading from time to time. The Shipowner shall at all times during which any Collateral Vessel is operating within the jurisdiction of the United States of America, maintain or cause to be maintained insurance or post bond or maintain or cause to be maintained approved evidence of financial responsibility with respect to such Collateral Vessel to cover the actual cost of removal of discharged oil for which the Shipowner or such Collateral Vessel may be held strictly liable (or held liable due to the negligence of the Shipowner, any charterer or any other Person) under the Clean Water Act of 1977, OPA or the Outer Continental Shelf Lands Act, or under any other federal or state law which, in the future, may apply to such Collateral Vessel or to the Shipowner; and the Shipowner shall maintain insurance covering similar pollution risks or liabilities incident thereto under any law, regulation, or judicial decision of any foreign jurisdiction or jurisdictions or political subdivision thereof applicable to the Shipowner and such Collateral Vessel, or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Loss Payable Clauses</w:t>
            </w:r>
            <w:r>
              <w:rPr>
                <w:rFonts w:ascii="Times New Roman" w:hAnsi="Times New Roman"/>
                <w:sz w:val="20"/>
              </w:rPr>
              <w:t xml:space="preserve">. The Shipowner will cause all policies and certificates of entry with respect to insurance required hereby for each Collateral Vessel to contain a loss payable clause with respect to all marine and war risk hull and machinery (including excess values) policies (or in lieu of the foregoing coverages in respect of Stacked Vessels constituting Collateral Vessels only, port risks insurance policy) and a loss payable clause with respect to all protection and indemnity and liability and oil pollution liability insurances (or with respect Stacked Vessels constituting Collateral Vessels only, port risks insurance to the extent of the protection and indemnity coverage therein), in each case that complies with the Collateral Agreement. Unless an Event of Default has occurred and is continuing, all insurance payments resulting from an Event of Loss shall be distributed to the Shipowner (and the Collateral Agent shall pay any such amounts to the Shipowner) and the Shipowner shall use such insurance payments in accordance with the 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Undertakings</w:t>
            </w:r>
            <w:r>
              <w:rPr>
                <w:rFonts w:ascii="Times New Roman" w:hAnsi="Times New Roman"/>
                <w:sz w:val="20"/>
              </w:rPr>
              <w:t xml:space="preserve">. The Shipowner will, at its cost and expense, cause the insurance brokers and club managers (a) to hold to the order of the Collateral Agent the originals of all policies, contracts, binders, insurance slips, cover notes and certificates of entry relating to the Collateral Vessels and, (b) to deliver certified copies thereof on request and to execute and deliver to the Collateral Agent a letter of undertaking in connection with the above mentioned insurances and entries and the matters set forth in paragraph (f)(i) below. In all cases (except in the case of protection and indemnity coverage provided by a P &amp; I club), unless otherwise agreed in writing by the Collateral Agent, such slips, cover notes, notices, certificates of entry or other instruments shall show the Collateral Agent as additional assured and shall provide that there will be no recourse against the Collateral Agent for payment of premiums, calls or assessments.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Deductibles</w:t>
            </w:r>
            <w:r>
              <w:rPr>
                <w:rFonts w:ascii="Times New Roman" w:hAnsi="Times New Roman"/>
                <w:sz w:val="20"/>
              </w:rPr>
              <w:t xml:space="preserve">. No insurance required to be carried by the Shipowner pursuant to this Schedule 6.19(j) shall include a deductible or self-insured retention in excess of $1,000,000 per occurrence, except that with respect to protection and indemnity insurance, the Shipowner may elect to self-insure or otherwise retain protection and indemnity risk of up to $5,000,000 per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Compliance</w:t>
            </w:r>
            <w:r>
              <w:rPr>
                <w:rFonts w:ascii="Times New Roman" w:hAnsi="Times New Roman"/>
                <w:sz w:val="20"/>
              </w:rPr>
              <w:t xml:space="preserve">. The Shipowner shall not do any act, nor voluntarily suffer nor permit any act to be done, whereby any insurance required by this Schedule 6.19(j) shall or may be suspended, impaired or defeated, or suffer or permit any Collateral Vessel to undertake any drilling operations, carry any cargoes or proceed into an area then excluded by trading warranties under its marine and war risk policies (including protection and indemnity) without obtaining all necessary additional coverage, satisfactory in form and substance, and evidence of which shall be furnished, to the Collateral Agent. In addition, the Shipowner shall comply at all times with the provisions of Section 6.19 of the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Certain Provisions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If any of the insurances referred to in this Schedule 6.19(j) form part of a fleet cover, the Shipowner shall procure that the brokers shall undertake to the Collateral Agent that such brokers shall neither set off against any claims in respect of a Collateral Vessel any premiums due in respect of other vessels under such fleet cover or any premiums due for other insurances, nor cancel the insurance for reason of nonpayment of premiums for other vessels under such fleet cover or of premiums for such other insurances, and shall undertake to issue a separate policy or policies in respect of each Collateral Vessel or the Collateral Vessels if and when so requested by the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(ii) Any insurance placed through a “captive” insurer or cover reinsured will be in form and substance satisfactory to the Collateral Agent and in any event such insurance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be on the same terms as the original insurances and will include the provisions of this Schedule 6.19(j); </w:t>
      </w:r>
    </w:p>
    <w:p>
      <w:pPr>
        <w:pStyle w:val="TextBody"/>
        <w:bidi w:val="0"/>
        <w:spacing w:before="120" w:after="0"/>
        <w:jc w:val="left"/>
        <w:rPr>
          <w:rFonts w:ascii="Times New Roman" w:hAnsi="Times New Roman"/>
          <w:sz w:val="20"/>
        </w:rPr>
      </w:pPr>
      <w:r>
        <w:rPr>
          <w:rFonts w:ascii="Times New Roman" w:hAnsi="Times New Roman"/>
          <w:sz w:val="20"/>
        </w:rPr>
        <w:t xml:space="preserve">(B) provide that notwithstanding any bankruptcy, insolvency, liquidation, dissolution or similar proceedings of or affecting the reinsured that the reinsurers’ liability will be to make such payments as would have fallen due under the relevant policy of reinsurance if the reinsured had (immediately before such bankruptcy, insolvency, liquidation, dissolution or similar proceedings) discharged its obligations in full under the original insurance policies in respect of which the then relevant policy of reinsurance has been effected; and </w:t>
      </w:r>
    </w:p>
    <w:p>
      <w:pPr>
        <w:pStyle w:val="TextBody"/>
        <w:bidi w:val="0"/>
        <w:spacing w:before="120" w:after="0"/>
        <w:jc w:val="left"/>
        <w:rPr>
          <w:rFonts w:ascii="Times New Roman" w:hAnsi="Times New Roman"/>
          <w:sz w:val="20"/>
        </w:rPr>
      </w:pPr>
      <w:r>
        <w:rPr>
          <w:rFonts w:ascii="Times New Roman" w:hAnsi="Times New Roman"/>
          <w:sz w:val="20"/>
        </w:rPr>
        <w:t xml:space="preserve">(C) contain a “cut-through” clause in the following form (or a form otherwise satisfactory to the Collateral Agent): </w:t>
      </w:r>
    </w:p>
    <w:p>
      <w:pPr>
        <w:pStyle w:val="TextBody"/>
        <w:bidi w:val="0"/>
        <w:spacing w:before="120" w:after="0"/>
        <w:jc w:val="left"/>
        <w:rPr/>
      </w:pPr>
      <w:r>
        <w:rPr/>
        <w:t>“</w:t>
      </w:r>
      <w:r>
        <w:rPr>
          <w:rFonts w:ascii="Times New Roman" w:hAnsi="Times New Roman"/>
          <w:sz w:val="20"/>
        </w:rPr>
        <w:t xml:space="preserve">It is hereby declared and agreed that if [insert name of captive insurer], a [insert jurisdiction of formation of captive insurer] corporation, as Insurer (or any successor to [insert name of captive insurer] as insurer) under the insurance policy (the “Policy”) between [insert name of captive insurer], as Insurer, and [SHIPOWNER] and Wilmington Trust, National Association, as Trustee/Collateral Agent and Collateral Agent, as Assureds, fails for any reason to pay in full all or any portion of any losses payable in respect of the insured vessels (the “Collateral Vessels”) under the Policy, or in any event upon written notice by the said Assureds of an Event of Default under the First Preferred Fleet Mortgage, dated as of [DATE], by [SHIPOWNER] to Assureds, then all such losses (or such portion thereof) shall be paid directly by the reinsurers identified from time to time under any and all reinsurance agreements (the “Reinsurance Agreements”) providing for reinsurance under the Policy with respect to the Collateral Vessels (collectively, the “Reinsurers”) to such Assureds, as the respective interests of the Assureds may appear under the Policy, but only for the proportions subscribed by the Reinsurers and provided that the Reinsurers have not already made payment in full for their proportion in accordance with the terms of the Reinsurance Agreements and the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Loss</w:t>
            </w:r>
            <w:r>
              <w:rPr>
                <w:rFonts w:ascii="Times New Roman" w:hAnsi="Times New Roman"/>
                <w:sz w:val="20"/>
              </w:rPr>
              <w:t xml:space="preserve">. Upon the occurrence and during the continuation of an Event of Default, (i) all insurance payments in respect of an Event of Loss under the policies for hull and war risks (or in lieu of the foregoing coverages in respect of Stacked Vessels constituting Collateral Vessels only, the port risks insurance policy) shall be applied to the Obligations in the manner required by Section 9.03 of the Credit Agreement, and (ii) the Collateral Agent shall be entitled to be paid and, if applicable may retain out of the insurance payments received on account of such loss and held by the Collateral Agent, any sum or sums that shall be or become owing to the Collateral Agent under this Mortgage for the cost, if any, of collecting the insurance, which sum or sums shall become the sole property of the Collateral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this Schedule 6.19(j), the following terms shall have the following meanings: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Event of Loss” means any of the following events: (i) the actual or constructive total loss of any Collateral Vessel or the agreed, arranged or compromised total loss of any Collateral Vessel; or (ii) the capture, condemnation, confiscation, nationalization, requisition, purchase, seizure or forfeiture of, or any taking of title to, or any other actual or constructive taking of, any Collateral Vessel. An Event of Loss shall be deemed to have occurred (A) in the event of an actual loss of any Collateral Vessel, at 12:00pm on the date of such loss or if that is not known on the date which such Collateral Vessel was last heard from; (B) in the event of damage which results in a constructive or an agreed, arranged or compromised total loss of a Collateral Vessel, at 12:00pm on the date of the event giving rise to such damage.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7.01(c) </w:t>
      </w:r>
    </w:p>
    <w:p>
      <w:pPr>
        <w:pStyle w:val="TextBody"/>
        <w:bidi w:val="0"/>
        <w:spacing w:before="240" w:after="0"/>
        <w:jc w:val="center"/>
        <w:rPr>
          <w:rFonts w:ascii="Times New Roman" w:hAnsi="Times New Roman"/>
          <w:sz w:val="20"/>
        </w:rPr>
      </w:pPr>
      <w:r>
        <w:rPr>
          <w:rFonts w:ascii="Times New Roman" w:hAnsi="Times New Roman"/>
          <w:sz w:val="20"/>
        </w:rPr>
        <w:t xml:space="preserve">EXISTING LIENS </w:t>
      </w:r>
    </w:p>
    <w:p>
      <w:pPr>
        <w:pStyle w:val="TextBody"/>
        <w:bidi w:val="0"/>
        <w:spacing w:before="240" w:after="0"/>
        <w:jc w:val="left"/>
        <w:rPr>
          <w:rFonts w:ascii="Times New Roman" w:hAnsi="Times New Roman"/>
          <w:sz w:val="20"/>
        </w:rPr>
      </w:pPr>
      <w:r>
        <w:rPr>
          <w:rFonts w:ascii="Times New Roman" w:hAnsi="Times New Roman"/>
          <w:sz w:val="20"/>
        </w:rPr>
        <w:t xml:space="preserve">Certain liens under that certain First Lien Term Loan Credit Agreement and Second Lien Term Loan Credit Agreement, each dated as of September 4, 2020, by and among Hornbeck Offshore Services, Inc., Hornbeck Offshore Services, LLC, Wilmington Trust, National Association, and the other lenders party thereto, which liens are being terminated and released as of the Closing Date but which shall be terminated of record by the Borrower within thirty (30) days following the Closing Date (or such later date as may be approved by the Administrative Agent); </w:t>
      </w:r>
      <w:r>
        <w:rPr>
          <w:rFonts w:ascii="Times New Roman" w:hAnsi="Times New Roman"/>
          <w:i/>
          <w:sz w:val="20"/>
        </w:rPr>
        <w:t>provided, however, that</w:t>
      </w:r>
      <w:r>
        <w:rPr>
          <w:rFonts w:ascii="Times New Roman" w:hAnsi="Times New Roman"/>
          <w:sz w:val="20"/>
        </w:rPr>
        <w:t xml:space="preserve"> any liens on the Vessel Collateral pursuant to such First Lien Term Loan Credit Agreement and/or Second Lien Term Loan Credit Agreement shall be terminated of record by the Borrower on the Closing Date and any UCC-1 Financing Statements filed pursuant to such First Lien Term Loan Credit Agreement and/or Second Lien Term Loan Credit Agreement shall be terminated of record by the Borrower on the Closing Date.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7.03(c) </w:t>
      </w:r>
    </w:p>
    <w:p>
      <w:pPr>
        <w:pStyle w:val="TextBody"/>
        <w:bidi w:val="0"/>
        <w:spacing w:before="240" w:after="0"/>
        <w:jc w:val="center"/>
        <w:rPr>
          <w:rFonts w:ascii="Times New Roman" w:hAnsi="Times New Roman"/>
          <w:sz w:val="20"/>
        </w:rPr>
      </w:pPr>
      <w:r>
        <w:rPr>
          <w:rFonts w:ascii="Times New Roman" w:hAnsi="Times New Roman"/>
          <w:sz w:val="20"/>
        </w:rPr>
        <w:t xml:space="preserve">EXISTING SPECIFIED DEBT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11.02 </w:t>
      </w:r>
    </w:p>
    <w:p>
      <w:pPr>
        <w:pStyle w:val="TextBody"/>
        <w:bidi w:val="0"/>
        <w:spacing w:before="240" w:after="0"/>
        <w:jc w:val="center"/>
        <w:rPr>
          <w:rFonts w:ascii="Times New Roman" w:hAnsi="Times New Roman"/>
          <w:sz w:val="20"/>
        </w:rPr>
      </w:pPr>
      <w:r>
        <w:rPr>
          <w:rFonts w:ascii="Times New Roman" w:hAnsi="Times New Roman"/>
          <w:sz w:val="20"/>
        </w:rPr>
        <w:t xml:space="preserve">ADMINISTRATIVE AGENT’S OFFICE, CERTAIN ADDRESSES FOR NOTICES </w:t>
      </w:r>
    </w:p>
    <w:p>
      <w:pPr>
        <w:pStyle w:val="TextBody"/>
        <w:bidi w:val="0"/>
        <w:spacing w:before="240" w:after="0"/>
        <w:jc w:val="left"/>
        <w:rPr>
          <w:rFonts w:ascii="Times New Roman" w:hAnsi="Times New Roman"/>
          <w:sz w:val="20"/>
        </w:rPr>
      </w:pPr>
      <w:r>
        <w:rPr>
          <w:rFonts w:ascii="Times New Roman" w:hAnsi="Times New Roman"/>
          <w:sz w:val="20"/>
          <w:u w:val="single"/>
        </w:rPr>
        <w:t>If to the Borrower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103 Northpark Boulevard, Suite 300, </w:t>
      </w:r>
    </w:p>
    <w:p>
      <w:pPr>
        <w:pStyle w:val="TextBody"/>
        <w:bidi w:val="0"/>
        <w:spacing w:before="0" w:after="0"/>
        <w:jc w:val="left"/>
        <w:rPr>
          <w:rFonts w:ascii="Times New Roman" w:hAnsi="Times New Roman"/>
          <w:sz w:val="20"/>
        </w:rPr>
      </w:pPr>
      <w:r>
        <w:rPr>
          <w:rFonts w:ascii="Times New Roman" w:hAnsi="Times New Roman"/>
          <w:sz w:val="20"/>
        </w:rPr>
        <w:t xml:space="preserve">Covington, LA 70433 </w:t>
      </w:r>
    </w:p>
    <w:p>
      <w:pPr>
        <w:pStyle w:val="TextBody"/>
        <w:bidi w:val="0"/>
        <w:spacing w:before="0" w:after="0"/>
        <w:jc w:val="left"/>
        <w:rPr>
          <w:rFonts w:ascii="Times New Roman" w:hAnsi="Times New Roman"/>
          <w:sz w:val="20"/>
        </w:rPr>
      </w:pPr>
      <w:r>
        <w:rPr>
          <w:rFonts w:ascii="Times New Roman" w:hAnsi="Times New Roman"/>
          <w:sz w:val="20"/>
        </w:rPr>
        <w:t xml:space="preserve">Attn: James O. Harp, Jr., Executive Vice President and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james.harp@hornbeckoffshore.com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103 Northpark Boulevard, Suite 300, </w:t>
      </w:r>
    </w:p>
    <w:p>
      <w:pPr>
        <w:pStyle w:val="TextBody"/>
        <w:bidi w:val="0"/>
        <w:spacing w:before="0" w:after="0"/>
        <w:jc w:val="left"/>
        <w:rPr>
          <w:rFonts w:ascii="Times New Roman" w:hAnsi="Times New Roman"/>
          <w:sz w:val="20"/>
        </w:rPr>
      </w:pPr>
      <w:r>
        <w:rPr>
          <w:rFonts w:ascii="Times New Roman" w:hAnsi="Times New Roman"/>
          <w:sz w:val="20"/>
        </w:rPr>
        <w:t xml:space="preserve">Covington, LA 70433 </w:t>
      </w:r>
    </w:p>
    <w:p>
      <w:pPr>
        <w:pStyle w:val="TextBody"/>
        <w:bidi w:val="0"/>
        <w:spacing w:before="0" w:after="0"/>
        <w:jc w:val="left"/>
        <w:rPr>
          <w:rFonts w:ascii="Times New Roman" w:hAnsi="Times New Roman"/>
          <w:sz w:val="20"/>
        </w:rPr>
      </w:pPr>
      <w:r>
        <w:rPr>
          <w:rFonts w:ascii="Times New Roman" w:hAnsi="Times New Roman"/>
          <w:sz w:val="20"/>
        </w:rPr>
        <w:t xml:space="preserve">Attn: Samuel Giberga, Executive Vice President, General Counsel, Chief Compliance Officer &amp; Secretary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samuel.giberga@hornbeckoffshore.com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Suite 4700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Attn: Mary Kogut, P.C. and Jordan Roberts, P.C.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mkogut@kirkland.com</w:t>
      </w:r>
      <w:r>
        <w:rPr>
          <w:rFonts w:ascii="Times New Roman" w:hAnsi="Times New Roman"/>
          <w:sz w:val="20"/>
        </w:rPr>
        <w:t xml:space="preserve"> and </w:t>
      </w:r>
      <w:r>
        <w:rPr>
          <w:rFonts w:ascii="Times New Roman" w:hAnsi="Times New Roman"/>
          <w:sz w:val="20"/>
          <w:u w:val="single"/>
        </w:rPr>
        <w:t>jordan.roberts@kirkland.com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Winstead PC </w:t>
      </w:r>
    </w:p>
    <w:p>
      <w:pPr>
        <w:pStyle w:val="TextBody"/>
        <w:bidi w:val="0"/>
        <w:spacing w:before="0" w:after="0"/>
        <w:jc w:val="left"/>
        <w:rPr>
          <w:rFonts w:ascii="Times New Roman" w:hAnsi="Times New Roman"/>
          <w:sz w:val="20"/>
        </w:rPr>
      </w:pPr>
      <w:r>
        <w:rPr>
          <w:rFonts w:ascii="Times New Roman" w:hAnsi="Times New Roman"/>
          <w:sz w:val="20"/>
        </w:rPr>
        <w:t xml:space="preserve">24 Waterway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The Woodlands, Texas 77380 </w:t>
      </w:r>
    </w:p>
    <w:p>
      <w:pPr>
        <w:pStyle w:val="TextBody"/>
        <w:bidi w:val="0"/>
        <w:spacing w:before="0" w:after="0"/>
        <w:jc w:val="left"/>
        <w:rPr>
          <w:rFonts w:ascii="Times New Roman" w:hAnsi="Times New Roman"/>
          <w:sz w:val="20"/>
        </w:rPr>
      </w:pPr>
      <w:r>
        <w:rPr>
          <w:rFonts w:ascii="Times New Roman" w:hAnsi="Times New Roman"/>
          <w:sz w:val="20"/>
        </w:rPr>
        <w:t xml:space="preserve">Attn: R. Clyde Parker, Jr.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cparker@winstead.com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If to 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Stonebriar Commercial Finance, LLC </w:t>
      </w:r>
    </w:p>
    <w:p>
      <w:pPr>
        <w:pStyle w:val="TextBody"/>
        <w:bidi w:val="0"/>
        <w:spacing w:before="0" w:after="0"/>
        <w:jc w:val="left"/>
        <w:rPr>
          <w:rFonts w:ascii="Times New Roman" w:hAnsi="Times New Roman"/>
          <w:sz w:val="20"/>
        </w:rPr>
      </w:pPr>
      <w:r>
        <w:rPr>
          <w:rFonts w:ascii="Times New Roman" w:hAnsi="Times New Roman"/>
          <w:sz w:val="20"/>
        </w:rPr>
        <w:t xml:space="preserve">5525 Granite Parkway, Suite 1800 </w:t>
      </w:r>
    </w:p>
    <w:p>
      <w:pPr>
        <w:pStyle w:val="TextBody"/>
        <w:bidi w:val="0"/>
        <w:spacing w:before="0" w:after="0"/>
        <w:jc w:val="left"/>
        <w:rPr>
          <w:rFonts w:ascii="Times New Roman" w:hAnsi="Times New Roman"/>
          <w:sz w:val="20"/>
        </w:rPr>
      </w:pPr>
      <w:r>
        <w:rPr>
          <w:rFonts w:ascii="Times New Roman" w:hAnsi="Times New Roman"/>
          <w:sz w:val="20"/>
        </w:rPr>
        <w:t xml:space="preserve">Plano, TX 75024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notice@stonebriarcf.com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Baker, Donelson, Bearman, Caldwell &amp; Berkowitz, PC </w:t>
      </w:r>
    </w:p>
    <w:p>
      <w:pPr>
        <w:pStyle w:val="TextBody"/>
        <w:bidi w:val="0"/>
        <w:spacing w:before="0" w:after="0"/>
        <w:jc w:val="left"/>
        <w:rPr>
          <w:rFonts w:ascii="Times New Roman" w:hAnsi="Times New Roman"/>
          <w:sz w:val="20"/>
        </w:rPr>
      </w:pPr>
      <w:r>
        <w:rPr>
          <w:rFonts w:ascii="Times New Roman" w:hAnsi="Times New Roman"/>
          <w:sz w:val="20"/>
        </w:rPr>
        <w:t xml:space="preserve">100 Light Street, 19th Floor </w:t>
      </w:r>
    </w:p>
    <w:p>
      <w:pPr>
        <w:pStyle w:val="TextBody"/>
        <w:bidi w:val="0"/>
        <w:spacing w:before="0" w:after="0"/>
        <w:jc w:val="left"/>
        <w:rPr>
          <w:rFonts w:ascii="Times New Roman" w:hAnsi="Times New Roman"/>
          <w:sz w:val="20"/>
        </w:rPr>
      </w:pPr>
      <w:r>
        <w:rPr>
          <w:rFonts w:ascii="Times New Roman" w:hAnsi="Times New Roman"/>
          <w:sz w:val="20"/>
        </w:rPr>
        <w:t xml:space="preserve">Baltimore, MD 21202 </w:t>
      </w:r>
    </w:p>
    <w:p>
      <w:pPr>
        <w:pStyle w:val="TextBody"/>
        <w:bidi w:val="0"/>
        <w:spacing w:before="0" w:after="0"/>
        <w:jc w:val="left"/>
        <w:rPr>
          <w:rFonts w:ascii="Times New Roman" w:hAnsi="Times New Roman"/>
          <w:sz w:val="20"/>
        </w:rPr>
      </w:pPr>
      <w:r>
        <w:rPr>
          <w:rFonts w:ascii="Times New Roman" w:hAnsi="Times New Roman"/>
          <w:sz w:val="20"/>
        </w:rPr>
        <w:t xml:space="preserve">Attn: Michael Beattie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mbeattie@bakerdonelson.com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If to the Collateral Agent/Collateral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50 South Sixth Street, Suite 1290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55402 </w:t>
      </w:r>
    </w:p>
    <w:p>
      <w:pPr>
        <w:pStyle w:val="TextBody"/>
        <w:bidi w:val="0"/>
        <w:spacing w:before="0" w:after="0"/>
        <w:jc w:val="left"/>
        <w:rPr>
          <w:rFonts w:ascii="Times New Roman" w:hAnsi="Times New Roman"/>
          <w:sz w:val="20"/>
        </w:rPr>
      </w:pPr>
      <w:r>
        <w:rPr>
          <w:rFonts w:ascii="Times New Roman" w:hAnsi="Times New Roman"/>
          <w:sz w:val="20"/>
        </w:rPr>
        <w:t xml:space="preserve">Attention: Jeffery Rose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jrose@wilmingtontrust.com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Thompson Hine LLP </w:t>
      </w:r>
    </w:p>
    <w:p>
      <w:pPr>
        <w:pStyle w:val="TextBody"/>
        <w:bidi w:val="0"/>
        <w:spacing w:before="0" w:after="0"/>
        <w:jc w:val="left"/>
        <w:rPr>
          <w:rFonts w:ascii="Times New Roman" w:hAnsi="Times New Roman"/>
          <w:sz w:val="20"/>
        </w:rPr>
      </w:pPr>
      <w:r>
        <w:rPr>
          <w:rFonts w:ascii="Times New Roman" w:hAnsi="Times New Roman"/>
          <w:sz w:val="20"/>
        </w:rPr>
        <w:t xml:space="preserve">300 Madison Avenue, 27th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Attn: Yesenia Batista </w:t>
      </w:r>
    </w:p>
    <w:p>
      <w:pPr>
        <w:pStyle w:val="TextBody"/>
        <w:bidi w:val="0"/>
        <w:spacing w:before="0" w:after="0"/>
        <w:jc w:val="left"/>
        <w:rPr>
          <w:rFonts w:ascii="Times New Roman" w:hAnsi="Times New Roman"/>
          <w:sz w:val="20"/>
        </w:rPr>
      </w:pPr>
      <w:r>
        <w:rPr>
          <w:rFonts w:ascii="Times New Roman" w:hAnsi="Times New Roman"/>
          <w:sz w:val="20"/>
        </w:rPr>
        <w:t xml:space="preserve">Email: Yesenia.Batista@thompsonhine.com </w:t>
      </w:r>
    </w:p>
    <w:p>
      <w:pPr>
        <w:pStyle w:val="TextBody"/>
        <w:bidi w:val="0"/>
        <w:spacing w:before="0" w:after="0"/>
        <w:jc w:val="right"/>
        <w:rPr>
          <w:rFonts w:ascii="Times New Roman" w:hAnsi="Times New Roman"/>
          <w:b/>
          <w:sz w:val="20"/>
        </w:rPr>
      </w:pPr>
      <w:bookmarkStart w:id="46" w:name="d65571dex151.htm"/>
      <w:bookmarkStart w:id="47" w:name="ksd65571dex151"/>
      <w:bookmarkEnd w:id="46"/>
      <w:bookmarkEnd w:id="47"/>
      <w:r>
        <w:rPr>
          <w:rFonts w:ascii="Times New Roman" w:hAnsi="Times New Roman"/>
          <w:b/>
          <w:sz w:val="20"/>
        </w:rPr>
        <w:t xml:space="preserve">Exhibit 15.1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November 14, 2025 </w:t>
      </w:r>
    </w:p>
    <w:p>
      <w:pPr>
        <w:pStyle w:val="TextBody"/>
        <w:bidi w:val="0"/>
        <w:spacing w:before="240" w:after="0"/>
        <w:jc w:val="left"/>
        <w:rPr>
          <w:rFonts w:ascii="Times New Roman" w:hAnsi="Times New Roman"/>
          <w:sz w:val="20"/>
        </w:rPr>
      </w:pPr>
      <w:r>
        <w:rPr>
          <w:rFonts w:ascii="Times New Roman" w:hAnsi="Times New Roman"/>
          <w:sz w:val="20"/>
        </w:rPr>
        <w:t xml:space="preserve">Stockholders and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240" w:after="0"/>
        <w:jc w:val="left"/>
        <w:rPr>
          <w:rFonts w:ascii="Times New Roman" w:hAnsi="Times New Roman"/>
          <w:sz w:val="20"/>
        </w:rPr>
      </w:pPr>
      <w:r>
        <w:rPr>
          <w:rFonts w:ascii="Times New Roman" w:hAnsi="Times New Roman"/>
          <w:sz w:val="20"/>
        </w:rPr>
        <w:t xml:space="preserve">We are aware of the inclusion in Amendment No. 4 to the Registration Statement (Form S-1 No. 333-275939) of Hornbeck Offshore Services, Inc. for the registration of its common stock of our report dated November 7, 2025 relating to the unaudited consolidated interim financial statements of Hornbeck Offshore Services, Inc. as of September 30, 2025 and for the three-month and nine-month periods ended September 30, 2025 and 2024, that are included in its Form S-1.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New Orleans, Louisiana </w:t>
      </w:r>
    </w:p>
    <w:p>
      <w:pPr>
        <w:pStyle w:val="TextBody"/>
        <w:bidi w:val="0"/>
        <w:spacing w:before="0" w:after="0"/>
        <w:jc w:val="right"/>
        <w:rPr>
          <w:rFonts w:ascii="Times New Roman" w:hAnsi="Times New Roman"/>
          <w:b/>
          <w:sz w:val="20"/>
        </w:rPr>
      </w:pPr>
      <w:bookmarkStart w:id="48" w:name="d65571dex231.htm"/>
      <w:bookmarkStart w:id="49" w:name="ksd65571dex231"/>
      <w:bookmarkEnd w:id="48"/>
      <w:bookmarkEnd w:id="4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March 21, 2025 in Amendment No. 4 to the Registration Statement (Form S-1 No. 333-275939) and related Prospectus of Hornbeck Offshore Services, Inc. for the registration of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New Orleans, Louisiana </w:t>
      </w:r>
    </w:p>
    <w:p>
      <w:pPr>
        <w:pStyle w:val="TextBody"/>
        <w:bidi w:val="0"/>
        <w:spacing w:before="240" w:after="0"/>
        <w:jc w:val="left"/>
        <w:rPr>
          <w:rFonts w:ascii="Times New Roman" w:hAnsi="Times New Roman"/>
          <w:sz w:val="20"/>
        </w:rPr>
      </w:pPr>
      <w:r>
        <w:rPr>
          <w:rFonts w:ascii="Times New Roman" w:hAnsi="Times New Roman"/>
          <w:sz w:val="20"/>
        </w:rPr>
        <w:t xml:space="preserve">November 14, 2025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6.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1.jpeg"/><Relationship Id="rId25" Type="http://schemas.openxmlformats.org/officeDocument/2006/relationships/hyperlink" Target="http://www.sec.gov/Archives/edgar/data/1131227/000119312524223084/d856023dex11.htm" TargetMode="External"/><Relationship Id="rId26" Type="http://schemas.openxmlformats.org/officeDocument/2006/relationships/hyperlink" Target="http://www.sec.gov/Archives/edgar/data/1131227/000119312523290782/d365366dex21.htm" TargetMode="External"/><Relationship Id="rId27" Type="http://schemas.openxmlformats.org/officeDocument/2006/relationships/hyperlink" Target="http://www.sec.gov/Archives/edgar/data/1131227/000119312523290782/d365366dex31.htm" TargetMode="External"/><Relationship Id="rId28" Type="http://schemas.openxmlformats.org/officeDocument/2006/relationships/hyperlink" Target="http://www.sec.gov/Archives/edgar/data/1131227/000119312523290782/d365366dex32.htm" TargetMode="External"/><Relationship Id="rId29" Type="http://schemas.openxmlformats.org/officeDocument/2006/relationships/hyperlink" Target="http://www.sec.gov/Archives/edgar/data/1131227/000119312524223084/d856023dex33.htm" TargetMode="External"/><Relationship Id="rId30" Type="http://schemas.openxmlformats.org/officeDocument/2006/relationships/hyperlink" Target="http://www.sec.gov/Archives/edgar/data/1131227/000119312524223084/d856023dex34.htm" TargetMode="External"/><Relationship Id="rId31" Type="http://schemas.openxmlformats.org/officeDocument/2006/relationships/hyperlink" Target="http://www.sec.gov/Archives/edgar/data/1131227/000119312523290782/d365366dex42.htm" TargetMode="External"/><Relationship Id="rId32" Type="http://schemas.openxmlformats.org/officeDocument/2006/relationships/hyperlink" Target="http://www.sec.gov/Archives/edgar/data/1131227/000119312523290782/d365366dex43.htm" TargetMode="External"/><Relationship Id="rId33" Type="http://schemas.openxmlformats.org/officeDocument/2006/relationships/hyperlink" Target="http://www.sec.gov/Archives/edgar/data/1131227/000119312523290782/d365366dex44.htm" TargetMode="External"/><Relationship Id="rId34" Type="http://schemas.openxmlformats.org/officeDocument/2006/relationships/hyperlink" Target="http://www.sec.gov/Archives/edgar/data/1131227/000119312523290782/d365366dex45.htm" TargetMode="External"/><Relationship Id="rId35" Type="http://schemas.openxmlformats.org/officeDocument/2006/relationships/hyperlink" Target="http://www.sec.gov/Archives/edgar/data/1131227/000119312523290782/d365366dex46.htm" TargetMode="External"/><Relationship Id="rId36" Type="http://schemas.openxmlformats.org/officeDocument/2006/relationships/hyperlink" Target="http://www.sec.gov/Archives/edgar/data/1131227/000119312523290782/d365366dex47.htm" TargetMode="External"/><Relationship Id="rId37" Type="http://schemas.openxmlformats.org/officeDocument/2006/relationships/hyperlink" Target="http://www.sec.gov/Archives/edgar/data/1131227/000119312523290782/d365366dex48.htm" TargetMode="External"/><Relationship Id="rId38" Type="http://schemas.openxmlformats.org/officeDocument/2006/relationships/hyperlink" Target="http://www.sec.gov/Archives/edgar/data/1131227/000119312524223084/d856023dex48.htm" TargetMode="External"/><Relationship Id="rId39" Type="http://schemas.openxmlformats.org/officeDocument/2006/relationships/hyperlink" Target="http://www.sec.gov/Archives/edgar/data/1131227/000119312524235916/d856023dex49.htm" TargetMode="External"/><Relationship Id="rId40" Type="http://schemas.openxmlformats.org/officeDocument/2006/relationships/hyperlink" Target="http://www.sec.gov/Archives/edgar/data/1131227/000119312524223084/d856023dex51.htm" TargetMode="External"/><Relationship Id="rId41" Type="http://schemas.openxmlformats.org/officeDocument/2006/relationships/hyperlink" Target="http://www.sec.gov/Archives/edgar/data/1131227/000119312524223084/d856023dex101.htm" TargetMode="External"/><Relationship Id="rId42" Type="http://schemas.openxmlformats.org/officeDocument/2006/relationships/hyperlink" Target="http://www.sec.gov/Archives/edgar/data/1131227/000119312523290782/d365366dex102.htm" TargetMode="External"/><Relationship Id="rId43" Type="http://schemas.openxmlformats.org/officeDocument/2006/relationships/hyperlink" Target="http://www.sec.gov/Archives/edgar/data/1131227/000119312523290782/d365366dex103.htm" TargetMode="External"/><Relationship Id="rId44" Type="http://schemas.openxmlformats.org/officeDocument/2006/relationships/hyperlink" Target="http://www.sec.gov/Archives/edgar/data/1131227/000119312524235916/d856023dex105.htm" TargetMode="External"/><Relationship Id="rId45" Type="http://schemas.openxmlformats.org/officeDocument/2006/relationships/hyperlink" Target="http://www.sec.gov/Archives/edgar/data/1131227/000119312524235916/d856023dex106.htm" TargetMode="External"/><Relationship Id="rId46" Type="http://schemas.openxmlformats.org/officeDocument/2006/relationships/hyperlink" Target="http://www.sec.gov/Archives/edgar/data/1131227/000119312523290782/d365366dex106.htm" TargetMode="External"/><Relationship Id="rId47" Type="http://schemas.openxmlformats.org/officeDocument/2006/relationships/hyperlink" Target="http://www.sec.gov/Archives/edgar/data/1131227/000119312523290782/d365366dex107.htm" TargetMode="External"/><Relationship Id="rId48" Type="http://schemas.openxmlformats.org/officeDocument/2006/relationships/hyperlink" Target="http://www.sec.gov/Archives/edgar/data/1131227/000119312523290782/d365366dex108.htm" TargetMode="External"/><Relationship Id="rId49" Type="http://schemas.openxmlformats.org/officeDocument/2006/relationships/hyperlink" Target="http://www.sec.gov/Archives/edgar/data/1131227/000119312523290782/d365366dex109.htm" TargetMode="External"/><Relationship Id="rId50" Type="http://schemas.openxmlformats.org/officeDocument/2006/relationships/hyperlink" Target="http://www.sec.gov/Archives/edgar/data/1131227/000119312523290782/d365366dex1010.htm" TargetMode="External"/><Relationship Id="rId51" Type="http://schemas.openxmlformats.org/officeDocument/2006/relationships/hyperlink" Target="http://www.sec.gov/Archives/edgar/data/1131227/000119312523290782/d365366dex1015.htm" TargetMode="External"/><Relationship Id="rId52" Type="http://schemas.openxmlformats.org/officeDocument/2006/relationships/hyperlink" Target="http://www.sec.gov/Archives/edgar/data/1131227/000119312523290782/d365366dex1016.htm" TargetMode="External"/><Relationship Id="rId53" Type="http://schemas.openxmlformats.org/officeDocument/2006/relationships/hyperlink" Target="http://www.sec.gov/Archives/edgar/data/1131227/000119312523290782/d365366dex1017.htm" TargetMode="External"/><Relationship Id="rId54" Type="http://schemas.openxmlformats.org/officeDocument/2006/relationships/hyperlink" Target="http://www.sec.gov/Archives/edgar/data/1131227/000119312524202182/d669597dex1014.htm" TargetMode="External"/><Relationship Id="rId55" Type="http://schemas.openxmlformats.org/officeDocument/2006/relationships/hyperlink" Target="http://www.sec.gov/Archives/edgar/data/1131227/000119312523290782/d365366dex1018.htm" TargetMode="External"/><Relationship Id="rId56" Type="http://schemas.openxmlformats.org/officeDocument/2006/relationships/hyperlink" Target="http://www.sec.gov/Archives/edgar/data/1131227/000119312524223084/d856023dex1016.htm" TargetMode="External"/><Relationship Id="rId57" Type="http://schemas.openxmlformats.org/officeDocument/2006/relationships/hyperlink" Target="http://www.sec.gov/Archives/edgar/data/1131227/000119312523290782/d365366dex1019.htm" TargetMode="External"/><Relationship Id="rId58" Type="http://schemas.openxmlformats.org/officeDocument/2006/relationships/hyperlink" Target="http://www.sec.gov/Archives/edgar/data/1131227/000119312523290782/d365366dex1020.htm" TargetMode="External"/><Relationship Id="rId59" Type="http://schemas.openxmlformats.org/officeDocument/2006/relationships/hyperlink" Target="http://www.sec.gov/Archives/edgar/data/1131227/000119312524235916/d856023dex1020.htm" TargetMode="External"/><Relationship Id="rId60" Type="http://schemas.openxmlformats.org/officeDocument/2006/relationships/hyperlink" Target="http://www.sec.gov/Archives/edgar/data/1131227/000119312524235916/d856023dex1021.htm" TargetMode="External"/><Relationship Id="rId61" Type="http://schemas.openxmlformats.org/officeDocument/2006/relationships/hyperlink" Target="http://www.sec.gov/Archives/edgar/data/1131227/000119312524223084/d856023dex211.htm" TargetMode="External"/><Relationship Id="rId62" Type="http://schemas.openxmlformats.org/officeDocument/2006/relationships/hyperlink" Target="http://www.sec.gov/Archives/edgar/data/1131227/000119312524223084/d856023dex51.htm" TargetMode="External"/><Relationship Id="rId63" Type="http://schemas.openxmlformats.org/officeDocument/2006/relationships/hyperlink" Target="http://www.sec.gov/Archives/edgar/data/1131227/000119312524202182/d669597dex242.htm" TargetMode="External"/><Relationship Id="rId64" Type="http://schemas.openxmlformats.org/officeDocument/2006/relationships/hyperlink" Target="http://www.sec.gov/Archives/edgar/data/1131227/000119312523290782/d365366dexfilingfees.htm" TargetMode="External"/><Relationship Id="rId65" Type="http://schemas.openxmlformats.org/officeDocument/2006/relationships/image" Target="media/image22.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860</Pages>
  <Words>414768</Words>
  <Characters>2244545</Characters>
  <CharactersWithSpaces>2677182</CharactersWithSpaces>
  <Paragraphs>36537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