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216535</wp:posOffset>
            </wp:positionH>
            <wp:positionV relativeFrom="page">
              <wp:posOffset>808990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ind w:right="-139"/>
        <w:spacing w:after="0"/>
        <w:rPr>
          <w:sz w:val="20"/>
          <w:szCs w:val="20"/>
          <w:color w:val="auto"/>
        </w:rPr>
      </w:pPr>
      <w:r>
        <w:rPr>
          <w:rFonts w:ascii="Arial" w:cs="Arial" w:eastAsia="Arial" w:hAnsi="Arial"/>
          <w:sz w:val="31"/>
          <w:szCs w:val="31"/>
          <w:b w:val="1"/>
          <w:bCs w:val="1"/>
          <w:color w:val="auto"/>
        </w:rPr>
        <w:t>SECURITIES AND EXCHANGE COMMISSION</w:t>
      </w:r>
    </w:p>
    <w:p>
      <w:pPr>
        <w:spacing w:after="0" w:line="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3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3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March 31, 2020</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earliest event reported)</w:t>
      </w:r>
    </w:p>
    <w:p>
      <w:pPr>
        <w:spacing w:after="0" w:line="137" w:lineRule="exact"/>
        <w:rPr>
          <w:sz w:val="24"/>
          <w:szCs w:val="24"/>
          <w:color w:val="auto"/>
        </w:rPr>
      </w:pPr>
    </w:p>
    <w:p>
      <w:pPr>
        <w:jc w:val="center"/>
        <w:ind w:right="-139"/>
        <w:spacing w:after="0"/>
        <w:rPr>
          <w:sz w:val="20"/>
          <w:szCs w:val="20"/>
          <w:color w:val="auto"/>
        </w:rPr>
      </w:pPr>
      <w:r>
        <w:rPr>
          <w:rFonts w:ascii="Arial" w:cs="Arial" w:eastAsia="Arial" w:hAnsi="Arial"/>
          <w:sz w:val="41"/>
          <w:szCs w:val="41"/>
          <w:b w:val="1"/>
          <w:bCs w:val="1"/>
          <w:color w:val="auto"/>
        </w:rPr>
        <w:t>Hornbeck Offshore Services, Inc.</w:t>
      </w:r>
    </w:p>
    <w:p>
      <w:pPr>
        <w:spacing w:after="0" w:line="68" w:lineRule="exact"/>
        <w:rPr>
          <w:sz w:val="24"/>
          <w:szCs w:val="24"/>
          <w:color w:val="auto"/>
        </w:rPr>
      </w:pPr>
    </w:p>
    <w:tbl>
      <w:tblPr>
        <w:tblLayout w:type="fixed"/>
        <w:tblInd w:w="36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2800" w:type="dxa"/>
            <w:vAlign w:val="bottom"/>
          </w:tcPr>
          <w:p>
            <w:pPr>
              <w:spacing w:after="0"/>
              <w:rPr>
                <w:sz w:val="16"/>
                <w:szCs w:val="16"/>
                <w:color w:val="auto"/>
              </w:rPr>
            </w:pPr>
          </w:p>
        </w:tc>
      </w:tr>
      <w:tr>
        <w:trPr>
          <w:trHeight w:val="251"/>
        </w:trPr>
        <w:tc>
          <w:tcPr>
            <w:tcW w:w="3260" w:type="dxa"/>
            <w:vAlign w:val="bottom"/>
          </w:tcPr>
          <w:p>
            <w:pPr>
              <w:jc w:val="center"/>
              <w:ind w:right="39"/>
              <w:spacing w:after="0"/>
              <w:rPr>
                <w:sz w:val="20"/>
                <w:szCs w:val="20"/>
                <w:color w:val="auto"/>
              </w:rPr>
            </w:pPr>
            <w:r>
              <w:rPr>
                <w:rFonts w:ascii="Arial" w:cs="Arial" w:eastAsia="Arial" w:hAnsi="Arial"/>
                <w:sz w:val="18"/>
                <w:szCs w:val="18"/>
                <w:b w:val="1"/>
                <w:bCs w:val="1"/>
                <w:color w:val="auto"/>
                <w:w w:val="98"/>
              </w:rPr>
              <w:t>Delaware</w:t>
            </w:r>
          </w:p>
        </w:tc>
        <w:tc>
          <w:tcPr>
            <w:tcW w:w="4020" w:type="dxa"/>
            <w:vAlign w:val="bottom"/>
          </w:tcPr>
          <w:p>
            <w:pPr>
              <w:jc w:val="center"/>
              <w:ind w:right="1"/>
              <w:spacing w:after="0"/>
              <w:rPr>
                <w:sz w:val="20"/>
                <w:szCs w:val="20"/>
                <w:color w:val="auto"/>
              </w:rPr>
            </w:pPr>
            <w:r>
              <w:rPr>
                <w:rFonts w:ascii="Arial" w:cs="Arial" w:eastAsia="Arial" w:hAnsi="Arial"/>
                <w:sz w:val="18"/>
                <w:szCs w:val="18"/>
                <w:b w:val="1"/>
                <w:bCs w:val="1"/>
                <w:color w:val="auto"/>
                <w:w w:val="99"/>
              </w:rPr>
              <w:t>001-32108</w:t>
            </w:r>
          </w:p>
        </w:tc>
        <w:tc>
          <w:tcPr>
            <w:tcW w:w="2800" w:type="dxa"/>
            <w:vAlign w:val="bottom"/>
          </w:tcPr>
          <w:p>
            <w:pPr>
              <w:jc w:val="right"/>
              <w:ind w:right="759"/>
              <w:spacing w:after="0"/>
              <w:rPr>
                <w:sz w:val="20"/>
                <w:szCs w:val="20"/>
                <w:color w:val="auto"/>
              </w:rPr>
            </w:pPr>
            <w:r>
              <w:rPr>
                <w:rFonts w:ascii="Arial" w:cs="Arial" w:eastAsia="Arial" w:hAnsi="Arial"/>
                <w:sz w:val="18"/>
                <w:szCs w:val="18"/>
                <w:b w:val="1"/>
                <w:bCs w:val="1"/>
                <w:color w:val="auto"/>
              </w:rPr>
              <w:t>72-1375844</w:t>
            </w:r>
          </w:p>
        </w:tc>
      </w:tr>
      <w:tr>
        <w:trPr>
          <w:trHeight w:val="189"/>
        </w:trPr>
        <w:tc>
          <w:tcPr>
            <w:tcW w:w="3260" w:type="dxa"/>
            <w:vAlign w:val="bottom"/>
          </w:tcPr>
          <w:p>
            <w:pPr>
              <w:jc w:val="center"/>
              <w:ind w:right="59"/>
              <w:spacing w:after="0"/>
              <w:rPr>
                <w:sz w:val="20"/>
                <w:szCs w:val="20"/>
                <w:color w:val="auto"/>
              </w:rPr>
            </w:pPr>
            <w:r>
              <w:rPr>
                <w:rFonts w:ascii="Arial" w:cs="Arial" w:eastAsia="Arial" w:hAnsi="Arial"/>
                <w:sz w:val="14"/>
                <w:szCs w:val="14"/>
                <w:b w:val="1"/>
                <w:bCs w:val="1"/>
                <w:color w:val="auto"/>
              </w:rPr>
              <w:t>(State or other jurisdiction of incorporation or</w:t>
            </w:r>
          </w:p>
        </w:tc>
        <w:tc>
          <w:tcPr>
            <w:tcW w:w="4020" w:type="dxa"/>
            <w:vAlign w:val="bottom"/>
          </w:tcPr>
          <w:p>
            <w:pPr>
              <w:jc w:val="center"/>
              <w:ind w:right="1"/>
              <w:spacing w:after="0"/>
              <w:rPr>
                <w:sz w:val="20"/>
                <w:szCs w:val="20"/>
                <w:color w:val="auto"/>
              </w:rPr>
            </w:pPr>
            <w:r>
              <w:rPr>
                <w:rFonts w:ascii="Arial" w:cs="Arial" w:eastAsia="Arial" w:hAnsi="Arial"/>
                <w:sz w:val="14"/>
                <w:szCs w:val="14"/>
                <w:b w:val="1"/>
                <w:bCs w:val="1"/>
                <w:color w:val="auto"/>
              </w:rPr>
              <w:t>(Commission File Number)</w:t>
            </w:r>
          </w:p>
        </w:tc>
        <w:tc>
          <w:tcPr>
            <w:tcW w:w="2800" w:type="dxa"/>
            <w:vAlign w:val="bottom"/>
          </w:tcPr>
          <w:p>
            <w:pPr>
              <w:jc w:val="center"/>
              <w:ind w:left="59"/>
              <w:spacing w:after="0"/>
              <w:rPr>
                <w:sz w:val="20"/>
                <w:szCs w:val="20"/>
                <w:color w:val="auto"/>
              </w:rPr>
            </w:pPr>
            <w:r>
              <w:rPr>
                <w:rFonts w:ascii="Arial" w:cs="Arial" w:eastAsia="Arial" w:hAnsi="Arial"/>
                <w:sz w:val="14"/>
                <w:szCs w:val="14"/>
                <w:b w:val="1"/>
                <w:bCs w:val="1"/>
                <w:color w:val="auto"/>
              </w:rPr>
              <w:t>(I.R.S. Employer Identification Number)</w:t>
            </w:r>
          </w:p>
        </w:tc>
      </w:tr>
      <w:tr>
        <w:trPr>
          <w:trHeight w:val="190"/>
        </w:trPr>
        <w:tc>
          <w:tcPr>
            <w:tcW w:w="3260" w:type="dxa"/>
            <w:vAlign w:val="bottom"/>
          </w:tcPr>
          <w:p>
            <w:pPr>
              <w:jc w:val="center"/>
              <w:ind w:right="39"/>
              <w:spacing w:after="0"/>
              <w:rPr>
                <w:sz w:val="20"/>
                <w:szCs w:val="20"/>
                <w:color w:val="auto"/>
              </w:rPr>
            </w:pPr>
            <w:r>
              <w:rPr>
                <w:rFonts w:ascii="Arial" w:cs="Arial" w:eastAsia="Arial" w:hAnsi="Arial"/>
                <w:sz w:val="14"/>
                <w:szCs w:val="14"/>
                <w:b w:val="1"/>
                <w:bCs w:val="1"/>
                <w:color w:val="auto"/>
              </w:rPr>
              <w:t>organization)</w:t>
            </w:r>
          </w:p>
        </w:tc>
        <w:tc>
          <w:tcPr>
            <w:tcW w:w="402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597"/>
        </w:trPr>
        <w:tc>
          <w:tcPr>
            <w:tcW w:w="3260" w:type="dxa"/>
            <w:vAlign w:val="bottom"/>
          </w:tcPr>
          <w:p>
            <w:pPr>
              <w:jc w:val="center"/>
              <w:ind w:right="39"/>
              <w:spacing w:after="0"/>
              <w:rPr>
                <w:sz w:val="20"/>
                <w:szCs w:val="20"/>
                <w:color w:val="auto"/>
              </w:rPr>
            </w:pPr>
            <w:r>
              <w:rPr>
                <w:rFonts w:ascii="Arial" w:cs="Arial" w:eastAsia="Arial" w:hAnsi="Arial"/>
                <w:sz w:val="18"/>
                <w:szCs w:val="18"/>
                <w:b w:val="1"/>
                <w:bCs w:val="1"/>
                <w:color w:val="auto"/>
                <w:w w:val="99"/>
              </w:rPr>
              <w:t>103 Northpark Boulevard, Suite 300</w:t>
            </w:r>
          </w:p>
        </w:tc>
        <w:tc>
          <w:tcPr>
            <w:tcW w:w="40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39"/>
        </w:trPr>
        <w:tc>
          <w:tcPr>
            <w:tcW w:w="3260" w:type="dxa"/>
            <w:vAlign w:val="bottom"/>
          </w:tcPr>
          <w:p>
            <w:pPr>
              <w:jc w:val="center"/>
              <w:ind w:right="39"/>
              <w:spacing w:after="0"/>
              <w:rPr>
                <w:sz w:val="20"/>
                <w:szCs w:val="20"/>
                <w:color w:val="auto"/>
              </w:rPr>
            </w:pPr>
            <w:r>
              <w:rPr>
                <w:rFonts w:ascii="Arial" w:cs="Arial" w:eastAsia="Arial" w:hAnsi="Arial"/>
                <w:sz w:val="18"/>
                <w:szCs w:val="18"/>
                <w:b w:val="1"/>
                <w:bCs w:val="1"/>
                <w:color w:val="auto"/>
                <w:w w:val="99"/>
              </w:rPr>
              <w:t>Covington, LA</w:t>
            </w:r>
          </w:p>
        </w:tc>
        <w:tc>
          <w:tcPr>
            <w:tcW w:w="4020" w:type="dxa"/>
            <w:vAlign w:val="bottom"/>
          </w:tcPr>
          <w:p>
            <w:pPr>
              <w:spacing w:after="0"/>
              <w:rPr>
                <w:sz w:val="20"/>
                <w:szCs w:val="20"/>
                <w:color w:val="auto"/>
              </w:rPr>
            </w:pPr>
          </w:p>
        </w:tc>
        <w:tc>
          <w:tcPr>
            <w:tcW w:w="2800" w:type="dxa"/>
            <w:vAlign w:val="bottom"/>
          </w:tcPr>
          <w:p>
            <w:pPr>
              <w:jc w:val="right"/>
              <w:ind w:right="999"/>
              <w:spacing w:after="0"/>
              <w:rPr>
                <w:sz w:val="20"/>
                <w:szCs w:val="20"/>
                <w:color w:val="auto"/>
              </w:rPr>
            </w:pPr>
            <w:r>
              <w:rPr>
                <w:rFonts w:ascii="Arial" w:cs="Arial" w:eastAsia="Arial" w:hAnsi="Arial"/>
                <w:sz w:val="18"/>
                <w:szCs w:val="18"/>
                <w:b w:val="1"/>
                <w:bCs w:val="1"/>
                <w:color w:val="auto"/>
              </w:rPr>
              <w:t>70433</w:t>
            </w:r>
          </w:p>
        </w:tc>
      </w:tr>
      <w:tr>
        <w:trPr>
          <w:trHeight w:val="218"/>
        </w:trPr>
        <w:tc>
          <w:tcPr>
            <w:tcW w:w="3260" w:type="dxa"/>
            <w:vAlign w:val="bottom"/>
          </w:tcPr>
          <w:p>
            <w:pPr>
              <w:jc w:val="center"/>
              <w:ind w:right="39"/>
              <w:spacing w:after="0"/>
              <w:rPr>
                <w:sz w:val="20"/>
                <w:szCs w:val="20"/>
                <w:color w:val="auto"/>
              </w:rPr>
            </w:pPr>
            <w:r>
              <w:rPr>
                <w:rFonts w:ascii="Arial" w:cs="Arial" w:eastAsia="Arial" w:hAnsi="Arial"/>
                <w:sz w:val="14"/>
                <w:szCs w:val="14"/>
                <w:b w:val="1"/>
                <w:bCs w:val="1"/>
                <w:color w:val="auto"/>
              </w:rPr>
              <w:t>(Address of Principal Executive Offices)</w:t>
            </w:r>
          </w:p>
        </w:tc>
        <w:tc>
          <w:tcPr>
            <w:tcW w:w="4020" w:type="dxa"/>
            <w:vAlign w:val="bottom"/>
          </w:tcPr>
          <w:p>
            <w:pPr>
              <w:spacing w:after="0"/>
              <w:rPr>
                <w:sz w:val="18"/>
                <w:szCs w:val="18"/>
                <w:color w:val="auto"/>
              </w:rPr>
            </w:pPr>
          </w:p>
        </w:tc>
        <w:tc>
          <w:tcPr>
            <w:tcW w:w="2800" w:type="dxa"/>
            <w:vAlign w:val="bottom"/>
          </w:tcPr>
          <w:p>
            <w:pPr>
              <w:jc w:val="center"/>
              <w:ind w:left="59"/>
              <w:spacing w:after="0"/>
              <w:rPr>
                <w:sz w:val="20"/>
                <w:szCs w:val="20"/>
                <w:color w:val="auto"/>
              </w:rPr>
            </w:pPr>
            <w:r>
              <w:rPr>
                <w:rFonts w:ascii="Arial" w:cs="Arial" w:eastAsia="Arial" w:hAnsi="Arial"/>
                <w:sz w:val="14"/>
                <w:szCs w:val="14"/>
                <w:b w:val="1"/>
                <w:bCs w:val="1"/>
                <w:color w:val="auto"/>
              </w:rPr>
              <w:t>(Zip Code)</w:t>
            </w:r>
          </w:p>
        </w:tc>
      </w:tr>
      <w:tr>
        <w:trPr>
          <w:trHeight w:val="377"/>
        </w:trPr>
        <w:tc>
          <w:tcPr>
            <w:tcW w:w="326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8"/>
                <w:szCs w:val="18"/>
                <w:b w:val="1"/>
                <w:bCs w:val="1"/>
                <w:color w:val="auto"/>
              </w:rPr>
              <w:t>(985) 727-2000</w:t>
            </w:r>
          </w:p>
        </w:tc>
        <w:tc>
          <w:tcPr>
            <w:tcW w:w="2800" w:type="dxa"/>
            <w:vAlign w:val="bottom"/>
          </w:tcPr>
          <w:p>
            <w:pPr>
              <w:spacing w:after="0"/>
              <w:rPr>
                <w:sz w:val="24"/>
                <w:szCs w:val="24"/>
                <w:color w:val="auto"/>
              </w:rPr>
            </w:pPr>
          </w:p>
        </w:tc>
      </w:tr>
      <w:tr>
        <w:trPr>
          <w:trHeight w:val="190"/>
        </w:trPr>
        <w:tc>
          <w:tcPr>
            <w:tcW w:w="3260" w:type="dxa"/>
            <w:vAlign w:val="bottom"/>
          </w:tcPr>
          <w:p>
            <w:pPr>
              <w:spacing w:after="0"/>
              <w:rPr>
                <w:sz w:val="16"/>
                <w:szCs w:val="16"/>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2800" w:type="dxa"/>
            <w:vAlign w:val="bottom"/>
          </w:tcPr>
          <w:p>
            <w:pPr>
              <w:spacing w:after="0"/>
              <w:rPr>
                <w:sz w:val="16"/>
                <w:szCs w:val="16"/>
                <w:color w:val="auto"/>
              </w:rPr>
            </w:pPr>
          </w:p>
        </w:tc>
      </w:tr>
    </w:tbl>
    <w:p>
      <w:pPr>
        <w:spacing w:after="0" w:line="12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w:t>
      </w:r>
    </w:p>
    <w:p>
      <w:pPr>
        <w:spacing w:after="0" w:line="32"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62"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6" w:lineRule="exact"/>
        <w:rPr>
          <w:sz w:val="24"/>
          <w:szCs w:val="24"/>
          <w:color w:val="auto"/>
        </w:rPr>
      </w:pPr>
    </w:p>
    <w:p>
      <w:pPr>
        <w:ind w:left="700" w:hanging="674"/>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27" w:lineRule="exact"/>
        <w:rPr>
          <w:rFonts w:ascii="MS PGothic" w:cs="MS PGothic" w:eastAsia="MS PGothic" w:hAnsi="MS PGothic"/>
          <w:sz w:val="18"/>
          <w:szCs w:val="18"/>
          <w:color w:val="auto"/>
        </w:rPr>
      </w:pPr>
    </w:p>
    <w:p>
      <w:pPr>
        <w:ind w:left="700" w:hanging="674"/>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27" w:lineRule="exact"/>
        <w:rPr>
          <w:rFonts w:ascii="MS PGothic" w:cs="MS PGothic" w:eastAsia="MS PGothic" w:hAnsi="MS PGothic"/>
          <w:sz w:val="18"/>
          <w:szCs w:val="18"/>
          <w:color w:val="auto"/>
        </w:rPr>
      </w:pPr>
    </w:p>
    <w:p>
      <w:pPr>
        <w:ind w:left="700" w:hanging="674"/>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27" w:lineRule="exact"/>
        <w:rPr>
          <w:rFonts w:ascii="MS PGothic" w:cs="MS PGothic" w:eastAsia="MS PGothic" w:hAnsi="MS PGothic"/>
          <w:sz w:val="18"/>
          <w:szCs w:val="18"/>
          <w:color w:val="auto"/>
        </w:rPr>
      </w:pPr>
    </w:p>
    <w:p>
      <w:pPr>
        <w:ind w:left="700" w:hanging="674"/>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97" w:lineRule="exact"/>
        <w:rPr>
          <w:sz w:val="24"/>
          <w:szCs w:val="24"/>
          <w:color w:val="auto"/>
        </w:rPr>
      </w:pPr>
    </w:p>
    <w:tbl>
      <w:tblPr>
        <w:tblLayout w:type="fixed"/>
        <w:tblInd w:w="380" w:type="dxa"/>
        <w:tblCellMar>
          <w:top w:w="0" w:type="dxa"/>
          <w:left w:w="0" w:type="dxa"/>
          <w:bottom w:w="0" w:type="dxa"/>
          <w:right w:w="0" w:type="dxa"/>
        </w:tblCellMar>
      </w:tblPr>
      <w:tr>
        <w:trPr>
          <w:trHeight w:val="207"/>
        </w:trPr>
        <w:tc>
          <w:tcPr>
            <w:tcW w:w="106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rPr>
              <w:t>Class</w:t>
            </w:r>
          </w:p>
        </w:tc>
        <w:tc>
          <w:tcPr>
            <w:tcW w:w="1880" w:type="dxa"/>
            <w:vAlign w:val="bottom"/>
          </w:tcPr>
          <w:p>
            <w:pPr>
              <w:spacing w:after="0"/>
              <w:rPr>
                <w:sz w:val="18"/>
                <w:szCs w:val="18"/>
                <w:color w:val="auto"/>
              </w:rPr>
            </w:pPr>
          </w:p>
        </w:tc>
        <w:tc>
          <w:tcPr>
            <w:tcW w:w="2140" w:type="dxa"/>
            <w:vAlign w:val="bottom"/>
            <w:gridSpan w:val="2"/>
          </w:tcPr>
          <w:p>
            <w:pPr>
              <w:jc w:val="center"/>
              <w:ind w:right="900"/>
              <w:spacing w:after="0"/>
              <w:rPr>
                <w:sz w:val="20"/>
                <w:szCs w:val="20"/>
                <w:color w:val="auto"/>
              </w:rPr>
            </w:pPr>
            <w:r>
              <w:rPr>
                <w:rFonts w:ascii="Arial" w:cs="Arial" w:eastAsia="Arial" w:hAnsi="Arial"/>
                <w:sz w:val="18"/>
                <w:szCs w:val="18"/>
                <w:color w:val="auto"/>
                <w:w w:val="98"/>
              </w:rPr>
              <w:t>Trading Symbol</w:t>
            </w:r>
          </w:p>
        </w:tc>
        <w:tc>
          <w:tcPr>
            <w:tcW w:w="4000" w:type="dxa"/>
            <w:vAlign w:val="bottom"/>
            <w:gridSpan w:val="2"/>
          </w:tcPr>
          <w:p>
            <w:pPr>
              <w:jc w:val="center"/>
              <w:ind w:left="790"/>
              <w:spacing w:after="0"/>
              <w:rPr>
                <w:sz w:val="20"/>
                <w:szCs w:val="20"/>
                <w:color w:val="auto"/>
              </w:rPr>
            </w:pPr>
            <w:r>
              <w:rPr>
                <w:rFonts w:ascii="Arial" w:cs="Arial" w:eastAsia="Arial" w:hAnsi="Arial"/>
                <w:sz w:val="18"/>
                <w:szCs w:val="18"/>
                <w:color w:val="auto"/>
                <w:w w:val="99"/>
              </w:rPr>
              <w:t>Name of exchange on which registered</w:t>
            </w:r>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r>
      <w:tr>
        <w:trPr>
          <w:trHeight w:val="277"/>
        </w:trPr>
        <w:tc>
          <w:tcPr>
            <w:tcW w:w="3400" w:type="dxa"/>
            <w:vAlign w:val="bottom"/>
            <w:gridSpan w:val="3"/>
          </w:tcPr>
          <w:p>
            <w:pPr>
              <w:jc w:val="center"/>
              <w:ind w:right="820"/>
              <w:spacing w:after="0"/>
              <w:rPr>
                <w:sz w:val="20"/>
                <w:szCs w:val="20"/>
                <w:color w:val="auto"/>
              </w:rPr>
            </w:pPr>
            <w:r>
              <w:rPr>
                <w:rFonts w:ascii="Arial" w:cs="Arial" w:eastAsia="Arial" w:hAnsi="Arial"/>
                <w:sz w:val="18"/>
                <w:szCs w:val="18"/>
                <w:color w:val="auto"/>
              </w:rPr>
              <w:t>Common Stock, $0.01 par value</w:t>
            </w:r>
          </w:p>
        </w:tc>
        <w:tc>
          <w:tcPr>
            <w:tcW w:w="2140" w:type="dxa"/>
            <w:vAlign w:val="bottom"/>
            <w:gridSpan w:val="2"/>
          </w:tcPr>
          <w:p>
            <w:pPr>
              <w:jc w:val="center"/>
              <w:ind w:right="900"/>
              <w:spacing w:after="0"/>
              <w:rPr>
                <w:sz w:val="20"/>
                <w:szCs w:val="20"/>
                <w:color w:val="auto"/>
              </w:rPr>
            </w:pPr>
            <w:r>
              <w:rPr>
                <w:rFonts w:ascii="Arial" w:cs="Arial" w:eastAsia="Arial" w:hAnsi="Arial"/>
                <w:sz w:val="18"/>
                <w:szCs w:val="18"/>
                <w:color w:val="auto"/>
              </w:rPr>
              <w:t>HOS</w:t>
            </w:r>
          </w:p>
        </w:tc>
        <w:tc>
          <w:tcPr>
            <w:tcW w:w="880" w:type="dxa"/>
            <w:vAlign w:val="bottom"/>
          </w:tcPr>
          <w:p>
            <w:pPr>
              <w:spacing w:after="0"/>
              <w:rPr>
                <w:sz w:val="24"/>
                <w:szCs w:val="24"/>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r>
        <w:trPr>
          <w:trHeight w:val="256"/>
        </w:trPr>
        <w:tc>
          <w:tcPr>
            <w:tcW w:w="3400" w:type="dxa"/>
            <w:vAlign w:val="bottom"/>
            <w:gridSpan w:val="3"/>
          </w:tcPr>
          <w:p>
            <w:pPr>
              <w:jc w:val="center"/>
              <w:ind w:right="820"/>
              <w:spacing w:after="0"/>
              <w:rPr>
                <w:sz w:val="20"/>
                <w:szCs w:val="20"/>
                <w:color w:val="auto"/>
              </w:rPr>
            </w:pPr>
            <w:r>
              <w:rPr>
                <w:rFonts w:ascii="Arial" w:cs="Arial" w:eastAsia="Arial" w:hAnsi="Arial"/>
                <w:sz w:val="18"/>
                <w:szCs w:val="18"/>
                <w:color w:val="auto"/>
              </w:rPr>
              <w:t>Common Stock, $0.01 par value</w:t>
            </w:r>
          </w:p>
        </w:tc>
        <w:tc>
          <w:tcPr>
            <w:tcW w:w="2140" w:type="dxa"/>
            <w:vAlign w:val="bottom"/>
            <w:gridSpan w:val="2"/>
          </w:tcPr>
          <w:p>
            <w:pPr>
              <w:jc w:val="center"/>
              <w:ind w:right="900"/>
              <w:spacing w:after="0"/>
              <w:rPr>
                <w:sz w:val="20"/>
                <w:szCs w:val="20"/>
                <w:color w:val="auto"/>
              </w:rPr>
            </w:pPr>
            <w:r>
              <w:rPr>
                <w:rFonts w:ascii="Arial" w:cs="Arial" w:eastAsia="Arial" w:hAnsi="Arial"/>
                <w:sz w:val="18"/>
                <w:szCs w:val="18"/>
                <w:color w:val="auto"/>
              </w:rPr>
              <w:t>HOSS</w:t>
            </w:r>
          </w:p>
        </w:tc>
        <w:tc>
          <w:tcPr>
            <w:tcW w:w="880" w:type="dxa"/>
            <w:vAlign w:val="bottom"/>
          </w:tcPr>
          <w:p>
            <w:pPr>
              <w:spacing w:after="0"/>
              <w:rPr>
                <w:sz w:val="22"/>
                <w:szCs w:val="22"/>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OTCQB</w:t>
            </w:r>
          </w:p>
        </w:tc>
      </w:tr>
    </w:tbl>
    <w:p>
      <w:pPr>
        <w:spacing w:after="0" w:line="121" w:lineRule="exact"/>
        <w:rPr>
          <w:sz w:val="24"/>
          <w:szCs w:val="24"/>
          <w:color w:val="auto"/>
        </w:rPr>
      </w:pPr>
    </w:p>
    <w:p>
      <w:pPr>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Act of 1934 (17 CFR §240.12b-2).</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21"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00"/>
          </w:cols>
          <w:pgMar w:left="320" w:top="1431" w:right="4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 Other Events</w:t>
      </w:r>
    </w:p>
    <w:p>
      <w:pPr>
        <w:spacing w:after="0" w:line="27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Hornbeck Offshore Services, Inc. (NYSE:HOS, OTCQB:HOSS) (the “Company”) announced today that it and certain of its subsidiaries have entered into agreements with lenders under its existing Senior Credit Agreement, dated as of June 28, 2019, First Lien Term Loan Agreement, dated as of June 15, 2017, and Second Lien Term Loan Agreement, dated as of February 7, 2019, (in each case, as amended and supplemented) and holders of the Company’s unsecured 5.875% Senior Notes due 2020 and unsecured 5.000% Senior Notes due 2021, pursuant to which such creditors have agreed to forbear, until 11:59 p.m. New York time on April 20, 2020 (as may be further extended), from exercising certain of their rights and remedies with respect to certain defaults by the Company. The Company is in the process of negotiating and finalizing a restructuring support agreement with the forbearing creditors on the terms of a consensual balance sheet restructuring during this forbearance period, to be implemented through a prepackaged chapter 11 filing in the Southern District of Texas.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6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This communication contains forward-looking statements, including, in particular, statements about the term and the provisions of the forbearance agreements and the Company’s negotiations with its creditors. These statements are based on the Company’s current assumptions, expectations and projections about future events. Although the Company believes that the expectations reflected in these forward-looking statements are reasonable, the Company can give no assurance that the expectations will prove to be correct.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86" w:right="339"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Hornbeck Offshore Services, Inc.</w:t>
      </w:r>
    </w:p>
    <w:p>
      <w:pPr>
        <w:spacing w:after="0" w:line="320" w:lineRule="exact"/>
        <w:rPr>
          <w:sz w:val="20"/>
          <w:szCs w:val="20"/>
          <w:color w:val="auto"/>
        </w:rPr>
      </w:pPr>
    </w:p>
    <w:p>
      <w:pPr>
        <w:ind w:left="20"/>
        <w:spacing w:after="0"/>
        <w:tabs>
          <w:tab w:leader="none" w:pos="4980" w:val="left"/>
          <w:tab w:leader="none" w:pos="5420" w:val="left"/>
        </w:tabs>
        <w:rPr>
          <w:sz w:val="20"/>
          <w:szCs w:val="20"/>
          <w:color w:val="auto"/>
        </w:rPr>
      </w:pPr>
      <w:r>
        <w:rPr>
          <w:rFonts w:ascii="Arial" w:cs="Arial" w:eastAsia="Arial" w:hAnsi="Arial"/>
          <w:sz w:val="18"/>
          <w:szCs w:val="18"/>
          <w:color w:val="auto"/>
        </w:rPr>
        <w:t>Date: April 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James O. Harp,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14605</wp:posOffset>
            </wp:positionV>
            <wp:extent cx="3669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69030" cy="8890"/>
                    </a:xfrm>
                    <a:prstGeom prst="rect">
                      <a:avLst/>
                    </a:prstGeom>
                    <a:noFill/>
                  </pic:spPr>
                </pic:pic>
              </a:graphicData>
            </a:graphic>
          </wp:anchor>
        </w:drawing>
      </w:r>
    </w:p>
    <w:p>
      <w:pPr>
        <w:spacing w:after="0" w:line="4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James O. Harp, Jr.</w:t>
      </w:r>
    </w:p>
    <w:p>
      <w:pPr>
        <w:spacing w:after="0" w:line="50"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sectPr>
      <w:pgSz w:w="11900" w:h="16838" w:orient="portrait"/>
      <w:cols w:equalWidth="0" w:num="1">
        <w:col w:w="10860"/>
      </w:cols>
      <w:pgMar w:left="320" w:top="886"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2020-04-01T08:19:09Z</dcterms:created>
  <dcterms:modified xsi:type="dcterms:W3CDTF">2020-04-01T08:19:09Z</dcterms:modified>
</cp:coreProperties>
</file>