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August 16,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Hornbeck Offshore Services,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7"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4424</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72-1375844</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Todd M. Hornbeck</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Chairman of the Board, 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tbl>
      <w:tblPr>
        <w:tblLayout w:type="fixed"/>
        <w:tblInd w:w="2080" w:type="dxa"/>
        <w:tblCellMar>
          <w:top w:w="0" w:type="dxa"/>
          <w:left w:w="0" w:type="dxa"/>
          <w:bottom w:w="0" w:type="dxa"/>
          <w:right w:w="0" w:type="dxa"/>
        </w:tblCellMar>
      </w:tblPr>
      <w:tr>
        <w:trPr>
          <w:trHeight w:val="214"/>
        </w:trPr>
        <w:tc>
          <w:tcPr>
            <w:tcW w:w="234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314"/>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Matthew R. Pacey, P.C.</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T. Mark Kelly</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Ieuan A. List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E. Ramey Layne</w:t>
            </w:r>
          </w:p>
        </w:tc>
      </w:tr>
      <w:tr>
        <w:trPr>
          <w:trHeight w:val="203"/>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Vinson &amp; Elkins LLP</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609 Main Street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845 Texas Avenue</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Houston, TX 77002</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Houston, TX 77002</w:t>
            </w:r>
          </w:p>
        </w:tc>
      </w:tr>
      <w:tr>
        <w:trPr>
          <w:trHeight w:val="212"/>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(713) 836-3786</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is declared effective.</w:t>
      </w:r>
    </w:p>
    <w:p>
      <w:pPr>
        <w:spacing w:after="0" w:line="129"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120" w:right="4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6" w:lineRule="exact"/>
        <w:rPr>
          <w:sz w:val="24"/>
          <w:szCs w:val="24"/>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w:t>
      </w:r>
    </w:p>
    <w:p>
      <w:pPr>
        <w:sectPr>
          <w:pgSz w:w="11900" w:h="16838" w:orient="portrait"/>
          <w:cols w:equalWidth="0" w:num="1">
            <w:col w:w="11140"/>
          </w:cols>
          <w:pgMar w:left="320" w:top="225" w:right="439" w:bottom="0" w:gutter="0" w:footer="0" w:header="0"/>
        </w:sectPr>
      </w:pPr>
    </w:p>
    <w:bookmarkStart w:id="1" w:name="page2"/>
    <w:bookmarkEnd w:id="1"/>
    <w:p>
      <w:pPr>
        <w:spacing w:after="0" w:line="301" w:lineRule="auto"/>
        <w:rPr>
          <w:sz w:val="20"/>
          <w:szCs w:val="20"/>
          <w:color w:val="auto"/>
        </w:rPr>
      </w:pPr>
      <w:r>
        <w:rPr>
          <w:rFonts w:ascii="Times New Roman" w:cs="Times New Roman" w:eastAsia="Times New Roman" w:hAnsi="Times New Roman"/>
          <w:sz w:val="16"/>
          <w:szCs w:val="16"/>
          <w:b w:val="1"/>
          <w:bCs w:val="1"/>
          <w:color w:val="auto"/>
        </w:rPr>
        <w:t>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CB2D5E"/>
        </w:rPr>
        <w:t>Subject to Completion, dated             , 2024</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178435</wp:posOffset>
            </wp:positionV>
            <wp:extent cx="899795" cy="899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979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auto"/>
        </w:rPr>
        <w:t>Hornbeck Offshore Services, Inc.</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This is an initial public offering of shares of our common stock, $0.00001 par value per share. We are offering         shares of our common stock. Certain selling stockholders identified in this prospectus are offering       shares of our common stock.</w:t>
      </w:r>
    </w:p>
    <w:p>
      <w:pPr>
        <w:spacing w:after="0" w:line="163" w:lineRule="exact"/>
        <w:rPr>
          <w:sz w:val="20"/>
          <w:szCs w:val="20"/>
          <w:color w:val="auto"/>
        </w:rPr>
      </w:pPr>
    </w:p>
    <w:p>
      <w:pPr>
        <w:jc w:val="both"/>
        <w:ind w:left="120" w:right="340"/>
        <w:spacing w:after="0" w:line="24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We estimate that the initial public offering price per share will be between $        and $        . See “Underwriting (Conflicts of Interest)” for a discussion of the factors to be considered in determining the initial offering price. We have applied to list our common stock on the New York Stock Exchange (the “NYSE”) under the symbol “HOS.”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in shares of our common stock involves significant risks. See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beginning on page 31.</w:t>
      </w:r>
    </w:p>
    <w:p>
      <w:pPr>
        <w:spacing w:after="0" w:line="221" w:lineRule="exact"/>
        <w:rPr>
          <w:sz w:val="20"/>
          <w:szCs w:val="20"/>
          <w:color w:val="auto"/>
        </w:rPr>
      </w:pPr>
    </w:p>
    <w:p>
      <w:pPr>
        <w:ind w:left="120" w:right="520"/>
        <w:spacing w:after="0" w:line="264" w:lineRule="auto"/>
        <w:rPr>
          <w:sz w:val="20"/>
          <w:szCs w:val="20"/>
          <w:color w:val="auto"/>
        </w:rPr>
      </w:pPr>
      <w:r>
        <w:rPr>
          <w:rFonts w:ascii="Times New Roman" w:cs="Times New Roman" w:eastAsia="Times New Roman" w:hAnsi="Times New Roman"/>
          <w:sz w:val="14"/>
          <w:szCs w:val="14"/>
          <w:i w:val="1"/>
          <w:iCs w:val="1"/>
          <w:color w:val="auto"/>
        </w:rPr>
        <w:t>By participating in this offering, you are representing that you are a citizen of the United States, as defined in the Jones Act (as defined herein). See “Description of Capital Stock and Warrants—Limitations on Ownership by Non-U.S. Citizens.”</w:t>
      </w:r>
    </w:p>
    <w:p>
      <w:pPr>
        <w:spacing w:after="0" w:line="159" w:lineRule="exact"/>
        <w:rPr>
          <w:sz w:val="20"/>
          <w:szCs w:val="20"/>
          <w:color w:val="auto"/>
        </w:rPr>
      </w:pPr>
    </w:p>
    <w:p>
      <w:pPr>
        <w:ind w:left="120" w:right="1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9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Initial public offering price</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9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0"/>
                <w:szCs w:val="10"/>
                <w:color w:val="auto"/>
              </w:rPr>
              <w:t>(1)</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r>
      <w:tr>
        <w:trPr>
          <w:trHeight w:val="148"/>
        </w:trPr>
        <w:tc>
          <w:tcPr>
            <w:tcW w:w="9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r>
      <w:tr>
        <w:trPr>
          <w:trHeight w:val="188"/>
        </w:trPr>
        <w:tc>
          <w:tcPr>
            <w:tcW w:w="9440" w:type="dxa"/>
            <w:vAlign w:val="bottom"/>
          </w:tcPr>
          <w:p>
            <w:pPr>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7"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underwriters for certain expenses. See “Underwriting (Conflicts of Interest).”</w:t>
      </w:r>
    </w:p>
    <w:p>
      <w:pPr>
        <w:spacing w:after="0" w:line="20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4"/>
          <w:szCs w:val="14"/>
          <w:color w:val="auto"/>
        </w:rPr>
        <w:t>At our request, the underwriters have reserved up to   % of the shares of common stock offered by the prospectus for sale, at the initial public offering price, to certain individuals associated with us. See “Underwriting (Conflicts of Interest)—Directed Share Program.”</w:t>
      </w:r>
    </w:p>
    <w:p>
      <w:pPr>
        <w:spacing w:after="0" w:line="163" w:lineRule="exact"/>
        <w:rPr>
          <w:sz w:val="20"/>
          <w:szCs w:val="20"/>
          <w:color w:val="auto"/>
        </w:rPr>
      </w:pPr>
    </w:p>
    <w:p>
      <w:pPr>
        <w:ind w:left="120" w:right="380"/>
        <w:spacing w:after="0" w:line="241" w:lineRule="auto"/>
        <w:rPr>
          <w:sz w:val="20"/>
          <w:szCs w:val="20"/>
          <w:color w:val="auto"/>
        </w:rPr>
      </w:pPr>
      <w:r>
        <w:rPr>
          <w:rFonts w:ascii="Times New Roman" w:cs="Times New Roman" w:eastAsia="Times New Roman" w:hAnsi="Times New Roman"/>
          <w:sz w:val="14"/>
          <w:szCs w:val="14"/>
          <w:color w:val="auto"/>
        </w:rPr>
        <w:t>We and the selling stockholders have granted the underwriters an option for a period of 30 days from the date of this prospectus to purchase up to an additional         shares of our common stock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177" w:lineRule="exact"/>
        <w:rPr>
          <w:sz w:val="20"/>
          <w:szCs w:val="20"/>
          <w:color w:val="auto"/>
        </w:rPr>
      </w:pPr>
    </w:p>
    <w:p>
      <w:pPr>
        <w:ind w:left="120"/>
        <w:spacing w:after="0"/>
        <w:tabs>
          <w:tab w:leader="none" w:pos="5380" w:val="left"/>
          <w:tab w:leader="none" w:pos="5540" w:val="left"/>
          <w:tab w:leader="none" w:pos="5680" w:val="left"/>
          <w:tab w:leader="none" w:pos="5820" w:val="left"/>
        </w:tabs>
        <w:rPr>
          <w:sz w:val="20"/>
          <w:szCs w:val="20"/>
          <w:color w:val="auto"/>
        </w:rPr>
      </w:pPr>
      <w:r>
        <w:rPr>
          <w:rFonts w:ascii="Times New Roman" w:cs="Times New Roman" w:eastAsia="Times New Roman" w:hAnsi="Times New Roman"/>
          <w:sz w:val="14"/>
          <w:szCs w:val="14"/>
          <w:color w:val="auto"/>
        </w:rPr>
        <w:t>The underwriters expect to deliver the shares of common stock to purchasers on or about  </w:t>
        <w:tab/>
        <w:t> </w:t>
        <w:tab/>
        <w:t> </w:t>
        <w:tab/>
        <w:t> </w:t>
        <w:tab/>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tabs>
          <w:tab w:leader="none" w:pos="100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Barclays</w:t>
      </w:r>
    </w:p>
    <w:p>
      <w:pPr>
        <w:spacing w:after="0" w:line="258" w:lineRule="exact"/>
        <w:rPr>
          <w:sz w:val="20"/>
          <w:szCs w:val="20"/>
          <w:color w:val="auto"/>
        </w:rPr>
      </w:pPr>
    </w:p>
    <w:p>
      <w:pPr>
        <w:ind w:left="120"/>
        <w:spacing w:after="0"/>
        <w:tabs>
          <w:tab w:leader="none" w:pos="2500" w:val="left"/>
          <w:tab w:leader="none" w:pos="2720" w:val="left"/>
          <w:tab w:leader="none" w:pos="2940" w:val="left"/>
          <w:tab w:leader="none" w:pos="3160" w:val="left"/>
          <w:tab w:leader="none" w:pos="5540" w:val="left"/>
          <w:tab w:leader="none" w:pos="9700" w:val="left"/>
        </w:tabs>
        <w:rPr>
          <w:sz w:val="20"/>
          <w:szCs w:val="20"/>
          <w:color w:val="auto"/>
        </w:rPr>
      </w:pPr>
      <w:r>
        <w:rPr>
          <w:rFonts w:ascii="Times New Roman" w:cs="Times New Roman" w:eastAsia="Times New Roman" w:hAnsi="Times New Roman"/>
          <w:sz w:val="22"/>
          <w:szCs w:val="22"/>
          <w:color w:val="auto"/>
        </w:rPr>
        <w:t>DNB Markets</w:t>
      </w:r>
      <w:r>
        <w:rPr>
          <w:sz w:val="20"/>
          <w:szCs w:val="20"/>
          <w:color w:val="auto"/>
        </w:rPr>
        <w:tab/>
      </w:r>
      <w:r>
        <w:rPr>
          <w:rFonts w:ascii="Times New Roman" w:cs="Times New Roman" w:eastAsia="Times New Roman" w:hAnsi="Times New Roman"/>
          <w:sz w:val="22"/>
          <w:szCs w:val="22"/>
          <w:color w:val="auto"/>
        </w:rPr>
        <w:t> </w:t>
        <w:tab/>
        <w:t> </w:t>
        <w:tab/>
        <w:t> </w:t>
        <w:tab/>
        <w:t>Piper Sandler</w:t>
      </w:r>
      <w:r>
        <w:rPr>
          <w:sz w:val="20"/>
          <w:szCs w:val="20"/>
          <w:color w:val="auto"/>
        </w:rPr>
        <w:tab/>
      </w:r>
      <w:r>
        <w:rPr>
          <w:rFonts w:ascii="Times New Roman" w:cs="Times New Roman" w:eastAsia="Times New Roman" w:hAnsi="Times New Roman"/>
          <w:sz w:val="22"/>
          <w:szCs w:val="22"/>
          <w:color w:val="auto"/>
        </w:rPr>
        <w:t>Guggenheim Securities</w:t>
      </w:r>
      <w:r>
        <w:rPr>
          <w:sz w:val="20"/>
          <w:szCs w:val="20"/>
          <w:color w:val="auto"/>
        </w:rPr>
        <w:tab/>
      </w:r>
      <w:r>
        <w:rPr>
          <w:rFonts w:ascii="Times New Roman" w:cs="Times New Roman" w:eastAsia="Times New Roman" w:hAnsi="Times New Roman"/>
          <w:sz w:val="21"/>
          <w:szCs w:val="21"/>
          <w:color w:val="auto"/>
        </w:rPr>
        <w:t>Raymond James</w:t>
      </w:r>
    </w:p>
    <w:p>
      <w:pPr>
        <w:spacing w:after="0" w:line="242" w:lineRule="exact"/>
        <w:rPr>
          <w:sz w:val="20"/>
          <w:szCs w:val="20"/>
          <w:color w:val="auto"/>
        </w:rPr>
      </w:pPr>
    </w:p>
    <w:p>
      <w:pPr>
        <w:ind w:left="120"/>
        <w:spacing w:after="0"/>
        <w:tabs>
          <w:tab w:leader="none" w:pos="1720" w:val="left"/>
          <w:tab w:leader="none" w:pos="5720" w:val="left"/>
          <w:tab w:leader="none" w:pos="8700" w:val="left"/>
        </w:tabs>
        <w:rPr>
          <w:sz w:val="20"/>
          <w:szCs w:val="20"/>
          <w:color w:val="auto"/>
        </w:rPr>
      </w:pPr>
      <w:r>
        <w:rPr>
          <w:rFonts w:ascii="Times New Roman" w:cs="Times New Roman" w:eastAsia="Times New Roman" w:hAnsi="Times New Roman"/>
          <w:sz w:val="18"/>
          <w:szCs w:val="18"/>
          <w:color w:val="auto"/>
        </w:rPr>
        <w:t>BTIG</w:t>
      </w:r>
      <w:r>
        <w:rPr>
          <w:sz w:val="20"/>
          <w:szCs w:val="20"/>
          <w:color w:val="auto"/>
        </w:rPr>
        <w:tab/>
      </w:r>
      <w:r>
        <w:rPr>
          <w:rFonts w:ascii="Times New Roman" w:cs="Times New Roman" w:eastAsia="Times New Roman" w:hAnsi="Times New Roman"/>
          <w:sz w:val="18"/>
          <w:szCs w:val="18"/>
          <w:color w:val="auto"/>
        </w:rPr>
        <w:t>Johnson Rice &amp; Company</w:t>
      </w:r>
      <w:r>
        <w:rPr>
          <w:sz w:val="20"/>
          <w:szCs w:val="20"/>
          <w:color w:val="auto"/>
        </w:rPr>
        <w:tab/>
      </w:r>
      <w:r>
        <w:rPr>
          <w:rFonts w:ascii="Times New Roman" w:cs="Times New Roman" w:eastAsia="Times New Roman" w:hAnsi="Times New Roman"/>
          <w:sz w:val="18"/>
          <w:szCs w:val="18"/>
          <w:color w:val="auto"/>
        </w:rPr>
        <w:t>Pickering Energy Partners</w:t>
      </w:r>
      <w:r>
        <w:rPr>
          <w:sz w:val="20"/>
          <w:szCs w:val="20"/>
          <w:color w:val="auto"/>
        </w:rPr>
        <w:tab/>
      </w:r>
      <w:r>
        <w:rPr>
          <w:rFonts w:ascii="Times New Roman" w:cs="Times New Roman" w:eastAsia="Times New Roman" w:hAnsi="Times New Roman"/>
          <w:sz w:val="17"/>
          <w:szCs w:val="17"/>
          <w:color w:val="auto"/>
        </w:rPr>
        <w:t>Seaport Global Securities</w:t>
      </w:r>
    </w:p>
    <w:p>
      <w:pPr>
        <w:spacing w:after="0" w:line="257" w:lineRule="exact"/>
        <w:rPr>
          <w:sz w:val="20"/>
          <w:szCs w:val="20"/>
          <w:color w:val="auto"/>
        </w:rPr>
      </w:pPr>
    </w:p>
    <w:p>
      <w:pPr>
        <w:ind w:left="2120"/>
        <w:spacing w:after="0"/>
        <w:tabs>
          <w:tab w:leader="none" w:pos="6720" w:val="left"/>
        </w:tabs>
        <w:rPr>
          <w:sz w:val="20"/>
          <w:szCs w:val="20"/>
          <w:color w:val="auto"/>
        </w:rPr>
      </w:pPr>
      <w:r>
        <w:rPr>
          <w:rFonts w:ascii="Times New Roman" w:cs="Times New Roman" w:eastAsia="Times New Roman" w:hAnsi="Times New Roman"/>
          <w:sz w:val="16"/>
          <w:szCs w:val="16"/>
          <w:color w:val="auto"/>
        </w:rPr>
        <w:t>Academy Securities</w:t>
      </w:r>
      <w:r>
        <w:rPr>
          <w:sz w:val="20"/>
          <w:szCs w:val="20"/>
          <w:color w:val="auto"/>
        </w:rPr>
        <w:tab/>
      </w:r>
      <w:r>
        <w:rPr>
          <w:rFonts w:ascii="Times New Roman" w:cs="Times New Roman" w:eastAsia="Times New Roman" w:hAnsi="Times New Roman"/>
          <w:sz w:val="15"/>
          <w:szCs w:val="15"/>
          <w:color w:val="auto"/>
        </w:rPr>
        <w:t>Drexel Hamilton</w:t>
      </w:r>
    </w:p>
    <w:p>
      <w:pPr>
        <w:sectPr>
          <w:pgSz w:w="11900" w:h="16838" w:orient="portrait"/>
          <w:cols w:equalWidth="0" w:num="1">
            <w:col w:w="11140"/>
          </w:cols>
          <w:pgMar w:left="320" w:top="455" w:right="439" w:bottom="1440" w:gutter="0" w:footer="0" w:header="0"/>
        </w:sectPr>
      </w:pPr>
    </w:p>
    <w:p>
      <w:pPr>
        <w:spacing w:after="0" w:line="226" w:lineRule="exact"/>
        <w:rPr>
          <w:sz w:val="20"/>
          <w:szCs w:val="20"/>
          <w:color w:val="auto"/>
        </w:rPr>
      </w:pPr>
    </w:p>
    <w:p>
      <w:pPr>
        <w:jc w:val="center"/>
        <w:ind w:right="-119"/>
        <w:spacing w:after="0"/>
        <w:tabs>
          <w:tab w:leader="none" w:pos="80" w:val="left"/>
          <w:tab w:leader="none" w:pos="80" w:val="left"/>
          <w:tab w:leader="none" w:pos="100" w:val="left"/>
          <w:tab w:leader="none" w:pos="100" w:val="left"/>
        </w:tabs>
        <w:rPr>
          <w:sz w:val="20"/>
          <w:szCs w:val="20"/>
          <w:color w:val="auto"/>
        </w:rPr>
      </w:pPr>
      <w:r>
        <w:rPr>
          <w:rFonts w:ascii="Times New Roman" w:cs="Times New Roman" w:eastAsia="Times New Roman" w:hAnsi="Times New Roman"/>
          <w:sz w:val="14"/>
          <w:szCs w:val="14"/>
          <w:color w:val="auto"/>
        </w:rPr>
        <w:t>Prospectus dated  </w:t>
        <w:tab/>
        <w:t> </w:t>
        <w:tab/>
        <w:t> </w:t>
        <w:tab/>
        <w:t> </w:t>
        <w:tab/>
        <w:t>, 2024</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4400" w:type="dxa"/>
            <w:vAlign w:val="bottom"/>
            <w:tcBorders>
              <w:top w:val="single" w:sz="8" w:color="0000EE"/>
            </w:tcBorders>
            <w:gridSpan w:val="14"/>
          </w:tcPr>
          <w:p>
            <w:pPr>
              <w:spacing w:after="0"/>
              <w:rPr>
                <w:sz w:val="17"/>
                <w:szCs w:val="17"/>
                <w:color w:val="auto"/>
              </w:rPr>
            </w:pPr>
          </w:p>
        </w:tc>
        <w:tc>
          <w:tcPr>
            <w:tcW w:w="44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18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89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2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4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36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AND SELLING STOCKHOLDERS</w:t>
            </w:r>
          </w:p>
        </w:tc>
        <w:tc>
          <w:tcPr>
            <w:tcW w:w="618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196"/>
        </w:trPr>
        <w:tc>
          <w:tcPr>
            <w:tcW w:w="43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CAPITAL STOCK AND WARRANTS</w:t>
            </w:r>
          </w:p>
        </w:tc>
        <w:tc>
          <w:tcPr>
            <w:tcW w:w="1120" w:type="dxa"/>
            <w:vAlign w:val="bottom"/>
            <w:tcBorders>
              <w:top w:val="single" w:sz="8" w:color="0000EE"/>
            </w:tcBorders>
            <w:gridSpan w:val="2"/>
          </w:tcPr>
          <w:p>
            <w:pPr>
              <w:spacing w:after="0"/>
              <w:rPr>
                <w:sz w:val="17"/>
                <w:szCs w:val="17"/>
                <w:color w:val="auto"/>
              </w:rPr>
            </w:pPr>
          </w:p>
        </w:tc>
        <w:tc>
          <w:tcPr>
            <w:tcW w:w="43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6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r>
      <w:tr>
        <w:trPr>
          <w:trHeight w:val="196"/>
        </w:trPr>
        <w:tc>
          <w:tcPr>
            <w:tcW w:w="37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3240" w:type="dxa"/>
            <w:vAlign w:val="bottom"/>
            <w:tcBorders>
              <w:top w:val="single" w:sz="8" w:color="0000EE"/>
            </w:tcBorders>
            <w:gridSpan w:val="5"/>
          </w:tcPr>
          <w:p>
            <w:pPr>
              <w:spacing w:after="0"/>
              <w:rPr>
                <w:sz w:val="17"/>
                <w:szCs w:val="17"/>
                <w:color w:val="auto"/>
              </w:rPr>
            </w:pPr>
          </w:p>
        </w:tc>
        <w:tc>
          <w:tcPr>
            <w:tcW w:w="28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30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4"/>
          </w:tcPr>
          <w:p>
            <w:pPr>
              <w:spacing w:after="0"/>
              <w:rPr>
                <w:sz w:val="17"/>
                <w:szCs w:val="17"/>
                <w:color w:val="auto"/>
              </w:rPr>
            </w:pPr>
          </w:p>
        </w:tc>
        <w:tc>
          <w:tcPr>
            <w:tcW w:w="598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the context indicates or otherwise requires, the terms listed below have the following meanings: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Omnibus Incentive Plan</w:t>
      </w:r>
      <w:r>
        <w:rPr>
          <w:rFonts w:ascii="Times New Roman" w:cs="Times New Roman" w:eastAsia="Times New Roman" w:hAnsi="Times New Roman"/>
          <w:sz w:val="18"/>
          <w:szCs w:val="18"/>
          <w:color w:val="auto"/>
        </w:rPr>
        <w:t>” means Hornbeck Offshore Services, Inc. 2024 Omnibus Incentive Plan, the form of which is attached as Exhibit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5"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2020 Management Incentive Plan</w:t>
      </w:r>
      <w:r>
        <w:rPr>
          <w:rFonts w:ascii="Times New Roman" w:cs="Times New Roman" w:eastAsia="Times New Roman" w:hAnsi="Times New Roman"/>
          <w:sz w:val="18"/>
          <w:szCs w:val="18"/>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7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Financial Statements</w:t>
      </w:r>
      <w:r>
        <w:rPr>
          <w:rFonts w:ascii="Times New Roman" w:cs="Times New Roman" w:eastAsia="Times New Roman" w:hAnsi="Times New Roman"/>
          <w:sz w:val="18"/>
          <w:szCs w:val="18"/>
          <w:color w:val="auto"/>
        </w:rPr>
        <w:t>” means the audited consolidated financial statements of Hornbeck Offshore Services, Inc. at December 31, 2023 and 2022, and for the years ended December 31, 2023, 2022 and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means Ares Management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means Financial Accounting Standards Board Accounting Standards Codification;</w:t>
      </w:r>
    </w:p>
    <w:p>
      <w:pPr>
        <w:spacing w:after="0" w:line="225"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Chapter 11 Cases</w:t>
      </w:r>
      <w:r>
        <w:rPr>
          <w:rFonts w:ascii="Times New Roman" w:cs="Times New Roman" w:eastAsia="Times New Roman" w:hAnsi="Times New Roman"/>
          <w:sz w:val="18"/>
          <w:szCs w:val="18"/>
          <w:color w:val="auto"/>
        </w:rPr>
        <w:t>” means the Company’s Chapter 11 cases in the United States Bankruptcy Court for the Southern District of Texas, Houston Division, or the Bankruptcy Court, consummated September 4, 2020;</w:t>
      </w:r>
    </w:p>
    <w:p>
      <w:pPr>
        <w:spacing w:after="0" w:line="158"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Hornbeck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means, unless otherwise indicated or the context otherwise requires, Hornbeck Offshore Services, Inc., a Delaware corporation, and its consolidated subsidiaries;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 Closing Date</w:t>
      </w:r>
      <w:r>
        <w:rPr>
          <w:rFonts w:ascii="Times New Roman" w:cs="Times New Roman" w:eastAsia="Times New Roman" w:hAnsi="Times New Roman"/>
          <w:sz w:val="18"/>
          <w:szCs w:val="18"/>
          <w:color w:val="auto"/>
        </w:rPr>
        <w:t>” means the closing date of the First Lien Credit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Creditor Warrants</w:t>
      </w:r>
      <w:r>
        <w:rPr>
          <w:rFonts w:ascii="Times New Roman" w:cs="Times New Roman" w:eastAsia="Times New Roman" w:hAnsi="Times New Roman"/>
          <w:sz w:val="18"/>
          <w:szCs w:val="18"/>
          <w:color w:val="auto"/>
        </w:rPr>
        <w:t>” means those certain warrants issued to certain claimants in settlement of certain pre-Chapter 11 Cases liabilities;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Eastern</w:t>
      </w:r>
      <w:r>
        <w:rPr>
          <w:rFonts w:ascii="Times New Roman" w:cs="Times New Roman" w:eastAsia="Times New Roman" w:hAnsi="Times New Roman"/>
          <w:sz w:val="18"/>
          <w:szCs w:val="18"/>
          <w:color w:val="auto"/>
        </w:rPr>
        <w:t>” means Eastern Shipbuilding Group,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w:t>
      </w:r>
      <w:r>
        <w:rPr>
          <w:rFonts w:ascii="Times New Roman" w:cs="Times New Roman" w:eastAsia="Times New Roman" w:hAnsi="Times New Roman"/>
          <w:sz w:val="18"/>
          <w:szCs w:val="18"/>
          <w:color w:val="auto"/>
        </w:rPr>
        <w:t>” means Edison Chouest Offshore;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w:t>
      </w:r>
      <w:r>
        <w:rPr>
          <w:rFonts w:ascii="Times New Roman" w:cs="Times New Roman" w:eastAsia="Times New Roman" w:hAnsi="Times New Roman"/>
          <w:sz w:val="18"/>
          <w:szCs w:val="18"/>
          <w:color w:val="auto"/>
        </w:rPr>
        <w:t>” means the ECO Acquisitions #1 and the ECO Acquisitions #2;</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 #1</w:t>
      </w:r>
      <w:r>
        <w:rPr>
          <w:rFonts w:ascii="Times New Roman" w:cs="Times New Roman" w:eastAsia="Times New Roman" w:hAnsi="Times New Roman"/>
          <w:sz w:val="18"/>
          <w:szCs w:val="18"/>
          <w:color w:val="auto"/>
        </w:rPr>
        <w:t>” means the acquisition of six high-spec OSVs effected pursuant to the definitive purchase agreements the Company entered into with certain affiliates of ECO on January 10, 2022, as amended;</w:t>
      </w:r>
    </w:p>
    <w:p>
      <w:pPr>
        <w:spacing w:after="0" w:line="158" w:lineRule="exact"/>
        <w:rPr>
          <w:sz w:val="20"/>
          <w:szCs w:val="20"/>
          <w:color w:val="auto"/>
        </w:rPr>
      </w:pPr>
    </w:p>
    <w:p>
      <w:pPr>
        <w:ind w:left="120" w:right="5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 #2</w:t>
      </w:r>
      <w:r>
        <w:rPr>
          <w:rFonts w:ascii="Times New Roman" w:cs="Times New Roman" w:eastAsia="Times New Roman" w:hAnsi="Times New Roman"/>
          <w:sz w:val="18"/>
          <w:szCs w:val="18"/>
          <w:color w:val="auto"/>
        </w:rPr>
        <w:t>” means the acquisition of six high-spec OSVs effected as contemplated by the controlling purchase agreement the Company entered into with Nautical, an ECO affiliate, on December 22, 2022, as subsequently divided into separate agreements and as each was amended;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means our Annual Financial Statements and our Quarterly Financial Statements;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Credit Agreement</w:t>
      </w:r>
      <w:r>
        <w:rPr>
          <w:rFonts w:ascii="Times New Roman" w:cs="Times New Roman" w:eastAsia="Times New Roman" w:hAnsi="Times New Roman"/>
          <w:sz w:val="18"/>
          <w:szCs w:val="18"/>
          <w:color w:val="auto"/>
        </w:rPr>
        <w:t>” means the Credit Agreement, dated as of August 13, 2024, by and among the Company, DNB Bank ASA, New York Branch, as administrative agent, Wilmington Trust, National Association, as collateral agent, and the lenders party thereto;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Revolving Credit Facility</w:t>
      </w:r>
      <w:r>
        <w:rPr>
          <w:rFonts w:ascii="Times New Roman" w:cs="Times New Roman" w:eastAsia="Times New Roman" w:hAnsi="Times New Roman"/>
          <w:sz w:val="18"/>
          <w:szCs w:val="18"/>
          <w:color w:val="auto"/>
        </w:rPr>
        <w:t>” means the revolving credit facility established pursuant to the terms of the First Lien Credit Agreement;</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60"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Gulf Island</w:t>
      </w:r>
      <w:r>
        <w:rPr>
          <w:rFonts w:ascii="Times New Roman" w:cs="Times New Roman" w:eastAsia="Times New Roman" w:hAnsi="Times New Roman"/>
          <w:sz w:val="18"/>
          <w:szCs w:val="18"/>
          <w:color w:val="auto"/>
        </w:rPr>
        <w:t>” means Gulf Island Shipyards, LLC;</w:t>
      </w:r>
    </w:p>
    <w:p>
      <w:pPr>
        <w:spacing w:after="0" w:line="22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high-specification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high-spec</w:t>
      </w:r>
      <w:r>
        <w:rPr>
          <w:rFonts w:ascii="Times New Roman" w:cs="Times New Roman" w:eastAsia="Times New Roman" w:hAnsi="Times New Roman"/>
          <w:sz w:val="18"/>
          <w:szCs w:val="18"/>
          <w:color w:val="auto"/>
        </w:rPr>
        <w:t>”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Highbridge</w:t>
      </w:r>
      <w:r>
        <w:rPr>
          <w:rFonts w:ascii="Times New Roman" w:cs="Times New Roman" w:eastAsia="Times New Roman" w:hAnsi="Times New Roman"/>
          <w:sz w:val="18"/>
          <w:szCs w:val="18"/>
          <w:color w:val="auto"/>
        </w:rPr>
        <w:t>” means Highbridge Capital Management LLC;</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 Warrants</w:t>
      </w:r>
      <w:r>
        <w:rPr>
          <w:rFonts w:ascii="Times New Roman" w:cs="Times New Roman" w:eastAsia="Times New Roman" w:hAnsi="Times New Roman"/>
          <w:sz w:val="18"/>
          <w:szCs w:val="18"/>
          <w:color w:val="auto"/>
        </w:rPr>
        <w:t>” means those certain warrants issued to certain non-U.S. citizens in settlement of certain pre-Chapter 11 Cases liabilities and in connection with subsequent private offerings of the Company’s equity;</w:t>
      </w:r>
    </w:p>
    <w:p>
      <w:pPr>
        <w:spacing w:after="0" w:line="158"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low-specification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low-spec</w:t>
      </w:r>
      <w:r>
        <w:rPr>
          <w:rFonts w:ascii="Times New Roman" w:cs="Times New Roman" w:eastAsia="Times New Roman" w:hAnsi="Times New Roman"/>
          <w:sz w:val="18"/>
          <w:szCs w:val="18"/>
          <w:color w:val="auto"/>
        </w:rPr>
        <w:t>” means, when referring to OSVs, vessels with cargo-carrying capacity of less than 2,500 DWT (i.e., primarily 200 class OSV notations), and/or vessels with dynamic-positioning systems with a DP-1 classification or lower;</w:t>
      </w:r>
    </w:p>
    <w:p>
      <w:pPr>
        <w:spacing w:after="0" w:line="158"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mid-specification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mid-spec</w:t>
      </w:r>
      <w:r>
        <w:rPr>
          <w:rFonts w:ascii="Times New Roman" w:cs="Times New Roman" w:eastAsia="Times New Roman" w:hAnsi="Times New Roman"/>
          <w:sz w:val="18"/>
          <w:szCs w:val="18"/>
          <w:color w:val="auto"/>
        </w:rPr>
        <w:t>” means, when referring to OSVs, vessels with cargo-carrying capacity of between 2,500 and 3,500 DWT (i.e., primarily 240 class OSV notations), and dynamic positioning (“DP”) systems with a DP-2 classification or higher;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Nautical</w:t>
      </w:r>
      <w:r>
        <w:rPr>
          <w:rFonts w:ascii="Times New Roman" w:cs="Times New Roman" w:eastAsia="Times New Roman" w:hAnsi="Times New Roman"/>
          <w:sz w:val="18"/>
          <w:szCs w:val="18"/>
          <w:color w:val="auto"/>
        </w:rPr>
        <w:t>” means Nautical Solutions, L.L.C., an ECO affiliate;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PEMEX</w:t>
      </w:r>
      <w:r>
        <w:rPr>
          <w:rFonts w:ascii="Times New Roman" w:cs="Times New Roman" w:eastAsia="Times New Roman" w:hAnsi="Times New Roman"/>
          <w:sz w:val="18"/>
          <w:szCs w:val="18"/>
          <w:color w:val="auto"/>
        </w:rPr>
        <w:t>” means Petroleos Mexicanos;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Petrobras</w:t>
      </w:r>
      <w:r>
        <w:rPr>
          <w:rFonts w:ascii="Times New Roman" w:cs="Times New Roman" w:eastAsia="Times New Roman" w:hAnsi="Times New Roman"/>
          <w:sz w:val="18"/>
          <w:szCs w:val="18"/>
          <w:color w:val="auto"/>
        </w:rPr>
        <w:t>” means Petroleo Brasileiro S.A.;</w:t>
      </w:r>
    </w:p>
    <w:p>
      <w:pPr>
        <w:spacing w:after="0" w:line="22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stockholders</w:t>
      </w:r>
      <w:r>
        <w:rPr>
          <w:rFonts w:ascii="Times New Roman" w:cs="Times New Roman" w:eastAsia="Times New Roman" w:hAnsi="Times New Roman"/>
          <w:sz w:val="18"/>
          <w:szCs w:val="18"/>
          <w:color w:val="auto"/>
        </w:rPr>
        <w:t>” means funds, investment vehicles or accounts managed or advised by Ares, Whitebox or Highbridge or their respective affiliates, in each case, that own shares of our common stock;</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Quarterly Financial Statements</w:t>
      </w:r>
      <w:r>
        <w:rPr>
          <w:rFonts w:ascii="Times New Roman" w:cs="Times New Roman" w:eastAsia="Times New Roman" w:hAnsi="Times New Roman"/>
          <w:sz w:val="18"/>
          <w:szCs w:val="18"/>
          <w:color w:val="auto"/>
        </w:rPr>
        <w:t>” means the unaudited condensed consolidated financial statements for the three and six months ended June 30, 2024 and 2023;</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“Replacement First Lien Term Loans</w:t>
      </w:r>
      <w:r>
        <w:rPr>
          <w:rFonts w:ascii="Times New Roman" w:cs="Times New Roman" w:eastAsia="Times New Roman" w:hAnsi="Times New Roman"/>
          <w:sz w:val="18"/>
          <w:szCs w:val="18"/>
          <w:color w:val="auto"/>
        </w:rPr>
        <w:t>” means the first lien replacement term loans under that certain first lien term loan credit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4, 2020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Index Replacement Agreement and Second Amendment to First Lien Credit Agreement, dated July 27, 2023), by and among the Company, as parent borrower, Hornbeck Offshore Services, LLC, as co-borrower, Wilmington Trust, National Association, as administrative agent and collateral agent, and the lenders party thereto, all obligations under which were fully paid and terminated on August 31, 2023;</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Credit Agreement</w:t>
      </w:r>
      <w:r>
        <w:rPr>
          <w:rFonts w:ascii="Times New Roman" w:cs="Times New Roman" w:eastAsia="Times New Roman" w:hAnsi="Times New Roman"/>
          <w:sz w:val="18"/>
          <w:szCs w:val="18"/>
          <w:color w:val="auto"/>
        </w:rPr>
        <w:t>” means that certain second lien term loan credit agreement, dated September 4, 2020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Term Loans</w:t>
      </w:r>
      <w:r>
        <w:rPr>
          <w:rFonts w:ascii="Times New Roman" w:cs="Times New Roman" w:eastAsia="Times New Roman" w:hAnsi="Times New Roman"/>
          <w:sz w:val="18"/>
          <w:szCs w:val="18"/>
          <w:color w:val="auto"/>
        </w:rPr>
        <w:t>” means our outstanding term loans under the Second Lien Credit Agreement;</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Surety</w:t>
      </w:r>
      <w:r>
        <w:rPr>
          <w:rFonts w:ascii="Times New Roman" w:cs="Times New Roman" w:eastAsia="Times New Roman" w:hAnsi="Times New Roman"/>
          <w:sz w:val="18"/>
          <w:szCs w:val="18"/>
          <w:color w:val="auto"/>
        </w:rPr>
        <w:t>” means Zurich Insurance Company of America and Fidelity &amp; Deposit Company of Maryland;</w:t>
      </w:r>
    </w:p>
    <w:p>
      <w:pPr>
        <w:spacing w:after="0" w:line="225"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ultra high-specification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ultra high-spec</w:t>
      </w:r>
      <w:r>
        <w:rPr>
          <w:rFonts w:ascii="Times New Roman" w:cs="Times New Roman" w:eastAsia="Times New Roman" w:hAnsi="Times New Roman"/>
          <w:sz w:val="18"/>
          <w:szCs w:val="18"/>
          <w:color w:val="auto"/>
        </w:rPr>
        <w:t>”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 and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Whitebox</w:t>
      </w:r>
      <w:r>
        <w:rPr>
          <w:rFonts w:ascii="Times New Roman" w:cs="Times New Roman" w:eastAsia="Times New Roman" w:hAnsi="Times New Roman"/>
          <w:sz w:val="18"/>
          <w:szCs w:val="18"/>
          <w:color w:val="auto"/>
        </w:rPr>
        <w:t>” means Whitebox Advisors LLC.</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00"/>
          </w:cols>
          <w:pgMar w:left="320" w:top="455"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abbreviations and definitions of certain terms used in this document, which are commonly used in the offshore support vessel industry:</w:t>
      </w:r>
    </w:p>
    <w:p>
      <w:pPr>
        <w:spacing w:after="0" w:line="160"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active utilization</w:t>
      </w:r>
      <w:r>
        <w:rPr>
          <w:rFonts w:ascii="Times New Roman" w:cs="Times New Roman" w:eastAsia="Times New Roman" w:hAnsi="Times New Roman"/>
          <w:sz w:val="18"/>
          <w:szCs w:val="18"/>
          <w:color w:val="auto"/>
        </w:rPr>
        <w:t>” means, when referring to OSVs or MPSVs, the weighted-average rate that active vessels are utilized, or generating revenues, based on a denominator comprised only of vessel-days available for service by the active fleet, which excludes the impact of inactive or stacked vessel days;</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dayrate</w:t>
      </w:r>
      <w:r>
        <w:rPr>
          <w:rFonts w:ascii="Times New Roman" w:cs="Times New Roman" w:eastAsia="Times New Roman" w:hAnsi="Times New Roman"/>
          <w:sz w:val="18"/>
          <w:szCs w:val="18"/>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80"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utilization</w:t>
      </w:r>
      <w:r>
        <w:rPr>
          <w:rFonts w:ascii="Times New Roman" w:cs="Times New Roman" w:eastAsia="Times New Roman" w:hAnsi="Times New Roman"/>
          <w:sz w:val="18"/>
          <w:szCs w:val="18"/>
          <w:color w:val="auto"/>
        </w:rPr>
        <w:t>” means, when referring to OSVs or MPSVs, the weighted-average rate that vessels are utilized, or generating revenues, based on a 365-day year;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BOEM</w:t>
      </w:r>
      <w:r>
        <w:rPr>
          <w:rFonts w:ascii="Times New Roman" w:cs="Times New Roman" w:eastAsia="Times New Roman" w:hAnsi="Times New Roman"/>
          <w:sz w:val="18"/>
          <w:szCs w:val="18"/>
          <w:color w:val="auto"/>
        </w:rPr>
        <w:t>” means the Bureau of Ocean Energy Management;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cabotage laws</w:t>
      </w:r>
      <w:r>
        <w:rPr>
          <w:rFonts w:ascii="Times New Roman" w:cs="Times New Roman" w:eastAsia="Times New Roman" w:hAnsi="Times New Roman"/>
          <w:sz w:val="18"/>
          <w:szCs w:val="18"/>
          <w:color w:val="auto"/>
        </w:rPr>
        <w:t>” means laws pertaining to the privilege of owning and operating vessels in the navigable, territorial waters of a nation;</w:t>
      </w:r>
    </w:p>
    <w:p>
      <w:pPr>
        <w:spacing w:after="0" w:line="22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coastwise trade</w:t>
      </w:r>
      <w:r>
        <w:rPr>
          <w:rFonts w:ascii="Times New Roman" w:cs="Times New Roman" w:eastAsia="Times New Roman" w:hAnsi="Times New Roman"/>
          <w:sz w:val="18"/>
          <w:szCs w:val="18"/>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CO2e/kboe</w:t>
      </w:r>
      <w:r>
        <w:rPr>
          <w:rFonts w:ascii="Times New Roman" w:cs="Times New Roman" w:eastAsia="Times New Roman" w:hAnsi="Times New Roman"/>
          <w:sz w:val="18"/>
          <w:szCs w:val="18"/>
          <w:color w:val="auto"/>
        </w:rPr>
        <w:t>” means carbon dioxide equivalent per thousand barrels of oil equivalent;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C/SOV</w:t>
      </w:r>
      <w:r>
        <w:rPr>
          <w:rFonts w:ascii="Times New Roman" w:cs="Times New Roman" w:eastAsia="Times New Roman" w:hAnsi="Times New Roman"/>
          <w:sz w:val="18"/>
          <w:szCs w:val="18"/>
          <w:color w:val="auto"/>
        </w:rPr>
        <w:t>” means a multi-purpose service vessel that can be utilized in the offshore wind market as either a CSOV or an SOV. A CSOV is a Commissioning Service Operation Vessel, typically serving during the commissioning and installation phases of an offshore wind farm, under contracts that are usually less than one year in duration. A SOV is a Service Operation Vessel, typically performing operations and maintenance services during the life of an offshore wind farm, under contracts that can be for multi-year terms;</w:t>
      </w:r>
    </w:p>
    <w:p>
      <w:pPr>
        <w:spacing w:after="0" w:line="18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deep-well</w:t>
      </w:r>
      <w:r>
        <w:rPr>
          <w:rFonts w:ascii="Times New Roman" w:cs="Times New Roman" w:eastAsia="Times New Roman" w:hAnsi="Times New Roman"/>
          <w:sz w:val="18"/>
          <w:szCs w:val="18"/>
          <w:color w:val="auto"/>
        </w:rPr>
        <w:t>” means a well drilled to a true vertical depth of 15,000’ or greater, regardless of whether the well was drilled in the shallow water of the Outer Continental Shelf or in the deepwater or ultra-deepwater;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deepwater</w:t>
      </w:r>
      <w:r>
        <w:rPr>
          <w:rFonts w:ascii="Times New Roman" w:cs="Times New Roman" w:eastAsia="Times New Roman" w:hAnsi="Times New Roman"/>
          <w:sz w:val="18"/>
          <w:szCs w:val="18"/>
          <w:color w:val="auto"/>
        </w:rPr>
        <w:t>” means offshore areas, generally 1,000’ to 5,000’ in depth;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D-FARs</w:t>
      </w:r>
      <w:r>
        <w:rPr>
          <w:rFonts w:ascii="Times New Roman" w:cs="Times New Roman" w:eastAsia="Times New Roman" w:hAnsi="Times New Roman"/>
          <w:sz w:val="18"/>
          <w:szCs w:val="18"/>
          <w:color w:val="auto"/>
        </w:rPr>
        <w:t>” means Defense Federal Acquisition Regulations;</w:t>
      </w:r>
    </w:p>
    <w:p>
      <w:pPr>
        <w:spacing w:after="0" w:line="22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DP-1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DP-2</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DP-3</w:t>
      </w:r>
      <w:r>
        <w:rPr>
          <w:rFonts w:ascii="Times New Roman" w:cs="Times New Roman" w:eastAsia="Times New Roman" w:hAnsi="Times New Roman"/>
          <w:sz w:val="18"/>
          <w:szCs w:val="18"/>
          <w:color w:val="auto"/>
        </w:rPr>
        <w:t>” mean various classifications of DP systems on vessels to automatically maintain a vessel’s position and heading through anchor-less station-keeping;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w:t>
      </w:r>
      <w:r>
        <w:rPr>
          <w:rFonts w:ascii="Times New Roman" w:cs="Times New Roman" w:eastAsia="Times New Roman" w:hAnsi="Times New Roman"/>
          <w:sz w:val="18"/>
          <w:szCs w:val="18"/>
          <w:color w:val="auto"/>
        </w:rPr>
        <w:t>” means deadweight tons;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dayrate</w:t>
      </w:r>
      <w:r>
        <w:rPr>
          <w:rFonts w:ascii="Times New Roman" w:cs="Times New Roman" w:eastAsia="Times New Roman" w:hAnsi="Times New Roman"/>
          <w:sz w:val="18"/>
          <w:szCs w:val="18"/>
          <w:color w:val="auto"/>
        </w:rPr>
        <w:t>” means the average dayrate multiplied by the average utilization rate;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FARs</w:t>
      </w:r>
      <w:r>
        <w:rPr>
          <w:rFonts w:ascii="Times New Roman" w:cs="Times New Roman" w:eastAsia="Times New Roman" w:hAnsi="Times New Roman"/>
          <w:sz w:val="18"/>
          <w:szCs w:val="18"/>
          <w:color w:val="auto"/>
        </w:rPr>
        <w:t>” means Federal Acquisition Regulations;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flotel</w:t>
      </w:r>
      <w:r>
        <w:rPr>
          <w:rFonts w:ascii="Times New Roman" w:cs="Times New Roman" w:eastAsia="Times New Roman" w:hAnsi="Times New Roman"/>
          <w:sz w:val="18"/>
          <w:szCs w:val="18"/>
          <w:color w:val="auto"/>
        </w:rPr>
        <w:t>” means on-vessel accommodations services, such as lodging, meals and office space;</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GoM</w:t>
      </w:r>
      <w:r>
        <w:rPr>
          <w:rFonts w:ascii="Times New Roman" w:cs="Times New Roman" w:eastAsia="Times New Roman" w:hAnsi="Times New Roman"/>
          <w:sz w:val="18"/>
          <w:szCs w:val="18"/>
          <w:color w:val="auto"/>
        </w:rPr>
        <w:t>” means the U.S. GoM and the Mexico GoM;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3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w:t>
      </w:r>
      <w:r>
        <w:rPr>
          <w:rFonts w:ascii="Times New Roman" w:cs="Times New Roman" w:eastAsia="Times New Roman" w:hAnsi="Times New Roman"/>
          <w:sz w:val="18"/>
          <w:szCs w:val="18"/>
          <w:color w:val="auto"/>
        </w:rPr>
        <w:t>” means the U.S. citizenship and cabotage laws principally contained in 46 U.S.C. § 50501(a), (b) and (d) and 46 U.S.C. Chapters 121 and 551 and any successor statutes thereto, together with the rules and regulations promulgated thereunder by the USCG and the U.S. Department of Transportation’s Maritime Administration and their practices enforcing, administering and interpreting such laws, statutes, rules and regulations, in each case as amended or supplemented from time to time, relating to the ownership and operation of U.S.-flag vessels in the coastwise trade;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Act-qualified</w:t>
      </w:r>
      <w:r>
        <w:rPr>
          <w:rFonts w:ascii="Times New Roman" w:cs="Times New Roman" w:eastAsia="Times New Roman" w:hAnsi="Times New Roman"/>
          <w:sz w:val="18"/>
          <w:szCs w:val="18"/>
          <w:color w:val="auto"/>
        </w:rPr>
        <w:t>” means, when referring to a vessel, a U.S.-flagged vessel qualified to engage in domestic coastwise trade under the Jones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long-term contract</w:t>
      </w:r>
      <w:r>
        <w:rPr>
          <w:rFonts w:ascii="Times New Roman" w:cs="Times New Roman" w:eastAsia="Times New Roman" w:hAnsi="Times New Roman"/>
          <w:sz w:val="18"/>
          <w:szCs w:val="18"/>
          <w:color w:val="auto"/>
        </w:rPr>
        <w:t>” means a time charter of one year or longer in duration;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Mexico GoM</w:t>
      </w:r>
      <w:r>
        <w:rPr>
          <w:rFonts w:ascii="Times New Roman" w:cs="Times New Roman" w:eastAsia="Times New Roman" w:hAnsi="Times New Roman"/>
          <w:sz w:val="18"/>
          <w:szCs w:val="18"/>
          <w:color w:val="auto"/>
        </w:rPr>
        <w:t>” means the territorial waters of Mexico in the Gulf of Mexico;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MPSV</w:t>
      </w:r>
      <w:r>
        <w:rPr>
          <w:rFonts w:ascii="Times New Roman" w:cs="Times New Roman" w:eastAsia="Times New Roman" w:hAnsi="Times New Roman"/>
          <w:sz w:val="18"/>
          <w:szCs w:val="18"/>
          <w:color w:val="auto"/>
        </w:rPr>
        <w:t>” means a multi-purpose support vessel, and we consider all of our MPSVs to be high-spec or ultra high-spec;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MSC</w:t>
      </w:r>
      <w:r>
        <w:rPr>
          <w:rFonts w:ascii="Times New Roman" w:cs="Times New Roman" w:eastAsia="Times New Roman" w:hAnsi="Times New Roman"/>
          <w:sz w:val="18"/>
          <w:szCs w:val="18"/>
          <w:color w:val="auto"/>
        </w:rPr>
        <w:t>” means the Military Sealift Command;</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Naviera</w:t>
      </w:r>
      <w:r>
        <w:rPr>
          <w:rFonts w:ascii="Times New Roman" w:cs="Times New Roman" w:eastAsia="Times New Roman" w:hAnsi="Times New Roman"/>
          <w:sz w:val="18"/>
          <w:szCs w:val="18"/>
          <w:color w:val="auto"/>
        </w:rPr>
        <w:t>” means a Mexican company authorized by Mexican law to engage in shipping activities, including Mexican cabotage and international shipping under Mexican flag;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OSV</w:t>
      </w:r>
      <w:r>
        <w:rPr>
          <w:rFonts w:ascii="Times New Roman" w:cs="Times New Roman" w:eastAsia="Times New Roman" w:hAnsi="Times New Roman"/>
          <w:sz w:val="18"/>
          <w:szCs w:val="18"/>
          <w:color w:val="auto"/>
        </w:rPr>
        <w:t>” means an offshore supply vessel, also known as a “PSV,” or platform supply vessel, depending on regional preference;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ROV</w:t>
      </w:r>
      <w:r>
        <w:rPr>
          <w:rFonts w:ascii="Times New Roman" w:cs="Times New Roman" w:eastAsia="Times New Roman" w:hAnsi="Times New Roman"/>
          <w:sz w:val="18"/>
          <w:szCs w:val="18"/>
          <w:color w:val="auto"/>
        </w:rPr>
        <w:t>” means a remotely operated vehicle, which is a tethered submersible vehicle remotely operated from the surface;</w:t>
      </w:r>
    </w:p>
    <w:p>
      <w:pPr>
        <w:spacing w:after="0" w:line="225"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SEMAR</w:t>
      </w:r>
      <w:r>
        <w:rPr>
          <w:rFonts w:ascii="Times New Roman" w:cs="Times New Roman" w:eastAsia="Times New Roman" w:hAnsi="Times New Roman"/>
          <w:sz w:val="18"/>
          <w:szCs w:val="18"/>
          <w:color w:val="auto"/>
        </w:rPr>
        <w:t>” means Secretaría de Marina, the government agency responsible for, among other things, administering Mexico’s territorial sea and exclusive economic zone;</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TRIR</w:t>
      </w:r>
      <w:r>
        <w:rPr>
          <w:rFonts w:ascii="Times New Roman" w:cs="Times New Roman" w:eastAsia="Times New Roman" w:hAnsi="Times New Roman"/>
          <w:sz w:val="18"/>
          <w:szCs w:val="18"/>
          <w:color w:val="auto"/>
        </w:rPr>
        <w:t>,” means the total recordable incident rate, which is measured as the number of recordable incidents, multiplied by 200,000, then divided by the total number of exposure hours worked in a year;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ultra-deepwater</w:t>
      </w:r>
      <w:r>
        <w:rPr>
          <w:rFonts w:ascii="Times New Roman" w:cs="Times New Roman" w:eastAsia="Times New Roman" w:hAnsi="Times New Roman"/>
          <w:sz w:val="18"/>
          <w:szCs w:val="18"/>
          <w:color w:val="auto"/>
        </w:rPr>
        <w:t>” means offshore areas, generally more than 5,000’ in depth;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GoM</w:t>
      </w:r>
      <w:r>
        <w:rPr>
          <w:rFonts w:ascii="Times New Roman" w:cs="Times New Roman" w:eastAsia="Times New Roman" w:hAnsi="Times New Roman"/>
          <w:sz w:val="18"/>
          <w:szCs w:val="18"/>
          <w:color w:val="auto"/>
        </w:rPr>
        <w:t>” means the territorial waters of the United States in the Gulf of Mexico;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USCG</w:t>
      </w:r>
      <w:r>
        <w:rPr>
          <w:rFonts w:ascii="Times New Roman" w:cs="Times New Roman" w:eastAsia="Times New Roman" w:hAnsi="Times New Roman"/>
          <w:sz w:val="18"/>
          <w:szCs w:val="18"/>
          <w:color w:val="auto"/>
        </w:rPr>
        <w:t>” means United States Coast Guard.</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publicly available information, various industry publications, other published industry sources and our internal data and estimates.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Emissions Benchmarking Tool, a report titled “Short-Term Energy Outlook,” dated July 2024, by the U.S. Energy Information Administration (the “2023 EIA Outlook”), a report titled “Macro and OSV Demand Drivers Outlook,” dated July 2024, by Rystad Energy Consultants, and a report titled “OSV Market Study,” dated August 2024, by Fearnley Offshore Supply.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third-party sources.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valuation information included in this prospectus is an aggregation based on reports prepared by VesselsValue, a Veson Nautical company, which is an independent online valuation and market intelligence provider for the maritime industry (“VesselsValue”). None of such reports were commissioned by or on behalf of Hornbeck, and none of the information contained therein was prepared in connection with, or specifically for use in, this prospectus. The VesselsValue market value data presented in this prospectus is an estimate of the fair market price and newbuild, or replacement cost, of our vessels, in U.S. dollars, as at the valuation date only, and is based on the price VesselsValue estimates in good faith that the vessels would obtain in a hypothetical transaction between a willing buyer and a willing seller on the basis of prompt charter-free delivery at an acceptable worldwide delivery port, for cash payment on standard sale terms. For the purposes of those estimates, it is assumed that the particulars of the vessels are correct, and that the vessels are in good, sound and seaworthy condition, free of maritime liens and all debts whatsoever, fully classed to the requirements of present classification society, free of class recommendations, with clean and valid trading certificates, and where relevant to type and age of each vessel with full oil majors vetting approval, “Rightship” satisfactory inspection/safety score and any other relevant approvals in place. It should be noted that these market valuations are not based on a physical inspection of the vessel nor an inspection of the class records of the vessels by VesselsValue. The estimated market values are for the valuation date only and no assurance is given that any such value will be sustained or is realizable in an actual transaction.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29"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 xml:space="preserve">We own or have rights to trademarks or trade names that we use in conjunction with the operation of our business and that appear in this prospectus. For more information about our license to use certain trademarks and trade names, see “Risk Factors—We do not own the Hornbeck Brands, but may use the Hornbeck Brands pursuant to the terms of a license granted by HFR, and our business may be materially harmed if we breach our license agreement or it is terminated.”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the “Company,” “Hornbeck,” “we,” “us” and “our” refer to Hornbeck Offshore Services, Inc. and its consolidated subsidiaries.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stated, discussions surrounding our vessels are as of July 31, 2024. Such discussions include two partially constructed Jones Act-qualified MPSV newbuilds to be completed pursuant to our settlement with the Surety, as further discussed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this offering and after the effectiveness of the registration statement of which this prospectus forms a part, we will effect a  -for-one forward stock split with respect to our common stock (the “stock split”). In this prospectus, we include certain metrics on an “as adjusted” basis to give effect to the stock split.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CERTAIN FINANCIAL MEASURES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reconciliations of EBITDA, Adjusted EBITDA and Adjusted Free Cash Flow to the most directly comparable measure under GAAP, see “Summary—Summary Historical Financial and Other Data” and “Management’s Discussion and Analysis of Financial Condition and Results of Operations—Non-GAAP Financial Measures.”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w:t>
      </w:r>
    </w:p>
    <w:p>
      <w:pPr>
        <w:spacing w:after="0" w:line="3"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4" w:lineRule="exact"/>
        <w:rPr>
          <w:sz w:val="20"/>
          <w:szCs w:val="20"/>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outcomes, and growth prospects;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industry and service-offerings;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such forward-looking statements include:</w:t>
      </w:r>
    </w:p>
    <w:p>
      <w:pPr>
        <w:spacing w:after="0" w:line="67" w:lineRule="exact"/>
        <w:rPr>
          <w:sz w:val="20"/>
          <w:szCs w:val="20"/>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changes in oil and natural gas prices in the United States and worldwide;</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decisions and capital spending by customers in the energy industry and the industry expectations for offshore exploration, field development and production;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decisions or plans or delays for offshore wind development in the United States;</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global financial market conditions and potential constraints in accessing capital or credit if and when needed with favorable terms, if at all;</w:t>
      </w:r>
    </w:p>
    <w:p>
      <w:pPr>
        <w:spacing w:after="0" w:line="67" w:lineRule="exact"/>
        <w:rPr>
          <w:rFonts w:ascii="Times New Roman" w:cs="Times New Roman" w:eastAsia="Times New Roman" w:hAnsi="Times New Roman"/>
          <w:sz w:val="18"/>
          <w:szCs w:val="18"/>
          <w:color w:val="auto"/>
        </w:rPr>
      </w:pPr>
    </w:p>
    <w:p>
      <w:pPr>
        <w:ind w:left="980" w:right="44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customer suspensions, cancellations, rate reductions or non-renewals of vessel charters or vessel management contracts, or failures to finalize commitments to charter or manage vessels;</w:t>
      </w:r>
    </w:p>
    <w:p>
      <w:pPr>
        <w:spacing w:after="0" w:line="67" w:lineRule="exact"/>
        <w:rPr>
          <w:rFonts w:ascii="Times New Roman" w:cs="Times New Roman" w:eastAsia="Times New Roman" w:hAnsi="Times New Roman"/>
          <w:sz w:val="18"/>
          <w:szCs w:val="18"/>
          <w:color w:val="auto"/>
        </w:rPr>
      </w:pPr>
    </w:p>
    <w:p>
      <w:pPr>
        <w:ind w:left="980" w:right="300" w:hanging="432"/>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non-delivery of vessels subject to conversion and new construction agreements effective at the time of this offering, including completion of the conversion of one of our OSVs into a MPSV for dual-service as either a C/SOV or flotel and delivery of the two remaining vessels under our MPSV newbuild program;</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accurately predict vessel utilization levels and dayrates;</w:t>
      </w:r>
    </w:p>
    <w:p>
      <w:pPr>
        <w:spacing w:after="0" w:line="130" w:lineRule="exact"/>
        <w:rPr>
          <w:rFonts w:ascii="Times New Roman" w:cs="Times New Roman" w:eastAsia="Times New Roman" w:hAnsi="Times New Roman"/>
          <w:sz w:val="18"/>
          <w:szCs w:val="18"/>
          <w:color w:val="auto"/>
        </w:rPr>
      </w:pPr>
    </w:p>
    <w:p>
      <w:pPr>
        <w:ind w:left="980" w:right="280" w:hanging="432"/>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we own, are constructing, are converting, have recently acquired or might acquire, including in traditional energy as well as offshore wind, military and other non-oilfield applications;</w:t>
      </w:r>
    </w:p>
    <w:p>
      <w:pPr>
        <w:spacing w:after="0" w:line="45"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acquired businesses or vessels, or entry into new lines of business;</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customer demands for vessel specifications, which may make some of our older vessels technologically obsolete for certain customer projects or in certain markets;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risks normally incident to our lines of business, including the potential impact of liquidated counterparties;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over-supply resulting from reactivating currently-stacked vessels or from constructing new vessels;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34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U.S. government’s procurement policies and practices with regard to the chartering of privately-owned vessels or the management of government-owned vessels by private operators;</w:t>
      </w:r>
    </w:p>
    <w:p>
      <w:pPr>
        <w:spacing w:after="0" w:line="67" w:lineRule="exact"/>
        <w:rPr>
          <w:rFonts w:ascii="Times New Roman" w:cs="Times New Roman" w:eastAsia="Times New Roman" w:hAnsi="Times New Roman"/>
          <w:sz w:val="18"/>
          <w:szCs w:val="18"/>
          <w:color w:val="auto"/>
        </w:rPr>
      </w:pPr>
    </w:p>
    <w:p>
      <w:pPr>
        <w:ind w:left="980" w:right="100" w:hanging="432"/>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oil spill or other significant event in the United States or another offshore drilling region having a broad impact on deepwater and ultra-deepwater and other offshore energy exploration and production activities, such as the suspension of activities or significant regulatory responses;</w:t>
      </w:r>
    </w:p>
    <w:p>
      <w:pPr>
        <w:spacing w:after="0" w:line="81" w:lineRule="exact"/>
        <w:rPr>
          <w:rFonts w:ascii="Times New Roman" w:cs="Times New Roman" w:eastAsia="Times New Roman" w:hAnsi="Times New Roman"/>
          <w:sz w:val="18"/>
          <w:szCs w:val="18"/>
          <w:color w:val="auto"/>
        </w:rPr>
      </w:pPr>
    </w:p>
    <w:p>
      <w:pPr>
        <w:ind w:left="980" w:right="42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laws or regulations that result in reduced exploration and production activities or that increase our or our customers’ operating costs or operating requirements, including laws and regulations addressing climate change;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remedial actions or assessments under existing or future environmental regulations or litigation;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or future environmental regulations or litigation on our business or customer plans or projects;</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reach or otherwise meet initiatives, plans or ambitions with respect to environmental, social and governance (“ESG”) matters, including mandates imposed by customers or governmental agencies;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customers or vendors;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customer base;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or regulatory changes that shorten the expected useful lives of our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burdens and oversight;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judicial or political barriers to exploration and production activities in Mexico, Brazil or other foreign locations;</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governmental policy or judicial or regulatory action, or the enforcement thereof, in Mexico affecting international trade or our Mexican registration and operation of our vessels in Mexican cabotage;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other legal changes in Mexican, Brazilian or other Latin American jurisdictions’ cabotage laws or maritime laws;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cabotage restrictions that impact our ability to operate in other foreign jurisdictions;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legal or administrative changes in Mexico that adversely impact planned or expected offshore energy development;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difficulty in effectively competing in or operating in international markets;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tax, geopolitical and weather-related risks;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various laws and regulations as a result of the upcoming United States presidential and congressional elections;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piracy or government-sanctioned privateering;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regional or global public health crises or pandemics;</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issues that may be encountered in expanding our service offering within our existing government franchise, in the emerging offshore wind industry, and in other non-oilfield applications;</w:t>
      </w:r>
    </w:p>
    <w:p>
      <w:pPr>
        <w:spacing w:after="0" w:line="67"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shortage of or the inability to attract and retain qualified personnel, when needed, including licensed vessel personnel for active vessels or vessels we may acquire or reactivate;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repeal or administrative weakening of the Jones Act or adverse changes in the interpretation of the Jones Act;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drydocking delays, supply chain shortages and cost overruns and related risks;</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accidents, pollution incidents or other events resulting in lost revenue, fines, penalties or other expenses that are unrecoverable from insurance policies or other third parties;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in pending or future legal or administrative proceedings, and any unexpected litigation and insurance expenses;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asserted and unasserted claims and the extent of available insurance coverage;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valuations compared to the U.S. dollar;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unionization of our workforce;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mariners resulting in increased wages, inability to crew vessels or both;</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impacting licensure or compensation paid to mariners;</w:t>
      </w:r>
    </w:p>
    <w:p>
      <w:pPr>
        <w:spacing w:after="0" w:line="130" w:lineRule="exact"/>
        <w:rPr>
          <w:rFonts w:ascii="Times New Roman" w:cs="Times New Roman" w:eastAsia="Times New Roman" w:hAnsi="Times New Roman"/>
          <w:sz w:val="18"/>
          <w:szCs w:val="18"/>
          <w:color w:val="auto"/>
        </w:rPr>
      </w:pPr>
    </w:p>
    <w:p>
      <w:pPr>
        <w:jc w:val="both"/>
        <w:ind w:left="980" w:right="180" w:hanging="432"/>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foreign operations, such as non-compliance with, the unanticipated effect of, or unexpected assessments/enforcement actions taken in connection with, tax laws, customs laws, immigration laws, importation laws or other legislation that result in higher than anticipated tax rates or other costs, especially in higher political risk countries where we operate;</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tax laws and regulations;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in countries outside of the United States, including unlawful detentions, arrests, confiscation or nationalization of our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use our net operating loss (“NOL”) carryforwards and other tax attributes;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or otherwise retire certain funded debt obligations;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any impairment charges that could arise in the future;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information technology, cybersecurity or data security breaches;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“Risk Factors.”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our future results may be impacted by adverse economic conditions, such as inflation, deflation, fluctuations in foreign currency exchange rates, supply chain disruptions, lack of liquidity in the capital markets or an increase in interest rates, that may negatively affect us or parties with whom we do business resulting in their non-payment or inability to perform obligations owed to us, such as the failure of customers to fulfill their contractual obligations, if and when required.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concluded an exhaustive inquiry into, or review of, all potentially available relevant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00"/>
          </w:cols>
          <w:pgMar w:left="320" w:top="455"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 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July 31, 2024 and include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79" w:lineRule="exact"/>
        <w:rPr>
          <w:sz w:val="20"/>
          <w:szCs w:val="20"/>
          <w:color w:val="auto"/>
        </w:rPr>
      </w:pPr>
    </w:p>
    <w:p>
      <w:pPr>
        <w:ind w:left="300" w:right="3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We have defined certain industry terms used in this document in “Commonly Used Defined Terms” and “Glossary of Terms,” appearing immediately after the Table of Contents to this 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68"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w:t>
      </w:r>
    </w:p>
    <w:p>
      <w:pPr>
        <w:spacing w:after="0" w:line="2" w:lineRule="exact"/>
        <w:rPr>
          <w:sz w:val="20"/>
          <w:szCs w:val="20"/>
          <w:color w:val="auto"/>
        </w:rPr>
      </w:pPr>
    </w:p>
    <w:p>
      <w:pPr>
        <w:ind w:left="300" w:right="60"/>
        <w:spacing w:after="0" w:line="246" w:lineRule="auto"/>
        <w:rPr>
          <w:sz w:val="20"/>
          <w:szCs w:val="20"/>
          <w:color w:val="auto"/>
        </w:rPr>
      </w:pPr>
      <w:r>
        <w:rPr>
          <w:rFonts w:ascii="Times New Roman" w:cs="Times New Roman" w:eastAsia="Times New Roman" w:hAnsi="Times New Roman"/>
          <w:sz w:val="17"/>
          <w:szCs w:val="17"/>
          <w:color w:val="auto"/>
        </w:rPr>
        <w:t>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below-deck tanks providing flexibility for a variety of jobs.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Moreover, our 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76"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 + Flotel MPSV will be capable of providing services to the U.S. offshore wind market both during the commissioning phase of an offshore wind farm and during its operational life. We expect the converted MPSV to be placed into active service as either a C/SOV or flotel in 2025, while the two newbuild MPSVs are now expected to be placed into active service in 2026 or possibly thereafter.</w:t>
      </w:r>
    </w:p>
    <w:p>
      <w:pPr>
        <w:spacing w:after="0" w:line="188"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ability to reconfigure or modify vessels in our fleet to meet evolving industry demands and the needs of our customers differentiates our success across maritime markets. This enables us to reconfigure stacked OSVs to service oilfield and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service offerings quickly to respond to changing customer needs.</w:t>
      </w:r>
    </w:p>
    <w:p>
      <w:pPr>
        <w:spacing w:after="0" w:line="18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confidence that both our team and our strategy have been organized in a manner that best positions our Company to effectively execute in this dynamic and demanding operating environment.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Fleet Composition and Operating Regions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GoM, the Caribbean, Northern South America and Brazil, while our vessels primarily serve our</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33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9333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non-oilfield customers from the East and West Coasts of the United States and in the U.S. GoM. We operate our Mexican-flagged vessels across the Caribbean and Northern South America when not operated in Mexico, as well as in other international markets, utilizing a highly-skilled workforce of Mexican mariners and shore-side support team that have been trained in our safety systems and culture. A map illustrating our active vessel locations as of July 31, 2024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OSV Fleet</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illustrates our fleet of OSVs and the nations in which they are flagged as of July 31, 2024:</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Avg DWT</w:t>
            </w: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Total in Class</w:t>
            </w:r>
          </w:p>
        </w:tc>
      </w:tr>
      <w:tr>
        <w:trPr>
          <w:trHeight w:val="250"/>
        </w:trPr>
        <w:tc>
          <w:tcPr>
            <w:tcW w:w="600" w:type="dxa"/>
            <w:vAlign w:val="bottom"/>
            <w:tcBorders>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HOSFLEX 370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7,886</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320</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6,052</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10</w:t>
            </w:r>
          </w:p>
        </w:tc>
      </w:tr>
      <w:tr>
        <w:trPr>
          <w:trHeight w:val="22"/>
        </w:trPr>
        <w:tc>
          <w:tcPr>
            <w:tcW w:w="600" w:type="dxa"/>
            <w:vAlign w:val="bottom"/>
            <w:tcBorders>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310</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5,990</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4</w:t>
            </w:r>
          </w:p>
        </w:tc>
      </w:tr>
      <w:tr>
        <w:trPr>
          <w:trHeight w:val="279"/>
        </w:trPr>
        <w:tc>
          <w:tcPr>
            <w:tcW w:w="600" w:type="dxa"/>
            <w:vAlign w:val="bottom"/>
            <w:tcBorders>
              <w:right w:val="single" w:sz="8" w:color="auto"/>
            </w:tcBorders>
          </w:tcPr>
          <w:p>
            <w:pPr>
              <w:spacing w:after="0"/>
              <w:rPr>
                <w:sz w:val="24"/>
                <w:szCs w:val="24"/>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300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4</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5,489</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6</w:t>
            </w:r>
          </w:p>
        </w:tc>
      </w:tr>
      <w:tr>
        <w:trPr>
          <w:trHeight w:val="264"/>
        </w:trPr>
        <w:tc>
          <w:tcPr>
            <w:tcW w:w="60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HOSMAX 280</w:t>
            </w:r>
          </w:p>
        </w:tc>
        <w:tc>
          <w:tcPr>
            <w:tcW w:w="1500" w:type="dxa"/>
            <w:vAlign w:val="bottom"/>
            <w:tcBorders>
              <w:top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9"/>
              </w:rPr>
              <w:t>12</w:t>
            </w:r>
          </w:p>
        </w:tc>
        <w:tc>
          <w:tcPr>
            <w:tcW w:w="106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Borders>
              <w:top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4,666</w:t>
            </w:r>
          </w:p>
        </w:tc>
        <w:tc>
          <w:tcPr>
            <w:tcW w:w="1580" w:type="dxa"/>
            <w:vAlign w:val="bottom"/>
            <w:tcBorders>
              <w:top w:val="single" w:sz="8" w:color="auto"/>
            </w:tcBorders>
          </w:tcPr>
          <w:p>
            <w:pPr>
              <w:jc w:val="center"/>
              <w:ind w:left="115"/>
              <w:spacing w:after="0"/>
              <w:rPr>
                <w:sz w:val="20"/>
                <w:szCs w:val="20"/>
                <w:color w:val="auto"/>
              </w:rPr>
            </w:pPr>
            <w:r>
              <w:rPr>
                <w:rFonts w:ascii="Times New Roman" w:cs="Times New Roman" w:eastAsia="Times New Roman" w:hAnsi="Times New Roman"/>
                <w:sz w:val="18"/>
                <w:szCs w:val="18"/>
                <w:color w:val="auto"/>
                <w:w w:val="99"/>
              </w:rPr>
              <w:t>14</w:t>
            </w:r>
          </w:p>
        </w:tc>
      </w:tr>
      <w:tr>
        <w:trPr>
          <w:trHeight w:val="54"/>
        </w:trPr>
        <w:tc>
          <w:tcPr>
            <w:tcW w:w="600" w:type="dxa"/>
            <w:vAlign w:val="bottom"/>
            <w:tcBorders>
              <w:right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270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3,803</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265</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3,677</w:t>
            </w:r>
          </w:p>
        </w:tc>
        <w:tc>
          <w:tcPr>
            <w:tcW w:w="158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88"/>
              </w:rPr>
              <w:t>3</w:t>
            </w:r>
          </w:p>
        </w:tc>
      </w:tr>
      <w:tr>
        <w:trPr>
          <w:trHeight w:val="49"/>
        </w:trPr>
        <w:tc>
          <w:tcPr>
            <w:tcW w:w="60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250</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2,713</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00" w:type="dxa"/>
            <w:vAlign w:val="bottom"/>
            <w:tcBorders>
              <w:right w:val="single" w:sz="8" w:color="auto"/>
            </w:tcBorders>
          </w:tcPr>
          <w:p>
            <w:pPr>
              <w:spacing w:after="0"/>
              <w:rPr>
                <w:sz w:val="18"/>
                <w:szCs w:val="18"/>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240</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9"/>
              </w:rPr>
              <w:t>12</w:t>
            </w:r>
          </w:p>
        </w:tc>
        <w:tc>
          <w:tcPr>
            <w:tcW w:w="10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2,712</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0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200</w:t>
            </w:r>
          </w:p>
        </w:tc>
        <w:tc>
          <w:tcPr>
            <w:tcW w:w="1500" w:type="dxa"/>
            <w:vAlign w:val="bottom"/>
            <w:tcBorders>
              <w:bottom w:val="single" w:sz="8" w:color="auto"/>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auto"/>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1,729</w:t>
            </w:r>
          </w:p>
        </w:tc>
        <w:tc>
          <w:tcPr>
            <w:tcW w:w="158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325"/>
        </w:trPr>
        <w:tc>
          <w:tcPr>
            <w:tcW w:w="3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Owned OSVs</w:t>
            </w:r>
          </w:p>
        </w:tc>
        <w:tc>
          <w:tcPr>
            <w:tcW w:w="15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80" w:type="dxa"/>
            <w:vAlign w:val="bottom"/>
            <w:tcBorders>
              <w:bottom w:val="single" w:sz="8" w:color="auto"/>
            </w:tcBorders>
          </w:tcPr>
          <w:p>
            <w:pPr>
              <w:jc w:val="center"/>
              <w:ind w:left="95"/>
              <w:spacing w:after="0" w:line="276" w:lineRule="exact"/>
              <w:rPr>
                <w:sz w:val="20"/>
                <w:szCs w:val="20"/>
                <w:color w:val="auto"/>
              </w:rPr>
            </w:pPr>
            <w:r>
              <w:rPr>
                <w:rFonts w:ascii="Times New Roman" w:cs="Times New Roman" w:eastAsia="Times New Roman" w:hAnsi="Times New Roman"/>
                <w:sz w:val="32"/>
                <w:szCs w:val="32"/>
                <w:b w:val="1"/>
                <w:bCs w:val="1"/>
                <w:color w:val="auto"/>
                <w:w w:val="87"/>
                <w:vertAlign w:val="subscript"/>
              </w:rPr>
              <w:t>60</w:t>
            </w:r>
            <w:r>
              <w:rPr>
                <w:rFonts w:ascii="Times New Roman" w:cs="Times New Roman" w:eastAsia="Times New Roman" w:hAnsi="Times New Roman"/>
                <w:sz w:val="13"/>
                <w:szCs w:val="13"/>
                <w:b w:val="1"/>
                <w:bCs w:val="1"/>
                <w:color w:val="auto"/>
                <w:w w:val="87"/>
              </w:rPr>
              <w:t>(2)</w:t>
            </w:r>
          </w:p>
        </w:tc>
      </w:tr>
      <w:tr>
        <w:trPr>
          <w:trHeight w:val="553"/>
        </w:trPr>
        <w:tc>
          <w:tcPr>
            <w:tcW w:w="600" w:type="dxa"/>
            <w:vAlign w:val="bottom"/>
            <w:tcBorders>
              <w:right w:val="single" w:sz="8" w:color="auto"/>
            </w:tcBorders>
            <w:shd w:val="clear" w:color="auto" w:fill="CCEEFF"/>
          </w:tcPr>
          <w:p>
            <w:pPr>
              <w:spacing w:after="0"/>
              <w:rPr>
                <w:sz w:val="24"/>
                <w:szCs w:val="24"/>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USN T-AGSE</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DP-2</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35"/>
                <w:szCs w:val="35"/>
                <w:color w:val="auto"/>
                <w:w w:val="89"/>
                <w:vertAlign w:val="subscript"/>
              </w:rPr>
              <w:t>4</w:t>
            </w:r>
            <w:r>
              <w:rPr>
                <w:rFonts w:ascii="Times New Roman" w:cs="Times New Roman" w:eastAsia="Times New Roman" w:hAnsi="Times New Roman"/>
                <w:sz w:val="13"/>
                <w:szCs w:val="13"/>
                <w:color w:val="auto"/>
                <w:w w:val="89"/>
              </w:rPr>
              <w:t>(3)</w:t>
            </w:r>
          </w:p>
        </w:tc>
      </w:tr>
      <w:tr>
        <w:trPr>
          <w:trHeight w:val="351"/>
        </w:trPr>
        <w:tc>
          <w:tcPr>
            <w:tcW w:w="600" w:type="dxa"/>
            <w:vAlign w:val="bottom"/>
            <w:tcBorders>
              <w:bottom w:val="single" w:sz="8" w:color="auto"/>
              <w:right w:val="single" w:sz="8" w:color="auto"/>
            </w:tcBorders>
            <w:shd w:val="clear" w:color="auto" w:fill="CCEEFF"/>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64"/>
        </w:trPr>
        <w:tc>
          <w:tcPr>
            <w:tcW w:w="3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Operated OSVs</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9"/>
              </w:rPr>
              <w:t>50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64</w:t>
            </w:r>
          </w:p>
        </w:tc>
      </w:tr>
    </w:tbl>
    <w:p>
      <w:pPr>
        <w:spacing w:after="0" w:line="103"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mid-spec vessels and low-spec vessels.</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four OSVs formerly owned by us that we now operate and maintain for the U.S. Navy.</w:t>
      </w: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MPSV Fleet</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illustrates our fleet of MPSVs and the nations in which they are flagged as of July 31, 2024:</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8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DP Class</w:t>
            </w: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HOS C/SOV+FLOTEL</w:t>
            </w:r>
            <w:r>
              <w:rPr>
                <w:rFonts w:ascii="Times New Roman" w:cs="Times New Roman" w:eastAsia="Times New Roman" w:hAnsi="Times New Roman"/>
                <w:sz w:val="25"/>
                <w:szCs w:val="25"/>
                <w:color w:val="auto"/>
                <w:vertAlign w:val="superscript"/>
              </w:rPr>
              <w:t>(1)</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FLOTEL</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430</w:t>
            </w:r>
          </w:p>
        </w:tc>
        <w:tc>
          <w:tcPr>
            <w:tcW w:w="18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DP-3</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400</w:t>
            </w:r>
            <w:r>
              <w:rPr>
                <w:rFonts w:ascii="Times New Roman" w:cs="Times New Roman" w:eastAsia="Times New Roman" w:hAnsi="Times New Roman"/>
                <w:sz w:val="26"/>
                <w:szCs w:val="26"/>
                <w:color w:val="auto"/>
                <w:vertAlign w:val="superscript"/>
              </w:rPr>
              <w:t>(2)</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310/310ES</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265</w:t>
            </w:r>
          </w:p>
        </w:tc>
        <w:tc>
          <w:tcPr>
            <w:tcW w:w="18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250</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240</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MPSVs</w:t>
            </w:r>
          </w:p>
        </w:tc>
        <w:tc>
          <w:tcPr>
            <w:tcW w:w="18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0" w:type="dxa"/>
            <w:vAlign w:val="bottom"/>
          </w:tcPr>
          <w:p>
            <w:pPr>
              <w:spacing w:after="0"/>
              <w:rPr>
                <w:sz w:val="1"/>
                <w:szCs w:val="1"/>
                <w:color w:val="auto"/>
              </w:rPr>
            </w:pPr>
          </w:p>
        </w:tc>
      </w:tr>
    </w:tbl>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HOSMAX 280 OSV currently being converted into a MPSV for dual-service as either a C/SOV or flotel.</w:t>
      </w:r>
    </w:p>
    <w:p>
      <w:pPr>
        <w:spacing w:after="0" w:line="9" w:lineRule="exact"/>
        <w:rPr>
          <w:rFonts w:ascii="Times New Roman" w:cs="Times New Roman" w:eastAsia="Times New Roman" w:hAnsi="Times New Roman"/>
          <w:sz w:val="18"/>
          <w:szCs w:val="18"/>
          <w:color w:val="auto"/>
        </w:rPr>
      </w:pPr>
    </w:p>
    <w:p>
      <w:pPr>
        <w:ind w:left="720" w:right="280" w:hanging="422"/>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partially constructed Jones Act-qualified MPSV newbuilds to be completed pursuant to our settlement with the Surety, as discussed further in “Management’s Discussion and Analysis of Financial Condition and Results of Operations—Recent Developments— Resumption of MPSV Newbuild Construction.”</w:t>
      </w:r>
    </w:p>
    <w:p>
      <w:pPr>
        <w:spacing w:after="0" w:line="18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There are a number of third-party services that consistently monitor and assess the value of vessels across the global OSV and MPSV fleets. These firms independently evaluate each vessel based on age, build specification, capabilities and recent comparable vessel sales, among other criteria, to derive a market-based estimate of current vessel value including fair market value, newbuild, or replacement, value, and liquidation value. According to one third-party provider, VesselsValue, our total fleet of 60 OSVs and 15 MPSVs had a fair market value of approximately $2.7 billion and a newbuild, or replacement, value of approximately $5.7 billion as of July 31, 2024, reinforcing the quality and differentiated capabilities of our vessels in today’s market.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Jones Act and other cabotage laws</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Our 58 U.S.-flagged owned and operated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Based on publicly-available information compiled by the Company and data provided by Spinergie, the supply of Jones Act-qualified vessels is limited as there are only 83 active high- and ultra high-spec Jones Act-qualified OSVs in the U.S. GoM as of July 31, 2024. Of this limited supply, Hornbeck owns 26% of the market, representing the second largest such fleet in the industry. Mexico and Brazil each have their own cabotage laws that provide varying levels of insulation from foreign sources of competition that may be unwilling to invest capital or otherwise satisfy local ownership, crewing, tax and/or build requirements. As such, cabotage-protected markets create meaningful barriers to entry for foreign-flagged vessels.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to continue utilizing our highly-skilled Mexican mariners and shore-based employees as part of our international services.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Customer Markets</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our vessels to best meet potential revenue opportunities. Each customer market has specialized service needs and vessel requirements. For the six months ended June 30, 2024, approximately 49% of our revenues were attributed to oil and gas drilling support activities. The remaining approximately 51% of our revenues were generated away from the drill bit, comprised of approximately 25% coming from oilfield specialty activities, including offshore inspection, repair and maintenance, or “IRM,” construction and equipment installation, as well as decommissioning and plugging and abandonment work; approximately 19% coming from military support services and Humanitarian Aid and Disaster Relief (“HADR”); and approximately 7% coming from other non-oilfield support services, including offshore wind development, construction and support services. As we continue to diversify our customer markets, we expect the non-oilfield markets to contribute a greater portion of revenues in the future.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Oilfield Services</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We predominantly serve our oilfield customers in the GoM,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Military Support Services</w:t>
      </w:r>
    </w:p>
    <w:p>
      <w:pPr>
        <w:spacing w:after="0" w:line="119" w:lineRule="exact"/>
        <w:rPr>
          <w:sz w:val="20"/>
          <w:szCs w:val="20"/>
          <w:color w:val="auto"/>
        </w:rPr>
      </w:pPr>
    </w:p>
    <w:p>
      <w:pPr>
        <w:ind w:left="300" w:right="100" w:firstLine="426"/>
        <w:spacing w:after="0" w:line="257" w:lineRule="auto"/>
        <w:rPr>
          <w:sz w:val="20"/>
          <w:szCs w:val="20"/>
          <w:color w:val="auto"/>
        </w:rPr>
      </w:pPr>
      <w:r>
        <w:rPr>
          <w:rFonts w:ascii="Times New Roman" w:cs="Times New Roman" w:eastAsia="Times New Roman" w:hAnsi="Times New Roman"/>
          <w:sz w:val="18"/>
          <w:szCs w:val="18"/>
          <w:color w:val="auto"/>
        </w:rPr>
        <w:t>Since 2006,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w:t>
      </w:r>
    </w:p>
    <w:p>
      <w:pPr>
        <w:spacing w:after="0" w:line="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U.S. Navy) via a long-term Operations &amp; Maintenance (“O&amp;M”) contract. We also own, operate, and charter vessels that provide submarine supply services, rescue and recovery capabilities, transportation services and training drills. Our military service capabilities are an accelerating component of our service portfolio and military support is an end-customer market that is of particular importance given the stability provided by the U.S. government’s desire to execute long-term service agreements with qualified private contractors. We have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received approximately $65.6 million, $105.5 million and $57.8 million of revenue for military support services for the years ended 2022 and 2023 and for the six months ended June 30, 2024, respectively.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Renewable Energy</w:t>
      </w:r>
    </w:p>
    <w:p>
      <w:pPr>
        <w:spacing w:after="0" w:line="119"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Renewable energy, and particularly offshore windfarms and infrastructure, is in its early stage of development in the U.S. and represents an emerging market for our services. Certain of the development and maintenance aspects of U.S. offshore windfarms require the use of U.S.-flagged, Jones Act-qualified, high specification vessels, for which we are well-positioned to offer our services. We believe that vessels such as ours will be critical across all stages of the offshore windfarm development cycle, including installation support, geophysical survey, vessel support for testing and operations maintenance and repair. Offshore wind development and associated services represent a potential high-growth customer market for our business and our growing involvement positions our business to actively participate in the alternative energy market.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 as well as the installation, testing and retrieval of fiber-optic cable for telecommunications.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Offshore Exploration and Production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Over the last three decades, the offshore oil and gas industry has undergone significant technological change, marked by an ability to explore and produce hydrocarbons in deepwater and ultra-deepwater regions. These areas contain some of the largest hydrocarbon reserve deposits anywhere in the world with inventory that is expected to last decades.</w:t>
      </w:r>
    </w:p>
    <w:p>
      <w:pPr>
        <w:spacing w:after="0" w:line="176"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Most deepwater and ultra-deepwater offshore drilling activity is concentrated in the U.S. GoM, South America (largely dominated by Brazil and more recently, Guyana) and West Africa. Based on Rystad industry data as of July 2024, approximately 70% of global deepwater and ultra-deepwater hydrocarbons are located in the GoM and South America. Moreover, per the Bureau of Safety and Environmental Enforcement (“BSEE”), average deepwater and ultra-deepwater well depths have been on an upward trajectory creating significant demand for high- and ultra high-spec OSVs and MPSVs, which are well-positioned to service larger, more remote projects given their greater storage capacities, larger deck space, and industry-leading technologies.</w:t>
      </w:r>
    </w:p>
    <w:p>
      <w:pPr>
        <w:spacing w:after="0" w:line="18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expect offshore drilling activity to accelerate through 2028. Offshore activity is economically advantaged with low breakeven prices. Based on Rystad industry data as of July 2024, 90% of offshore proven reserves and probable reserves are economic when crude oil prices are at or below $50.00 per barrel, a level well below 2024 prices. As a result, offshore activity is expected to accelerate and Rystad forecasts that offshore rig</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counts in Hornbeck’s core markets will increase approximately 23% through 2028.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depth and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a typical offshore drilling rig requires approximately two to four OSVs to provide ongoing services at any one time with select infrastructure-remote areas such as Brazil and the Caribbean occasionally requiring a greater number of OSVs per drilling rig due to greater logistical challenges in those markets resulting in longer vessel turnaround times.</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Our fleet of vessels provides logistics support and specialty services to the offshore oil and gas exploration and production industry, primarily in the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We have vessels flagged in each of these jurisdictions and, due to treaties or other legal benefits, we are regularly able to move vessels and/or crews among these jurisdictions.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Below are more detailed descriptions of the industry dynamics impacting our core Oilfield Services operating markets: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GoM</w:t>
      </w:r>
    </w:p>
    <w:p>
      <w:pPr>
        <w:spacing w:after="0" w:line="11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U.S. GoM continues to be a world-class basin, attracting significant capital from exploration and production companies. Based on Rystad industry data, U.S. GoM offshore rig counts have increased from 16 to 21 rigs from 2021 to 2023 and are expected to remain between 19 and 21 rigs through 2027. Similarly, U.S. GoM offshore well counts are expected to increase every year from 2023 through 2028 with an average CAGR of approximately 3.1%. Due to higher cost, greater complexity and longer equipment and permitting lead times compared to conventional onshore drilling, offshore projects are characterized by long-cycle planning and investment horizons. This dynamic results in greater stability and resilience through commodity price cycles. Historically, onshore rig counts are more variable during periods of commodity price volatility than offshore rig counts.</w:t>
      </w:r>
    </w:p>
    <w:p>
      <w:pPr>
        <w:spacing w:after="0" w:line="18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increased focus on the need for low carbon-intensity production has also highlighted the importance of the U.S. GoM and its lower global greenhouse gas (“GHGs”) emissions intensity (CO2e/kboe) relative to other global offshore basins. According to Wood Mackenzie’s Emissions Benchmarking Tool, U.S. Gulf of Mexico Deepwater’s weighted average emissions intensity in 2023 was 8.16 tCO2e/kboe compared to a global weighted average of 20.45 tCO2e/kboe. As a result, we believe that the U.S. GoM will continue to be an area of increased investment and production by many of the large oil and gas producers.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Mexico GoM</w:t>
      </w:r>
    </w:p>
    <w:p>
      <w:pPr>
        <w:spacing w:after="0" w:line="11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While Mexico appears to hold significant promise as a deepwater and ultra-deepwater basin in the future, recent political setbacks and administrative challenges have frustrated plans for investment by non-Mexican oil and gas companies. Since the fourth quarter of 2023, maritime regulators have also curtailed our Naviera’s ability to enjoy Mexican cabotage and other privileges, despite our non-Mexican ownership levels being within the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500"/>
        <w:spacing w:after="0" w:line="282" w:lineRule="auto"/>
        <w:rPr>
          <w:sz w:val="20"/>
          <w:szCs w:val="20"/>
          <w:color w:val="auto"/>
        </w:rPr>
      </w:pPr>
      <w:r>
        <w:rPr>
          <w:rFonts w:ascii="Times New Roman" w:cs="Times New Roman" w:eastAsia="Times New Roman" w:hAnsi="Times New Roman"/>
          <w:sz w:val="18"/>
          <w:szCs w:val="18"/>
          <w:color w:val="auto"/>
        </w:rPr>
        <w:t>thresholds permitted by Mexican law. The recent Mexican presidential election may result in changes that intensify negative trends or could potentially undo recent government actions and make Mexico more attractive for investment by foreign oil and gas companies.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11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Based on Rystad industry data, Brazil is expected to receive the most deepwater and ultra-deepwater oil and gas investment worldwide between 2024 and 2027. Brazil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investing in deepwater and ultra-deepwater exploration and development activities. Additionally, Petrobras has publicly announced plans to spend approximately $73 billion on exploration and production activities from 2024 through 2028.</w:t>
      </w:r>
    </w:p>
    <w:p>
      <w:pPr>
        <w:spacing w:after="0" w:line="187" w:lineRule="exact"/>
        <w:rPr>
          <w:sz w:val="20"/>
          <w:szCs w:val="20"/>
          <w:color w:val="auto"/>
        </w:rPr>
      </w:pPr>
    </w:p>
    <w:p>
      <w:pPr>
        <w:jc w:val="both"/>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Based on Rystad industry data, the offshore rig count in Brazil is forecasted to increase to 32 rigs in 2025, a 33% increase from 2023 levels. In addition, Rystad industry data anticipates rig count levels remaining above 2024 levels through at least 2028. The increase in activity will likely require additional vessels to mobilize to the area to support this increased drilling activity. As of July 31, 2024, ten U.S. Jones Act high- and ultra high-spec vessels have relocated from the U.S. GoM to Brazil in order to fulfill the current demand in that region.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Caribbean and Northern South America</w:t>
      </w:r>
    </w:p>
    <w:p>
      <w:pPr>
        <w:spacing w:after="0" w:line="11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Caribbean and Northern South America are developing markets for deepwater and ultra-deepwater exploration and production. Activity in the region is primarily focused in the Guyana-Suriname basin, but also includes Colombia, Trinidad and occasionally other Caribbean islands. Due to its proximity to the U.S. GoM and the Mexico GoM and the offshore operating environment, high-spec and ultra high-spec U.S.-flagged and Mexico-flagged OSVs are ideally suited to serve customers in this region. Currently, over 50% of the OSVs operating in the area are U.S.-flagged.</w:t>
      </w:r>
    </w:p>
    <w:p>
      <w:pPr>
        <w:spacing w:after="0" w:line="183"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Since the discovery of the Liza-1 well in 2015, the Guyana-Suriname basin has become one of the fastest growing deepwater and ultra-deepwater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published data from Hess Corporation as of May 2024,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the fourth quarter of 2024.</w:t>
      </w:r>
    </w:p>
    <w:p>
      <w:pPr>
        <w:spacing w:after="0" w:line="18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As of July 31, 2024, there were six offshore rigs operating in this region. According to Rystad industry data, this number is expected to increase to 11 offshore rigs by 2028. These activity levels will require additional vessels to mobilize to the area to support drilling activity. We believe that additional U.S.-flagged vessels are well-suited to support these new drilling programs. As of July 31, 2024, 15 U.S. Jones Act high-and ultra high-spec vessels have relocated from the U.S. GoM to the Caribbean and South America in order to fulfill the current demand in those regions.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320" w:top="455"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27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Beyond Oilfield Services, our vessels are actively involved in the support of critical offshore activities in our core geographic regions, including military services, renewable energy development and other non-oilfield service offerings. As of July 31, 2024, 18 U.S. Jones Act-qualified high- and ultra high-spec vessels were working in military, offshore wind, aerospace or other industries. These non-oilfield markets have had a material impact on an already tight U.S. Jones Act market. Below are more detailed descriptions of the industry dynamics within each of those end-customer markets: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Military Support Services</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5" w:lineRule="exact"/>
        <w:rPr>
          <w:sz w:val="20"/>
          <w:szCs w:val="20"/>
          <w:color w:val="auto"/>
        </w:rPr>
      </w:pPr>
    </w:p>
    <w:p>
      <w:pPr>
        <w:ind w:left="1120" w:right="180" w:hanging="403"/>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offerings for the U.S. Special Operations Command, the organization tasked with overseeing the various special operations of the U.S. Army, Marine Corps, Navy and Air Force;</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O&amp;M contract opportunities; and</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support for a growing fleet of U.S. Navy vessels.</w:t>
      </w:r>
    </w:p>
    <w:p>
      <w:pPr>
        <w:spacing w:after="0" w:line="225"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Military support services represent a significant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Renewable Energy Development</w:t>
      </w:r>
    </w:p>
    <w:p>
      <w:pPr>
        <w:spacing w:after="0" w:line="11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offshore wind market is in its early stage of development and shows potential as an emerging market for our services in the U.S. GoM, as well as certain areas on the East and West Coasts of the United States. Field surveying, construction and operation for offshore wind require many of the core competencies and vessel specifications used in oilfield services, creating opportunities for legacy oilfield vessel providers to service this market. Moreover, many of the wind farms developed in domestic U.S. waters will require Jones Act-qualified vessels thereby creating cabotage protections for this work.</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Vessel requirements for offshore wind development typically span three distinct phases:</w:t>
      </w:r>
    </w:p>
    <w:p>
      <w:pPr>
        <w:spacing w:after="0" w:line="129" w:lineRule="exact"/>
        <w:rPr>
          <w:sz w:val="20"/>
          <w:szCs w:val="20"/>
          <w:color w:val="auto"/>
        </w:rPr>
      </w:pPr>
    </w:p>
    <w:p>
      <w:pPr>
        <w:ind w:left="1120" w:right="460" w:hanging="403"/>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Pre-Construction Surveying: </w:t>
      </w:r>
      <w:r>
        <w:rPr>
          <w:rFonts w:ascii="Times New Roman" w:cs="Times New Roman" w:eastAsia="Times New Roman" w:hAnsi="Times New Roman"/>
          <w:sz w:val="18"/>
          <w:szCs w:val="18"/>
          <w:color w:val="auto"/>
        </w:rPr>
        <w:t>This phase of development requires surveying vessels to ascertain sea bottom, sea state, and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well as site clearing for potential project development. Examples of such services include removal of boulders and unexploded ordnances on the seabed, as well as providing sound barriers to protect sea mammals from offshore wind construction activities and noise.</w:t>
      </w:r>
    </w:p>
    <w:p>
      <w:pPr>
        <w:spacing w:after="0" w:line="85" w:lineRule="exact"/>
        <w:rPr>
          <w:rFonts w:ascii="Times New Roman" w:cs="Times New Roman" w:eastAsia="Times New Roman" w:hAnsi="Times New Roman"/>
          <w:sz w:val="18"/>
          <w:szCs w:val="18"/>
          <w:color w:val="auto"/>
        </w:rPr>
      </w:pPr>
    </w:p>
    <w:p>
      <w:pPr>
        <w:ind w:left="1120" w:right="260" w:hanging="403"/>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and Installation: </w:t>
      </w:r>
      <w:r>
        <w:rPr>
          <w:rFonts w:ascii="Times New Roman" w:cs="Times New Roman" w:eastAsia="Times New Roman" w:hAnsi="Times New Roman"/>
          <w:sz w:val="18"/>
          <w:szCs w:val="18"/>
          <w:color w:val="auto"/>
        </w:rPr>
        <w:t>This phase of development is the most vessel intensive and will require service vessels to execute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85" w:lineRule="exact"/>
        <w:rPr>
          <w:rFonts w:ascii="Times New Roman" w:cs="Times New Roman" w:eastAsia="Times New Roman" w:hAnsi="Times New Roman"/>
          <w:sz w:val="18"/>
          <w:szCs w:val="18"/>
          <w:color w:val="auto"/>
        </w:rPr>
      </w:pPr>
    </w:p>
    <w:p>
      <w:pPr>
        <w:ind w:left="1120" w:right="160" w:hanging="403"/>
        <w:spacing w:after="0" w:line="267"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Service and Maintenance: </w:t>
      </w:r>
      <w:r>
        <w:rPr>
          <w:rFonts w:ascii="Times New Roman" w:cs="Times New Roman" w:eastAsia="Times New Roman" w:hAnsi="Times New Roman"/>
          <w:sz w:val="18"/>
          <w:szCs w:val="18"/>
          <w:color w:val="auto"/>
        </w:rPr>
        <w:t>This phase will require vessels to provide ongoing service and maintenance to offshore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assets including crew and equipment transfers, asset retrofitting and replacement, and ongoing infrastructure monitoring services.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47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52" w:lineRule="auto"/>
        <w:rPr>
          <w:sz w:val="20"/>
          <w:szCs w:val="20"/>
          <w:color w:val="auto"/>
        </w:rPr>
      </w:pPr>
      <w:r>
        <w:rPr>
          <w:rFonts w:ascii="Times New Roman" w:cs="Times New Roman" w:eastAsia="Times New Roman" w:hAnsi="Times New Roman"/>
          <w:sz w:val="18"/>
          <w:szCs w:val="18"/>
          <w:color w:val="auto"/>
        </w:rPr>
        <w:t>Further, in 2021, the Biden Administration released its Offshore Wind Energy Strategy outlining its goal of deploying 30 gigawatts of offshore wind in the United States by 2030. Higher than expected interest rates, inflation and post-COVID supply chain restraints have hampered the pace of development, which is now forecasted to achieve approximately 18 gigawatts by 2030, but continuing to grow from there. According to Maritime Strategies International (“MSI”), 49 wind energy projects have been identified along U.S. coastlines with construction on 8 of these projects to begin between 2025 and 2027. Additionally, five lease sales on the West Coast of the United States and one lease sale in the U.S. GoM are expected to require floating installation capabilities and vessels, which Hornbeck’s fleet is capable of providing. According to MSI, U.S. offshore wind projects are characterized by increasing distance from shore and larger generating capacity. The average distance from shore is expected to grow from 12 km in 2020 to 38 km in 2035. The average generating capacity of offshore wind is expected to increase five-fold. We believe these larger and farther-from-shore projects will provide our existing fleet of vessels with new opportunities for which they are well-suited. In addition, these opportunities are likely to create demand for our C/SOV which is expected to be delivered in 2025. We know of only three other Jones Act qualified SOVs or CSOVs that are under construction. Thus, these types of vessels, which are uniquely suited for offshore wind projects, may be under-supplied as such offshore projects continue to be built. Continued growth of the offshore wind market in the U.S. is not guaranteed and is subject to change as a result of shifts in political policies that currently favor offshore wind growth. Such changes in policy may occur, for example, as a result of the November 2024 presidential election in the U.S.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multiple areas of growth in other non-oilfield services including:</w:t>
      </w:r>
    </w:p>
    <w:p>
      <w:pPr>
        <w:spacing w:after="0" w:line="129" w:lineRule="exact"/>
        <w:rPr>
          <w:sz w:val="20"/>
          <w:szCs w:val="20"/>
          <w:color w:val="auto"/>
        </w:rPr>
      </w:pPr>
    </w:p>
    <w:p>
      <w:pPr>
        <w:jc w:val="both"/>
        <w:ind w:left="1120" w:right="280" w:hanging="403"/>
        <w:spacing w:after="0" w:line="290" w:lineRule="auto"/>
        <w:tabs>
          <w:tab w:leader="none" w:pos="1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60" w:lineRule="exact"/>
        <w:rPr>
          <w:rFonts w:ascii="Times New Roman" w:cs="Times New Roman" w:eastAsia="Times New Roman" w:hAnsi="Times New Roman"/>
          <w:sz w:val="17"/>
          <w:szCs w:val="17"/>
          <w:color w:val="auto"/>
        </w:rPr>
      </w:pPr>
    </w:p>
    <w:p>
      <w:pPr>
        <w:ind w:left="1120" w:right="80" w:hanging="403"/>
        <w:spacing w:after="0" w:line="284"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Aerospace</w:t>
      </w:r>
      <w:r>
        <w:rPr>
          <w:rFonts w:ascii="Times New Roman" w:cs="Times New Roman" w:eastAsia="Times New Roman" w:hAnsi="Times New Roman"/>
          <w:sz w:val="18"/>
          <w:szCs w:val="18"/>
          <w:color w:val="auto"/>
        </w:rPr>
        <w:t>: Our vessels are equipped to support aerospace launches that call for rocket component landing and recovery capabilities.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have supported the aerospace industry through vessel crewing and other vessel management agreements.</w:t>
      </w:r>
    </w:p>
    <w:p>
      <w:pPr>
        <w:spacing w:after="0" w:line="63"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Telecommunications</w:t>
      </w:r>
      <w:r>
        <w:rPr>
          <w:rFonts w:ascii="Times New Roman" w:cs="Times New Roman" w:eastAsia="Times New Roman" w:hAnsi="Times New Roman"/>
          <w:sz w:val="18"/>
          <w:szCs w:val="18"/>
          <w:color w:val="auto"/>
        </w:rPr>
        <w:t>: Our vessels can also be retrofitted to support the installation, testing and retrieval of fiber-optic cable.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Leading presence in the United States and Latin America</w:t>
      </w:r>
    </w:p>
    <w:p>
      <w:pPr>
        <w:spacing w:after="0" w:line="121"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publicly-available information compiled by the Company and data provided by Spinergie, we believe that our fleet of 41 high-spec and ultra high-spec OSVs, totaling 217,140 in DWT capacity, represents 6.6% of the 3,290,183 total DWT of such vessels in the world, making Hornbeck the third largest fleet out of 163 companies that own and operate high-spec or ultra high-spec OSVs worldwide. Furthermore, we believe that our fleet of 15 U.S.-flagged ultra high-spec OSVs, totaling 91,123 in DWT capacity, represents the largest fleet of such vessels operating in the United States measured by DWT capacity. Additionally, we are one of the top operators of OSVs, based on DWT, in each of our two core geographic markets, which include 2,459,593 DWT and constitute 41.7% of the total supply of 5,847,658 DWT to such markets. Our 46 U.S.-flagged OSVs, totaling 206,767 in DWT capacity, comprise the second largest fleet of technologically advanced, OSVs qualified for work in the U.S. GoM under the Jones Act. As of July 31, 2024, our active fleet of OSVs and MPSVs consisted of (i) 20 U.S.-flagged OSVs and seven MPSVs in the U.S. GoM, (ii) five OSVs and one MPSV throughout the U.S. Atlantic, (iii) one OSV and three MPSVs in the U.S. Pacific, (iv) seven OSVs offshore Brazil, (v) one OSV</w:t>
      </w:r>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offshore Argentina, (vi) four OSVs in the Caribbean and Northern South America and (vii) one OSV and one MPSV offshore Mexico. We believe that having scale in our core markets with the flexibility to transfer vessels among regions benefits our customers and provides us with operating efficiencies.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fleet of technologically advanced high-spec and ultra high-spec vessels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Over the past 27 years, we have assembled a multi-class fleet of 60 OSVs and 15 MPSVs. Since 2014, we have focused on expanding our line of high-spec and ultra high-spec vessels, increasing our fleet of such vessels from 41% of our fleet in 2014 to 75% of our fleet in 2024. High-spec and ultra high-spec vessels incorporate sophisticated technologies that are designed specifically to operate safely in complex and challenging environments and are equipped with specialty equipment and other features to respond to the needs of our customers through the project development and operation lifecycle of an offshore oilfield. These technologies include DP, roll 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operations history and market strategies, we believe that we earn higher average dayrates compared to our competitors. According to industry data from Fearnley Offshore Supply, our average dayrates were 87%, 41%, and 16% higher than the global average term rates of comparably sized vessels owned by other operators in 2022, 2023, and the six months ended June 30, 2024, respectively.</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market position due to qualification under the Jones Act and favorable sector tailwinds</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strategic vessel acquisitions</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have built our fleet through a combination of newbuilds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 Since 2017, we have successfully completed the acquisition of 19 OSVs, 18 of which are currently operating as part of our high-spec and ultra high-spec fleet and one of which is currently undergoing conversion into a MPSV for dual-service as either a C/SOV or flotel.</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service offerings and customer markets provide stability to cash flows</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legal, risk management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Attractive growth opportunities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fleet of technologically advanced high-spec and ultra high-spec vessels is increasingly being deployed to serve the accelerating needs of the U.S. Military, renewable energy, and aerospace industries. Many of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end-markets.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our geographic presence in the United States and Latin America and grow industry leading service capabilities</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GoM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industry supply of such vessels. Our vessels have been adapted to operate in a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79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differentiated customer offerings to optimize utilization and free cash flow generation</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Apply existing, and develop new, technologies to meet our customers’ vessel needs and expand our fleet offerings</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Focus on selective acquisitions that are strategically and financially accretive</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completed the acquisition of 12 high-spec OSVs, which we refer to as the ECO Acquisitions.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Maintain a conservative balance sheet, disciplined growth, and robust free cash flow generation through cycles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176"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Continued commitment to sustainability and safety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industry-low TRIR. Our most recent 5-year average TRIR was 0.10, outperforming peer averages from the International Marine Contractors Association (“IMCA”) and International Support Owners Association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188"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recently placed into service a high-tech DP simulator that provides an interactive and immersive training experience for current and future mariners who serve in DP officer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w:t>
      </w:r>
    </w:p>
    <w:p>
      <w:pPr>
        <w:spacing w:after="0" w:line="192"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The current aggregate commitments for the revolving loans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See “Management’s Discussion and Analysis of Financial Condition and Results of Operations—Liquidity and Capital Resources—Debt Agreements.”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Resumption of MPSV Newbuild Construction</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the Surety to complete construction of the two MPSVs.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 As of June 30, 2024, we had paid $5.3 million to Eastern related to the completion of these two MPSVs.</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ECO Acquisitions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January 2024, we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we had paid an aggregate of $102.0 million for the original purchase price, including deposits, and $10.6 million in purchase price adjustments associated with discretionary enhancements, additional outfitting and post-closing modifications for the ECO Acquisitions #2 vessels. Delivery of this final vessel marks the completion of the combined 12 vessel acquisitions under the ECO Acquisitions. We expect to incur an incremental $0.2 million related to additional outfitting, discretionary enhancements and post-closing modifications for certain of these vessels during the remainder of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Cabotage Status</w:t>
      </w:r>
    </w:p>
    <w:p>
      <w:pPr>
        <w:spacing w:after="0" w:line="121" w:lineRule="exact"/>
        <w:rPr>
          <w:sz w:val="20"/>
          <w:szCs w:val="20"/>
          <w:color w:val="auto"/>
        </w:rPr>
      </w:pPr>
    </w:p>
    <w:p>
      <w:pPr>
        <w:ind w:left="300" w:right="240" w:firstLine="426"/>
        <w:spacing w:after="0" w:line="274" w:lineRule="auto"/>
        <w:rPr>
          <w:sz w:val="20"/>
          <w:szCs w:val="20"/>
          <w:color w:val="auto"/>
        </w:rPr>
      </w:pPr>
      <w:r>
        <w:rPr>
          <w:rFonts w:ascii="Times New Roman" w:cs="Times New Roman" w:eastAsia="Times New Roman" w:hAnsi="Times New Roman"/>
          <w:sz w:val="17"/>
          <w:szCs w:val="17"/>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while continuing to utilize our highly-skilled Mexican mariners and shore-based employees as part of our international services.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Ongoing Acquisition/Investment Activities</w:t>
      </w:r>
    </w:p>
    <w:p>
      <w:pPr>
        <w:spacing w:after="0" w:line="121" w:lineRule="exact"/>
        <w:rPr>
          <w:sz w:val="20"/>
          <w:szCs w:val="20"/>
          <w:color w:val="auto"/>
        </w:rPr>
      </w:pPr>
    </w:p>
    <w:p>
      <w:pPr>
        <w:jc w:val="both"/>
        <w:ind w:left="300" w:right="520" w:firstLine="426"/>
        <w:spacing w:after="0" w:line="266" w:lineRule="auto"/>
        <w:rPr>
          <w:sz w:val="20"/>
          <w:szCs w:val="20"/>
          <w:color w:val="auto"/>
        </w:rPr>
      </w:pPr>
      <w:r>
        <w:rPr>
          <w:rFonts w:ascii="Times New Roman" w:cs="Times New Roman" w:eastAsia="Times New Roman" w:hAnsi="Times New Roman"/>
          <w:sz w:val="18"/>
          <w:szCs w:val="18"/>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80"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135" w:lineRule="exact"/>
        <w:rPr>
          <w:sz w:val="20"/>
          <w:szCs w:val="20"/>
          <w:color w:val="auto"/>
        </w:rPr>
      </w:pPr>
    </w:p>
    <w:p>
      <w:pPr>
        <w:ind w:left="1120" w:right="28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impacted by changing macroeconomic conditions, including inflation.</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 and future acquisitions by us may create additional risks.</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comply with the Jones Act’s citizenship requirements.</w:t>
      </w:r>
    </w:p>
    <w:p>
      <w:pPr>
        <w:spacing w:after="0" w:line="130" w:lineRule="exact"/>
        <w:rPr>
          <w:rFonts w:ascii="Times New Roman" w:cs="Times New Roman" w:eastAsia="Times New Roman" w:hAnsi="Times New Roman"/>
          <w:sz w:val="18"/>
          <w:szCs w:val="18"/>
          <w:color w:val="auto"/>
        </w:rPr>
      </w:pPr>
    </w:p>
    <w:p>
      <w:pPr>
        <w:ind w:left="1120" w:right="80" w:hanging="403"/>
        <w:spacing w:after="0" w:line="266"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81"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the construction of our remaining two newbuilds and may experience delays related to such newbuilds.</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130" w:lineRule="exact"/>
        <w:rPr>
          <w:rFonts w:ascii="Times New Roman" w:cs="Times New Roman" w:eastAsia="Times New Roman" w:hAnsi="Times New Roman"/>
          <w:sz w:val="18"/>
          <w:szCs w:val="18"/>
          <w:color w:val="auto"/>
        </w:rPr>
      </w:pPr>
    </w:p>
    <w:p>
      <w:pPr>
        <w:ind w:left="1120" w:right="10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industry concentrations, we have certain customer concentrations, and the loss of a significant customer would adversely impact our financial results.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of or inability to renew contracts for our vessels could have an adverse effect on our operations.</w:t>
      </w:r>
    </w:p>
    <w:p>
      <w:pPr>
        <w:spacing w:after="0" w:line="130" w:lineRule="exact"/>
        <w:rPr>
          <w:rFonts w:ascii="Times New Roman" w:cs="Times New Roman" w:eastAsia="Times New Roman" w:hAnsi="Times New Roman"/>
          <w:sz w:val="18"/>
          <w:szCs w:val="18"/>
          <w:color w:val="auto"/>
        </w:rPr>
      </w:pPr>
    </w:p>
    <w:p>
      <w:pPr>
        <w:ind w:left="1120" w:right="20" w:hanging="403"/>
        <w:spacing w:after="0" w:line="266"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potential legal, regulatory and policy changes, as well as the potential for general market volatility and regulatory uncertainty, because of the upcoming U.S. presidential and congressional elections may have a material adverse effect on our results of operations, cash flows and financial position.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right="480" w:hanging="403"/>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the United States government might not be renewed, may be renewed at lower rates or may impose additional requirements.</w:t>
      </w:r>
    </w:p>
    <w:p>
      <w:pPr>
        <w:spacing w:after="0" w:line="67" w:lineRule="exact"/>
        <w:rPr>
          <w:rFonts w:ascii="Times New Roman" w:cs="Times New Roman" w:eastAsia="Times New Roman" w:hAnsi="Times New Roman"/>
          <w:sz w:val="18"/>
          <w:szCs w:val="18"/>
          <w:color w:val="auto"/>
        </w:rPr>
      </w:pPr>
    </w:p>
    <w:p>
      <w:pPr>
        <w:ind w:left="1120" w:right="80" w:hanging="403"/>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international markets and shipyard activities in foreign shipyards subjects us to risks inherent in conducting business internationally.</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materially adversely affected by tropical storms and hurricanes.</w:t>
      </w:r>
    </w:p>
    <w:p>
      <w:pPr>
        <w:spacing w:after="0" w:line="130" w:lineRule="exact"/>
        <w:rPr>
          <w:rFonts w:ascii="Times New Roman" w:cs="Times New Roman" w:eastAsia="Times New Roman" w:hAnsi="Times New Roman"/>
          <w:sz w:val="18"/>
          <w:szCs w:val="18"/>
          <w:color w:val="auto"/>
        </w:rPr>
      </w:pPr>
    </w:p>
    <w:p>
      <w:pPr>
        <w:ind w:left="1120" w:hanging="403"/>
        <w:spacing w:after="0" w:line="26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Legal, Regulatory, Accounting and Tax Matters</w:t>
      </w:r>
    </w:p>
    <w:p>
      <w:pPr>
        <w:spacing w:after="0" w:line="135" w:lineRule="exact"/>
        <w:rPr>
          <w:sz w:val="20"/>
          <w:szCs w:val="20"/>
          <w:color w:val="auto"/>
        </w:rPr>
      </w:pPr>
    </w:p>
    <w:p>
      <w:pPr>
        <w:ind w:left="1120" w:right="40" w:hanging="403"/>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could adversely affect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120" w:right="220" w:hanging="403"/>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Indebtedness</w:t>
      </w:r>
    </w:p>
    <w:p>
      <w:pPr>
        <w:spacing w:after="0" w:line="135" w:lineRule="exact"/>
        <w:rPr>
          <w:sz w:val="20"/>
          <w:szCs w:val="20"/>
          <w:color w:val="auto"/>
        </w:rPr>
      </w:pPr>
    </w:p>
    <w:p>
      <w:pPr>
        <w:jc w:val="both"/>
        <w:ind w:left="1120" w:right="380" w:hanging="403"/>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w:t>
      </w:r>
    </w:p>
    <w:p>
      <w:pPr>
        <w:spacing w:after="0" w:line="81" w:lineRule="exact"/>
        <w:rPr>
          <w:rFonts w:ascii="Times New Roman" w:cs="Times New Roman" w:eastAsia="Times New Roman" w:hAnsi="Times New Roman"/>
          <w:sz w:val="18"/>
          <w:szCs w:val="18"/>
          <w:color w:val="auto"/>
        </w:rPr>
      </w:pPr>
    </w:p>
    <w:p>
      <w:pPr>
        <w:ind w:left="1120" w:right="100" w:hanging="403"/>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current level of indebtedness, we and our subsidiaries may still be able to incur substantially more debt. This could further exacerbate the risks to our financial condition described herein.</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adversely affect our financial condition.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 and Ownership of Our Common Stock</w:t>
      </w:r>
    </w:p>
    <w:p>
      <w:pPr>
        <w:spacing w:after="0" w:line="135" w:lineRule="exact"/>
        <w:rPr>
          <w:sz w:val="20"/>
          <w:szCs w:val="20"/>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subject to restrictions on foreign ownership and possible divestiture by non-U.S. citizen stockholders.</w:t>
      </w:r>
    </w:p>
    <w:p>
      <w:pPr>
        <w:spacing w:after="0" w:line="130" w:lineRule="exact"/>
        <w:rPr>
          <w:rFonts w:ascii="Times New Roman" w:cs="Times New Roman" w:eastAsia="Times New Roman" w:hAnsi="Times New Roman"/>
          <w:sz w:val="18"/>
          <w:szCs w:val="18"/>
          <w:color w:val="auto"/>
        </w:rPr>
      </w:pPr>
    </w:p>
    <w:p>
      <w:pPr>
        <w:ind w:left="1120" w:right="280" w:hanging="403"/>
        <w:spacing w:after="0" w:line="266"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1"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high level of concentrated stock ownership.</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225" w:lineRule="exact"/>
        <w:rPr>
          <w:sz w:val="20"/>
          <w:szCs w:val="20"/>
          <w:color w:val="auto"/>
        </w:rPr>
      </w:pPr>
    </w:p>
    <w:p>
      <w:pPr>
        <w:ind w:left="300" w:right="380" w:firstLine="426"/>
        <w:spacing w:after="0" w:line="312"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2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diagram illustrates our organizational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Principal Stockholders</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Our principal stockholders consist of our three largest stockholders (funds, investment vehicles or accounts managed or advised by Ares, Whitebox or Highbridge or their respective affiliates), who, as of July 31, 2024, collectively own 62.6% of our common stock and 85.8% of our Jones Act Warrants, which are convertible under certain circumstances into 9,767,165 shares of our common stock (       shares after giving effect to the stock split). The principal stockholders are offering       shares of our common stock (or       shares if the underwriters exercise in full their option to purchase additional shares of common stock from the selling stockholders). After giving effect to this offering, the principal</w:t>
      </w:r>
    </w:p>
    <w:p>
      <w:pPr>
        <w:spacing w:after="0" w:line="3" w:lineRule="exact"/>
        <w:rPr>
          <w:sz w:val="20"/>
          <w:szCs w:val="20"/>
          <w:color w:val="auto"/>
        </w:rPr>
      </w:pPr>
    </w:p>
    <w:p>
      <w:pPr>
        <w:ind w:left="300" w:right="160"/>
        <w:spacing w:after="0" w:line="255" w:lineRule="auto"/>
        <w:rPr>
          <w:sz w:val="20"/>
          <w:szCs w:val="20"/>
          <w:color w:val="auto"/>
        </w:rPr>
      </w:pPr>
      <w:r>
        <w:rPr>
          <w:rFonts w:ascii="Times New Roman" w:cs="Times New Roman" w:eastAsia="Times New Roman" w:hAnsi="Times New Roman"/>
          <w:sz w:val="18"/>
          <w:szCs w:val="18"/>
          <w:color w:val="auto"/>
        </w:rPr>
        <w:t>stockholders would own   % of our common stock, and       % of our Jones Act Warrants, which would be convertible under certain circumstances into       shares of our common stock. On a diluted basis, after giving effect to the conversion of these Jones Act Warrants and this offering, the principal stockholders would own     % of our common stock. See “—Principal and Selling Stockholders.”</w:t>
      </w:r>
    </w:p>
    <w:p>
      <w:pPr>
        <w:spacing w:after="0" w:line="186" w:lineRule="exact"/>
        <w:rPr>
          <w:sz w:val="20"/>
          <w:szCs w:val="20"/>
          <w:color w:val="auto"/>
        </w:rPr>
      </w:pPr>
    </w:p>
    <w:p>
      <w:pPr>
        <w:ind w:left="300" w:right="100" w:firstLine="426"/>
        <w:spacing w:after="0" w:line="257" w:lineRule="auto"/>
        <w:rPr>
          <w:sz w:val="20"/>
          <w:szCs w:val="20"/>
          <w:color w:val="auto"/>
        </w:rPr>
      </w:pPr>
      <w:r>
        <w:rPr>
          <w:rFonts w:ascii="Times New Roman" w:cs="Times New Roman" w:eastAsia="Times New Roman" w:hAnsi="Times New Roman"/>
          <w:sz w:val="18"/>
          <w:szCs w:val="18"/>
          <w:color w:val="auto"/>
        </w:rPr>
        <w:t>Ares Management Corporation (NYSE: ARES) is a leading global alternative investment manager offering clients complementary primary and secondary investment solutions across the credit, real estate, private equity and infrastructure asset classes. Ares Management Corporation seeks to provide flexible capital to support</w:t>
      </w:r>
    </w:p>
    <w:p>
      <w:pPr>
        <w:spacing w:after="0" w:line="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businesses and create value for its stakeholders and within its communities. By collaborating across its investment groups, Ares Management Corporation aims to generate consistent and attractive investment returns throughout market cycles. As of June 30, 2024, Ares Management Corporation’s global platform had approximately 3,000 employees operating across North America, Europe, Asia Pacific and the Middle East and approximately $447 billion of assets under management.</w:t>
      </w:r>
    </w:p>
    <w:p>
      <w:pPr>
        <w:spacing w:after="0" w:line="29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20"/>
          </w:cols>
          <w:pgMar w:left="320" w:top="455" w:right="7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93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3938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Whitebox Advisors LLC (“Whitebox”) is a multi-strategy alternative asset manager that seeks to generate optimal risk-adjusted returns for a diversified base of public institutions, private entities and qualified individuals. Founded in 1999, Whitebox invests across asset classes, geographies, and markets through the hedge fund vehicles and institutional accounts that it advises. The firm maintains offices in Minneapolis, Austin,</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London and Sydney.</w:t>
      </w:r>
    </w:p>
    <w:p>
      <w:pPr>
        <w:spacing w:after="0" w:line="20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Highbridge Capital Management (“Highbridge”) is a global alternative investment firm offering credit and volatility focused solutions across a range of liquidity and investment profiles, including hedge funds, drawdown 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1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use the term “principal stockholders” in this prospectus to describe certain funds, investment vehicles or accounts managed or advised by Ares, Whitebox or Highbridge or their respective affiliates, in each case, that own shares of our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121"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On      , 2024, our Board of Directors approved a     -for-one split of our common stock, which is to be effected after the effectiveness of the registration statement of which this prospectus forms a part and in connection with the consummation of this offering. The par value will not be adjusted as a result of the stock split; however, the number of shares that we are authorized to issue will be increased to           .</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Corporate Information</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Hornbeck Offshore Services, Inc. was incorporated under the laws of the State of Delaware on June 2, 1997. Our principal executive offices are located at 103 Northpark Boulevard, Suite 300, Covington, LA 70433, and our telephone number is (985) 727-2000. Our website address is www.hornbeckoffshore.com. Information contained on, or that can be accessed through, our website is not part of and is not incorporated by reference into this prospectus, and you should not consider information on our website to be part of this prospectus.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01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7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 of</w:t>
            </w: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from us</w:t>
            </w: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aggregate of           </w:t>
            </w:r>
          </w:p>
        </w:tc>
        <w:tc>
          <w:tcPr>
            <w:tcW w:w="3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additional shares of our common stock.</w:t>
            </w:r>
          </w:p>
        </w:tc>
        <w:tc>
          <w:tcPr>
            <w:tcW w:w="1960" w:type="dxa"/>
            <w:vAlign w:val="bottom"/>
          </w:tcPr>
          <w:p>
            <w:pPr>
              <w:spacing w:after="0"/>
              <w:rPr>
                <w:sz w:val="20"/>
                <w:szCs w:val="20"/>
                <w:color w:val="auto"/>
              </w:rPr>
            </w:pP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 of</w:t>
            </w: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The selling stockholders have granted the underwriters an option for a period of 30 days to</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from the selling stockholders</w:t>
            </w:r>
          </w:p>
        </w:tc>
        <w:tc>
          <w:tcPr>
            <w:tcW w:w="246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w w:val="96"/>
              </w:rPr>
              <w:t>purchase up to an aggregate of  </w:t>
            </w:r>
          </w:p>
        </w:tc>
        <w:tc>
          <w:tcPr>
            <w:tcW w:w="42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color w:val="auto"/>
                <w:w w:val="99"/>
              </w:rPr>
              <w:t>         additional shares of our common stock.</w:t>
            </w: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shares (or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46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7"/>
              </w:rPr>
              <w:t>   shares if the underwriters exercise in full their option to</w:t>
            </w:r>
          </w:p>
        </w:tc>
      </w:tr>
      <w:tr>
        <w:trPr>
          <w:trHeight w:val="360"/>
        </w:trPr>
        <w:tc>
          <w:tcPr>
            <w:tcW w:w="3940" w:type="dxa"/>
            <w:vAlign w:val="bottom"/>
          </w:tcPr>
          <w:p>
            <w:pPr>
              <w:spacing w:after="0"/>
              <w:rPr>
                <w:sz w:val="24"/>
                <w:szCs w:val="24"/>
                <w:color w:val="auto"/>
              </w:rPr>
            </w:pPr>
          </w:p>
        </w:tc>
        <w:tc>
          <w:tcPr>
            <w:tcW w:w="47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purchase additional shares of common stock from us).</w:t>
            </w:r>
            <w:r>
              <w:rPr>
                <w:rFonts w:ascii="Times New Roman" w:cs="Times New Roman" w:eastAsia="Times New Roman" w:hAnsi="Times New Roman"/>
                <w:sz w:val="26"/>
                <w:szCs w:val="26"/>
                <w:color w:val="auto"/>
                <w:vertAlign w:val="superscript"/>
              </w:rPr>
              <w:t>1</w:t>
            </w:r>
          </w:p>
        </w:tc>
        <w:tc>
          <w:tcPr>
            <w:tcW w:w="1960" w:type="dxa"/>
            <w:vAlign w:val="bottom"/>
          </w:tcPr>
          <w:p>
            <w:pPr>
              <w:spacing w:after="0"/>
              <w:rPr>
                <w:sz w:val="24"/>
                <w:szCs w:val="24"/>
                <w:color w:val="auto"/>
              </w:rPr>
            </w:pPr>
          </w:p>
        </w:tc>
      </w:tr>
      <w:tr>
        <w:trPr>
          <w:trHeight w:val="31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w:t>
            </w:r>
          </w:p>
        </w:tc>
      </w:tr>
      <w:tr>
        <w:trPr>
          <w:trHeight w:val="216"/>
        </w:trPr>
        <w:tc>
          <w:tcPr>
            <w:tcW w:w="3940" w:type="dxa"/>
            <w:vAlign w:val="bottom"/>
          </w:tcPr>
          <w:p>
            <w:pPr>
              <w:spacing w:after="0"/>
              <w:rPr>
                <w:sz w:val="18"/>
                <w:szCs w:val="18"/>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r>
      <w:tr>
        <w:trPr>
          <w:trHeight w:val="216"/>
        </w:trPr>
        <w:tc>
          <w:tcPr>
            <w:tcW w:w="3940" w:type="dxa"/>
            <w:vAlign w:val="bottom"/>
          </w:tcPr>
          <w:p>
            <w:pPr>
              <w:spacing w:after="0"/>
              <w:rPr>
                <w:sz w:val="18"/>
                <w:szCs w:val="18"/>
                <w:color w:val="auto"/>
              </w:rPr>
            </w:pPr>
          </w:p>
        </w:tc>
        <w:tc>
          <w:tcPr>
            <w:tcW w:w="19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xml:space="preserve">will be approximately $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million (or approximately $ </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million if the</w:t>
            </w:r>
          </w:p>
        </w:tc>
      </w:tr>
      <w:tr>
        <w:trPr>
          <w:trHeight w:val="216"/>
        </w:trPr>
        <w:tc>
          <w:tcPr>
            <w:tcW w:w="3940" w:type="dxa"/>
            <w:vAlign w:val="bottom"/>
          </w:tcPr>
          <w:p>
            <w:pPr>
              <w:spacing w:after="0"/>
              <w:rPr>
                <w:sz w:val="18"/>
                <w:szCs w:val="18"/>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 shares of common stock</w:t>
            </w:r>
          </w:p>
        </w:tc>
      </w:tr>
      <w:tr>
        <w:trPr>
          <w:trHeight w:val="216"/>
        </w:trPr>
        <w:tc>
          <w:tcPr>
            <w:tcW w:w="3940" w:type="dxa"/>
            <w:vAlign w:val="bottom"/>
          </w:tcPr>
          <w:p>
            <w:pPr>
              <w:spacing w:after="0"/>
              <w:rPr>
                <w:sz w:val="18"/>
                <w:szCs w:val="18"/>
                <w:color w:val="auto"/>
              </w:rPr>
            </w:pPr>
          </w:p>
        </w:tc>
        <w:tc>
          <w:tcPr>
            <w:tcW w:w="47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 xml:space="preserve">from us), assuming an initial public offering price of $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share (which is the</w:t>
            </w:r>
          </w:p>
        </w:tc>
      </w:tr>
      <w:tr>
        <w:trPr>
          <w:trHeight w:val="216"/>
        </w:trPr>
        <w:tc>
          <w:tcPr>
            <w:tcW w:w="3940" w:type="dxa"/>
            <w:vAlign w:val="bottom"/>
          </w:tcPr>
          <w:p>
            <w:pPr>
              <w:spacing w:after="0"/>
              <w:rPr>
                <w:sz w:val="18"/>
                <w:szCs w:val="18"/>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9"/>
              </w:rPr>
              <w:t>midpoint of the estimated offering price range shown on the cover page of this prospectus).</w:t>
            </w:r>
          </w:p>
        </w:tc>
      </w:tr>
      <w:tr>
        <w:trPr>
          <w:trHeight w:val="216"/>
        </w:trPr>
        <w:tc>
          <w:tcPr>
            <w:tcW w:w="3940" w:type="dxa"/>
            <w:vAlign w:val="bottom"/>
          </w:tcPr>
          <w:p>
            <w:pPr>
              <w:spacing w:after="0"/>
              <w:rPr>
                <w:sz w:val="18"/>
                <w:szCs w:val="18"/>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For a sensitivity analysis as to the offering price and other information, see “Use of</w:t>
            </w:r>
          </w:p>
        </w:tc>
      </w:tr>
      <w:tr>
        <w:trPr>
          <w:trHeight w:val="234"/>
        </w:trPr>
        <w:tc>
          <w:tcPr>
            <w:tcW w:w="3940" w:type="dxa"/>
            <w:vAlign w:val="bottom"/>
          </w:tcPr>
          <w:p>
            <w:pPr>
              <w:spacing w:after="0"/>
              <w:rPr>
                <w:sz w:val="20"/>
                <w:szCs w:val="20"/>
                <w:color w:val="auto"/>
              </w:rPr>
            </w:pP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Proceeds.”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1"/>
        </w:trPr>
        <w:tc>
          <w:tcPr>
            <w:tcW w:w="3940" w:type="dxa"/>
            <w:vAlign w:val="bottom"/>
          </w:tcPr>
          <w:p>
            <w:pPr>
              <w:spacing w:after="0"/>
              <w:rPr>
                <w:sz w:val="24"/>
                <w:szCs w:val="24"/>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We intend to use the net proceeds to us from this offering for general corporate purposes.</w:t>
            </w:r>
          </w:p>
        </w:tc>
      </w:tr>
      <w:tr>
        <w:trPr>
          <w:trHeight w:val="216"/>
        </w:trPr>
        <w:tc>
          <w:tcPr>
            <w:tcW w:w="3940" w:type="dxa"/>
            <w:vAlign w:val="bottom"/>
          </w:tcPr>
          <w:p>
            <w:pPr>
              <w:spacing w:after="0"/>
              <w:rPr>
                <w:sz w:val="18"/>
                <w:szCs w:val="18"/>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in this offering by the selling</w:t>
            </w:r>
          </w:p>
        </w:tc>
      </w:tr>
      <w:tr>
        <w:trPr>
          <w:trHeight w:val="234"/>
        </w:trPr>
        <w:tc>
          <w:tcPr>
            <w:tcW w:w="3940" w:type="dxa"/>
            <w:vAlign w:val="bottom"/>
          </w:tcPr>
          <w:p>
            <w:pPr>
              <w:spacing w:after="0"/>
              <w:rPr>
                <w:sz w:val="20"/>
                <w:szCs w:val="20"/>
                <w:color w:val="auto"/>
              </w:rPr>
            </w:pP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We do not currently anticipate paying any dividends on our common stock immediately</w:t>
            </w:r>
          </w:p>
        </w:tc>
      </w:tr>
      <w:tr>
        <w:trPr>
          <w:trHeight w:val="234"/>
        </w:trPr>
        <w:tc>
          <w:tcPr>
            <w:tcW w:w="3940" w:type="dxa"/>
            <w:vAlign w:val="bottom"/>
          </w:tcPr>
          <w:p>
            <w:pPr>
              <w:spacing w:after="0"/>
              <w:rPr>
                <w:sz w:val="20"/>
                <w:szCs w:val="20"/>
                <w:color w:val="auto"/>
              </w:rPr>
            </w:pPr>
          </w:p>
        </w:tc>
        <w:tc>
          <w:tcPr>
            <w:tcW w:w="66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following this offering. We expect to retain all future earnings for use in the operation and</w:t>
            </w:r>
          </w:p>
        </w:tc>
      </w:tr>
    </w:tbl>
    <w:p>
      <w:pPr>
        <w:ind w:left="4340" w:right="80"/>
        <w:spacing w:after="0" w:line="253" w:lineRule="auto"/>
        <w:rPr>
          <w:sz w:val="20"/>
          <w:szCs w:val="20"/>
          <w:color w:val="auto"/>
        </w:rPr>
      </w:pPr>
      <w:r>
        <w:rPr>
          <w:rFonts w:ascii="Times New Roman" w:cs="Times New Roman" w:eastAsia="Times New Roman" w:hAnsi="Times New Roman"/>
          <w:sz w:val="18"/>
          <w:szCs w:val="18"/>
          <w:color w:val="auto"/>
        </w:rPr>
        <w:t>expansion of our business. Following this offering and upon repayment of certain outstanding indebtedness, we may reevaluate our dividend policy. Any decision to declare and pay dividends in the future will be made at the sole discretion of our Board of Directors and will depend on various factors. See “Dividend Policy.”</w:t>
      </w:r>
    </w:p>
    <w:p>
      <w:pPr>
        <w:spacing w:after="0" w:line="86"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Does not reflect shares of common stock that may be issued upon exercise of outstanding Jones Act Warrants, at an exercise price of</w:t>
      </w:r>
    </w:p>
    <w:p>
      <w:pPr>
        <w:spacing w:after="0" w:line="2" w:lineRule="exact"/>
        <w:rPr>
          <w:sz w:val="20"/>
          <w:szCs w:val="20"/>
          <w:color w:val="auto"/>
        </w:rPr>
      </w:pPr>
    </w:p>
    <w:p>
      <w:pPr>
        <w:ind w:left="720" w:right="60"/>
        <w:spacing w:after="0" w:line="258" w:lineRule="auto"/>
        <w:rPr>
          <w:sz w:val="20"/>
          <w:szCs w:val="20"/>
          <w:color w:val="auto"/>
        </w:rPr>
      </w:pPr>
      <w:r>
        <w:rPr>
          <w:rFonts w:ascii="Times New Roman" w:cs="Times New Roman" w:eastAsia="Times New Roman" w:hAnsi="Times New Roman"/>
          <w:sz w:val="18"/>
          <w:szCs w:val="18"/>
          <w:color w:val="auto"/>
        </w:rPr>
        <w:t>$0.00001 per share, or upon exercise of outstanding Creditor Warrants, at an exercise price of $        per share (after giving effect to the stock split).</w:t>
      </w: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320" w:top="455"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6090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See “Underwriting (Conflicts of Interest)—Directed Share Program.”</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common stock.</w:t>
      </w:r>
    </w:p>
    <w:p>
      <w:pPr>
        <w:spacing w:after="0" w:line="18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Highbridge, one of our principal stockholders, is an indirect subsidiary of J.P. Morgan Chase &amp; Co. As a result, J.P. Morgan Chase &amp; Co. will be deemed to have a “conflict of interest” within the meaning of Financial Industry Regulatory Authority (“FINRA”) Rule 5121. FINRA Rule 5121 imposes certain requirements on a FINRA member participating in the public offering of securities of an issuer if there is a conflict of interest and/or if that issuer controls, is controlled by, or is under common control with, the FINRA member. Accordingly, this offering is being made in compliance with the requirements of Rule 5121 regarding a FINRA member firm’s underwriting of securities of an affiliate. Neither J.P. Morgan Chase &amp; Co. nor any other affiliated agent of J.P. Morgan Chase &amp; Co. will sell any of our securities to any account over which it exercises discretionary authority unless it has received specific written approval from the account holder in accordance with Rule 5121. Barclays Capital Inc. has been appointed as a “qualified independent underwriter” in connection with this offering.</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162"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shares of our common stock outstanding as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2024, after giving effect to the stock split, and does not reflect:</w:t>
      </w:r>
    </w:p>
    <w:p>
      <w:pPr>
        <w:spacing w:after="0" w:line="112" w:lineRule="exact"/>
        <w:rPr>
          <w:sz w:val="20"/>
          <w:szCs w:val="20"/>
          <w:color w:val="auto"/>
        </w:rPr>
      </w:pPr>
    </w:p>
    <w:p>
      <w:pPr>
        <w:ind w:left="1120" w:right="460" w:hanging="403"/>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issued upon exercise of outstanding Jones Act Warrants, at an exercise price of $0.00001 per share;</w:t>
      </w:r>
    </w:p>
    <w:p>
      <w:pPr>
        <w:sectPr>
          <w:pgSz w:w="11900" w:h="16838" w:orient="portrait"/>
          <w:cols w:equalWidth="0" w:num="1">
            <w:col w:w="10920"/>
          </w:cols>
          <w:pgMar w:left="320" w:top="455" w:right="659" w:bottom="1440" w:gutter="0" w:footer="0" w:header="0"/>
          <w:type w:val="continuous"/>
        </w:sectPr>
      </w:pP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of common stock that may be issued upon exercise of outstanding Creditor Warrants, at an exercise price of $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w:t>
      </w:r>
    </w:p>
    <w:p>
      <w:pPr>
        <w:spacing w:after="0" w:line="27" w:lineRule="exact"/>
        <w:rPr>
          <w:sz w:val="20"/>
          <w:szCs w:val="20"/>
          <w:color w:val="auto"/>
        </w:rPr>
      </w:pPr>
    </w:p>
    <w:p>
      <w:pPr>
        <w:sectPr>
          <w:pgSz w:w="11900" w:h="16838" w:orient="portrait"/>
          <w:cols w:equalWidth="0" w:num="5">
            <w:col w:w="780" w:space="340"/>
            <w:col w:w="8420" w:space="140"/>
            <w:col w:w="40" w:space="140"/>
            <w:col w:w="220" w:space="180"/>
            <w:col w:w="660"/>
          </w:cols>
          <w:pgMar w:left="320" w:top="455" w:right="65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share;</w:t>
      </w:r>
    </w:p>
    <w:p>
      <w:pPr>
        <w:sectPr>
          <w:pgSz w:w="11900" w:h="16838" w:orient="portrait"/>
          <w:cols w:equalWidth="0" w:num="1">
            <w:col w:w="10920"/>
          </w:cols>
          <w:pgMar w:left="320" w:top="455" w:right="659" w:bottom="1440" w:gutter="0" w:footer="0" w:header="0"/>
          <w:type w:val="continuous"/>
        </w:sectPr>
      </w:pPr>
    </w:p>
    <w:p>
      <w:pPr>
        <w:spacing w:after="0" w:line="112" w:lineRule="exact"/>
        <w:rPr>
          <w:sz w:val="20"/>
          <w:szCs w:val="20"/>
          <w:color w:val="auto"/>
        </w:rPr>
      </w:pPr>
    </w:p>
    <w:p>
      <w:pPr>
        <w:ind w:left="1120" w:hanging="403"/>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issued upon the exercise of outstanding options at an average weighted exercise price of</w:t>
      </w:r>
    </w:p>
    <w:p>
      <w:pPr>
        <w:spacing w:after="0" w:line="27" w:lineRule="exact"/>
        <w:rPr>
          <w:sz w:val="20"/>
          <w:szCs w:val="20"/>
          <w:color w:val="auto"/>
        </w:rPr>
      </w:pPr>
    </w:p>
    <w:p>
      <w:pPr>
        <w:ind w:left="1120"/>
        <w:spacing w:after="0"/>
        <w:tabs>
          <w:tab w:leader="none" w:pos="1380" w:val="left"/>
          <w:tab w:leader="none" w:pos="1560" w:val="left"/>
          <w:tab w:leader="none" w:pos="1740" w:val="left"/>
          <w:tab w:leader="none" w:pos="1960" w:val="left"/>
        </w:tabs>
        <w:rPr>
          <w:sz w:val="20"/>
          <w:szCs w:val="20"/>
          <w:color w:val="auto"/>
        </w:rPr>
      </w:pPr>
      <w:r>
        <w:rPr>
          <w:rFonts w:ascii="Times New Roman" w:cs="Times New Roman" w:eastAsia="Times New Roman" w:hAnsi="Times New Roman"/>
          <w:sz w:val="18"/>
          <w:szCs w:val="18"/>
          <w:color w:val="auto"/>
        </w:rPr>
        <w:t xml:space="preserve">$ </w:t>
        <w:tab/>
        <w:t> </w:t>
        <w:tab/>
        <w:t> </w:t>
        <w:tab/>
        <w:t> </w:t>
      </w:r>
      <w:r>
        <w:rPr>
          <w:sz w:val="20"/>
          <w:szCs w:val="20"/>
          <w:color w:val="auto"/>
        </w:rPr>
        <w:tab/>
      </w:r>
      <w:r>
        <w:rPr>
          <w:rFonts w:ascii="Times New Roman" w:cs="Times New Roman" w:eastAsia="Times New Roman" w:hAnsi="Times New Roman"/>
          <w:sz w:val="17"/>
          <w:szCs w:val="17"/>
          <w:color w:val="auto"/>
        </w:rPr>
        <w:t>or the vesting of restricted stock units issued under our 2020 Management Incentive Plan; and</w:t>
      </w:r>
    </w:p>
    <w:p>
      <w:pPr>
        <w:spacing w:after="0" w:line="112" w:lineRule="exact"/>
        <w:rPr>
          <w:sz w:val="20"/>
          <w:szCs w:val="20"/>
          <w:color w:val="auto"/>
        </w:rPr>
      </w:pPr>
    </w:p>
    <w:p>
      <w:pPr>
        <w:ind w:left="1120" w:hanging="403"/>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issued pursuant to future awards under our 2020 Management Incentive Plan or our 2024 Omnibus Incentive Plan to be in effect following this offering.</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92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1992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all information in this prospectus assumes or gives effect to:</w:t>
      </w:r>
    </w:p>
    <w:p>
      <w:pPr>
        <w:spacing w:after="0" w:line="131" w:lineRule="exact"/>
        <w:rPr>
          <w:sz w:val="20"/>
          <w:szCs w:val="20"/>
          <w:color w:val="auto"/>
        </w:rPr>
      </w:pPr>
    </w:p>
    <w:p>
      <w:pPr>
        <w:ind w:left="1120" w:right="700" w:hanging="403"/>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closing of this offering;</w:t>
      </w:r>
    </w:p>
    <w:p>
      <w:pPr>
        <w:sectPr>
          <w:pgSz w:w="11900" w:h="16838" w:orient="portrait"/>
          <w:cols w:equalWidth="0" w:num="1">
            <w:col w:w="11140"/>
          </w:cols>
          <w:pgMar w:left="320" w:top="455" w:right="439" w:bottom="1440" w:gutter="0" w:footer="0" w:header="0"/>
        </w:sectPr>
      </w:pP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to 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760" w:firstLine="80"/>
        <w:spacing w:after="0" w:line="282" w:lineRule="auto"/>
        <w:rPr>
          <w:sz w:val="20"/>
          <w:szCs w:val="20"/>
          <w:color w:val="auto"/>
        </w:rPr>
      </w:pPr>
      <w:r>
        <w:rPr>
          <w:rFonts w:ascii="Times New Roman" w:cs="Times New Roman" w:eastAsia="Times New Roman" w:hAnsi="Times New Roman"/>
          <w:sz w:val="18"/>
          <w:szCs w:val="18"/>
          <w:color w:val="auto"/>
        </w:rPr>
        <w:t>-for-one stock split of our shares of common stock and the related increase of our authorized shares of common stock shares;</w:t>
      </w:r>
    </w:p>
    <w:p>
      <w:pPr>
        <w:spacing w:after="0" w:line="67" w:lineRule="exact"/>
        <w:rPr>
          <w:sz w:val="20"/>
          <w:szCs w:val="20"/>
          <w:color w:val="auto"/>
        </w:rPr>
      </w:pPr>
    </w:p>
    <w:p>
      <w:pPr>
        <w:sectPr>
          <w:pgSz w:w="11900" w:h="16838" w:orient="portrait"/>
          <w:cols w:equalWidth="0" w:num="3">
            <w:col w:w="780" w:space="340"/>
            <w:col w:w="620" w:space="100"/>
            <w:col w:w="9300"/>
          </w:cols>
          <w:pgMar w:left="320" w:top="455" w:right="4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an initial offering price of $      the cover page of this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357" w:lineRule="exact"/>
        <w:rPr>
          <w:sz w:val="20"/>
          <w:szCs w:val="20"/>
          <w:color w:val="auto"/>
        </w:rPr>
      </w:pPr>
    </w:p>
    <w:p>
      <w:pPr>
        <w:sectPr>
          <w:pgSz w:w="11900" w:h="16838" w:orient="portrait"/>
          <w:cols w:equalWidth="0" w:num="3">
            <w:col w:w="780" w:space="340"/>
            <w:col w:w="2480" w:space="100"/>
            <w:col w:w="7440"/>
          </w:cols>
          <w:pgMar w:left="320" w:top="455" w:right="439" w:bottom="1440" w:gutter="0" w:footer="0" w:header="0"/>
          <w:type w:val="continuous"/>
        </w:sectPr>
      </w:pPr>
    </w:p>
    <w:p>
      <w:pPr>
        <w:ind w:left="1120" w:hanging="403"/>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 and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exercise of the underwriters’ option to purchase up to an additional         shares of common stock from us and up to an</w:t>
            </w:r>
          </w:p>
        </w:tc>
      </w:tr>
      <w:tr>
        <w:trPr>
          <w:trHeight w:val="234"/>
        </w:trPr>
        <w:tc>
          <w:tcPr>
            <w:tcW w:w="84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shares of common stock from the selling stockholders.</w:t>
            </w:r>
          </w:p>
        </w:tc>
      </w:tr>
      <w:tr>
        <w:trPr>
          <w:trHeight w:val="172"/>
        </w:trPr>
        <w:tc>
          <w:tcPr>
            <w:tcW w:w="840" w:type="dxa"/>
            <w:vAlign w:val="bottom"/>
            <w:tcBorders>
              <w:bottom w:val="single" w:sz="8" w:color="auto"/>
            </w:tcBorders>
          </w:tcPr>
          <w:p>
            <w:pPr>
              <w:spacing w:after="0"/>
              <w:rPr>
                <w:sz w:val="14"/>
                <w:szCs w:val="14"/>
                <w:color w:val="auto"/>
              </w:rPr>
            </w:pPr>
          </w:p>
        </w:tc>
        <w:tc>
          <w:tcPr>
            <w:tcW w:w="10180" w:type="dxa"/>
            <w:vAlign w:val="bottom"/>
            <w:tcBorders>
              <w:bottom w:val="single" w:sz="8" w:color="auto"/>
            </w:tcBorders>
          </w:tcPr>
          <w:p>
            <w:pPr>
              <w:spacing w:after="0"/>
              <w:rPr>
                <w:sz w:val="14"/>
                <w:szCs w:val="14"/>
                <w:color w:val="auto"/>
              </w:rPr>
            </w:pPr>
          </w:p>
        </w:tc>
      </w:tr>
      <w:tr>
        <w:trPr>
          <w:trHeight w:val="361"/>
        </w:trPr>
        <w:tc>
          <w:tcPr>
            <w:tcW w:w="840" w:type="dxa"/>
            <w:vAlign w:val="bottom"/>
          </w:tcPr>
          <w:p>
            <w:pPr>
              <w:spacing w:after="0"/>
              <w:rPr>
                <w:sz w:val="24"/>
                <w:szCs w:val="24"/>
                <w:color w:val="auto"/>
              </w:rPr>
            </w:pPr>
          </w:p>
        </w:tc>
        <w:tc>
          <w:tcPr>
            <w:tcW w:w="1018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140"/>
          </w:cols>
          <w:pgMar w:left="320" w:top="455"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75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4975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Financial and Other Data</w:t>
      </w:r>
    </w:p>
    <w:p>
      <w:pPr>
        <w:spacing w:after="0" w:line="229"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The following table shows our summary historical consolidated financial and other data for the periods and as of the dates indicated. The summary consolidated statements of operations and cash flow data for the six months ended June 30, 2024 and 2023 and the balance sheet data as of June 30, 2024 have been derived from our Quarterly Financial Statements included elsewhere in this prospectus. The summary consolidated statements of operations and cash flow data for the years ended December 31, 2023, 2022 and 2021 and the balance sheet data as of December 31, 2023 and 2022 have been derived from our Annual Financial Statements included elsewhere in this prospectus.</w:t>
      </w:r>
    </w:p>
    <w:p>
      <w:pPr>
        <w:spacing w:after="0" w:line="183"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29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96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283,207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528,780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406,034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214,680</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23,569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44,669</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45,192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306,776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278,389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573,449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451,226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256,300</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181,818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305,463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214,788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142,819</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18,093</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11,753</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32,430</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32,366</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66,108</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248,927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214,982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442,212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308,004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205,206</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21,837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57,880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133,939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165,059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10,430</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38,340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87,936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80,762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8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80" w:type="dxa"/>
            <w:vAlign w:val="bottom"/>
          </w:tcPr>
          <w:p>
            <w:pPr>
              <w:spacing w:after="0"/>
              <w:rPr>
                <w:sz w:val="13"/>
                <w:szCs w:val="1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15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$ 91,078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120,055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217,303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625,270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602,422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130,415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88,203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original issue discount and deferred financing costs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585,976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146,115</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(168,345)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(109,157)</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(76,038)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88,075</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58,187</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77,219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Free Cash Flow</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47,726</w:t>
            </w:r>
          </w:p>
        </w:tc>
        <w:tc>
          <w:tcPr>
            <w:tcW w:w="0" w:type="dxa"/>
            <w:vAlign w:val="bottom"/>
          </w:tcPr>
          <w:p>
            <w:pPr>
              <w:spacing w:after="0"/>
              <w:rPr>
                <w:sz w:val="1"/>
                <w:szCs w:val="1"/>
                <w:color w:val="auto"/>
              </w:rPr>
            </w:pPr>
          </w:p>
        </w:tc>
      </w:tr>
      <w:tr>
        <w:trPr>
          <w:trHeight w:val="234"/>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21,382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80" w:hanging="422"/>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are non-GAAP financial measures. As such, they should not be considered in isolation or as a substitute for operating income, net income or loss, cash flows provided by operating, investing and financing activities, or other income or cash flow statement data prepared in accordance with GAAP. See “—Non-GAAP Financial Measures” below for our definitions of EBITDA, Adjusted EBITDA and Adjusted Free Cash Flow and reconciliations of each to the most directly comparable GAAP financial measure.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8"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58" w:lineRule="auto"/>
        <w:rPr>
          <w:sz w:val="20"/>
          <w:szCs w:val="20"/>
          <w:color w:val="auto"/>
        </w:rPr>
      </w:pPr>
      <w:r>
        <w:rPr>
          <w:rFonts w:ascii="Times New Roman" w:cs="Times New Roman" w:eastAsia="Times New Roman" w:hAnsi="Times New Roman"/>
          <w:sz w:val="18"/>
          <w:szCs w:val="18"/>
          <w:color w:val="auto"/>
        </w:rPr>
        <w:t>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87"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firstLine="426"/>
        <w:spacing w:after="0" w:line="312" w:lineRule="auto"/>
        <w:rPr>
          <w:sz w:val="20"/>
          <w:szCs w:val="20"/>
          <w:color w:val="auto"/>
        </w:rPr>
      </w:pPr>
      <w:r>
        <w:rPr>
          <w:rFonts w:ascii="Times New Roman" w:cs="Times New Roman" w:eastAsia="Times New Roman" w:hAnsi="Times New Roman"/>
          <w:sz w:val="17"/>
          <w:szCs w:val="17"/>
          <w:color w:val="auto"/>
        </w:rPr>
        <w:t>The following tables reconcile cash flows provided by operating activities to EBITDA, Adjusted EBITDA and Adjusted Free Cash Flow, as we define those terms, for the six months ended June 30, 2024 and 2023, and the years ended December 31, 2023, 2022 and 2021, respectively:</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 w:type="dxa"/>
            <w:vAlign w:val="bottom"/>
          </w:tcPr>
          <w:p>
            <w:pPr>
              <w:spacing w:after="0"/>
              <w:rPr>
                <w:sz w:val="15"/>
                <w:szCs w:val="15"/>
                <w:color w:val="auto"/>
              </w:rPr>
            </w:pPr>
          </w:p>
        </w:tc>
        <w:tc>
          <w:tcPr>
            <w:tcW w:w="15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EBITDA Reconciliation to GAAP:</w:t>
            </w: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29,828</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interest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(15,363)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(19,097)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(5,330)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adjustment of liability-classified warrants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(10,917)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(41,408)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88,075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83,458</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$ 168,931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$ 155,216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$ 58,187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EBITDA Reconciliation to GAAP:</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29,828</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19,114</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interest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94,809</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111,817</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$ 213,629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$ 204,830</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Free Cash Flow Reconciliation to GAAP:</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maintenance capital improvements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(9,969)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(3,782)</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(7,745)</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(3,762)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non-vessel capital expenditures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(1,328)</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30,828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$ 132,688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$ 171,284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$ 47,726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detailed components of EBITDA, Adjusted EBITDA and Adjusted Free Cash Flow as we define those terms, for the six months ended June 30, 2024 and 2023, and the years ended December 31, 2023, 2022 and 2021 (in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EBITDA: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44,226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35,794</w:t>
            </w: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15,672</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168,931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155,216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liability-classified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15,150</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111,817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213,629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204,830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Cash paid for deferred drydocking charges</w:t>
            </w:r>
            <w:r>
              <w:rPr>
                <w:rFonts w:ascii="Times New Roman" w:cs="Times New Roman" w:eastAsia="Times New Roman" w:hAnsi="Times New Roman"/>
                <w:sz w:val="24"/>
                <w:szCs w:val="24"/>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(26,106)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(14,113)</w:t>
            </w:r>
          </w:p>
        </w:tc>
      </w:tr>
      <w:tr>
        <w:trPr>
          <w:trHeight w:val="216"/>
        </w:trPr>
        <w:tc>
          <w:tcPr>
            <w:tcW w:w="63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maintenance capital improvements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6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non-vessel capital expenditures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(14,556)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(8,467)</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(13,035)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right="440" w:hanging="52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these items, see “Management’s Discussion and Analysis of Financial Condition and Results of Operations—Liquidity and Capital Resources—Capital Expenditures and Related Commitments.”</w:t>
      </w:r>
    </w:p>
    <w:p>
      <w:pPr>
        <w:spacing w:after="0" w:line="162"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Set forth below are the material limitations associated with using EBITDA, Adjusted EBITDA and Adjusted Free Cash Flow as non-GAAP financial measures compared to cash flows provided by operating activities:</w:t>
      </w:r>
    </w:p>
    <w:p>
      <w:pPr>
        <w:spacing w:after="0" w:line="67" w:lineRule="exact"/>
        <w:rPr>
          <w:sz w:val="20"/>
          <w:szCs w:val="20"/>
          <w:color w:val="auto"/>
        </w:rPr>
      </w:pPr>
    </w:p>
    <w:p>
      <w:pPr>
        <w:ind w:left="1120" w:right="50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future capital expenditure requirements that may be necessary to replace our existing vessels upon expiration of their useful lives;</w:t>
      </w:r>
    </w:p>
    <w:p>
      <w:pPr>
        <w:spacing w:after="0" w:line="67" w:lineRule="exact"/>
        <w:rPr>
          <w:rFonts w:ascii="Times New Roman" w:cs="Times New Roman" w:eastAsia="Times New Roman" w:hAnsi="Times New Roman"/>
          <w:sz w:val="18"/>
          <w:szCs w:val="18"/>
          <w:color w:val="auto"/>
        </w:rPr>
      </w:pPr>
    </w:p>
    <w:p>
      <w:pPr>
        <w:ind w:left="1120" w:right="24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7" w:lineRule="exact"/>
        <w:rPr>
          <w:rFonts w:ascii="Times New Roman" w:cs="Times New Roman" w:eastAsia="Times New Roman" w:hAnsi="Times New Roman"/>
          <w:sz w:val="18"/>
          <w:szCs w:val="18"/>
          <w:color w:val="auto"/>
        </w:rPr>
      </w:pPr>
    </w:p>
    <w:p>
      <w:pPr>
        <w:ind w:left="1120" w:right="6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deferred income taxes that we will eventually have to pay once we are no longer in an overall NOL carryforward position, as applicable; and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hanging="403"/>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changes in our net working capital position.</w:t>
      </w:r>
    </w:p>
    <w:p>
      <w:pPr>
        <w:spacing w:after="0" w:line="225" w:lineRule="exact"/>
        <w:rPr>
          <w:sz w:val="20"/>
          <w:szCs w:val="20"/>
          <w:color w:val="auto"/>
        </w:rPr>
      </w:pPr>
    </w:p>
    <w:p>
      <w:pPr>
        <w:jc w:val="both"/>
        <w:ind w:left="300" w:right="600" w:firstLine="426"/>
        <w:spacing w:after="0" w:line="312"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Operating Data</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Offshore Supply Vessels: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OSVs</w:t>
            </w:r>
            <w:r>
              <w:rPr>
                <w:rFonts w:ascii="Times New Roman" w:cs="Times New Roman" w:eastAsia="Times New Roman" w:hAnsi="Times New Roman"/>
                <w:sz w:val="25"/>
                <w:szCs w:val="25"/>
                <w:color w:val="auto"/>
                <w:vertAlign w:val="superscript"/>
              </w:rPr>
              <w:t>(1)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active OSVs</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fleet capacity (DWT)</w:t>
            </w:r>
            <w:r>
              <w:rPr>
                <w:rFonts w:ascii="Times New Roman" w:cs="Times New Roman" w:eastAsia="Times New Roman" w:hAnsi="Times New Roman"/>
                <w:sz w:val="25"/>
                <w:szCs w:val="25"/>
                <w:color w:val="auto"/>
                <w:vertAlign w:val="superscript"/>
              </w:rPr>
              <w:t>(3)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256,552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232,419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235,514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229,001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capacity (DWT)</w:t>
            </w:r>
            <w:r>
              <w:rPr>
                <w:rFonts w:ascii="Times New Roman" w:cs="Times New Roman" w:eastAsia="Times New Roman" w:hAnsi="Times New Roman"/>
                <w:sz w:val="25"/>
                <w:szCs w:val="25"/>
                <w:color w:val="auto"/>
                <w:vertAlign w:val="superscript"/>
              </w:rPr>
              <w:t>(4)</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utilization rate</w:t>
            </w:r>
            <w:r>
              <w:rPr>
                <w:rFonts w:ascii="Times New Roman" w:cs="Times New Roman" w:eastAsia="Times New Roman" w:hAnsi="Times New Roman"/>
                <w:sz w:val="25"/>
                <w:szCs w:val="25"/>
                <w:color w:val="auto"/>
                <w:vertAlign w:val="superscript"/>
              </w:rPr>
              <w:t>(5)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OSV utilization rate</w:t>
            </w:r>
            <w:r>
              <w:rPr>
                <w:rFonts w:ascii="Times New Roman" w:cs="Times New Roman" w:eastAsia="Times New Roman" w:hAnsi="Times New Roman"/>
                <w:sz w:val="25"/>
                <w:szCs w:val="25"/>
                <w:color w:val="auto"/>
                <w:vertAlign w:val="superscript"/>
              </w:rPr>
              <w:t>(6)</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dayrate</w:t>
            </w:r>
            <w:r>
              <w:rPr>
                <w:rFonts w:ascii="Times New Roman" w:cs="Times New Roman" w:eastAsia="Times New Roman" w:hAnsi="Times New Roman"/>
                <w:sz w:val="25"/>
                <w:szCs w:val="25"/>
                <w:color w:val="auto"/>
                <w:vertAlign w:val="superscript"/>
              </w:rPr>
              <w:t>(7)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Effective OSV dayrate</w:t>
            </w:r>
            <w:r>
              <w:rPr>
                <w:rFonts w:ascii="Times New Roman" w:cs="Times New Roman" w:eastAsia="Times New Roman" w:hAnsi="Times New Roman"/>
                <w:sz w:val="25"/>
                <w:szCs w:val="25"/>
                <w:color w:val="auto"/>
                <w:vertAlign w:val="superscript"/>
              </w:rPr>
              <w:t>(8)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Multi-Purpose Support Vessels</w:t>
            </w: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MPSVs</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active MPSVs</w:t>
            </w:r>
            <w:r>
              <w:rPr>
                <w:rFonts w:ascii="Times New Roman" w:cs="Times New Roman" w:eastAsia="Times New Roman" w:hAnsi="Times New Roman"/>
                <w:sz w:val="25"/>
                <w:szCs w:val="25"/>
                <w:color w:val="auto"/>
                <w:vertAlign w:val="superscript"/>
              </w:rPr>
              <w:t>(2)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MPSV utilization rate</w:t>
            </w:r>
            <w:r>
              <w:rPr>
                <w:rFonts w:ascii="Times New Roman" w:cs="Times New Roman" w:eastAsia="Times New Roman" w:hAnsi="Times New Roman"/>
                <w:sz w:val="25"/>
                <w:szCs w:val="25"/>
                <w:color w:val="auto"/>
                <w:vertAlign w:val="superscript"/>
              </w:rPr>
              <w:t>(5)</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MPSV utilization rate</w:t>
            </w:r>
            <w:r>
              <w:rPr>
                <w:rFonts w:ascii="Times New Roman" w:cs="Times New Roman" w:eastAsia="Times New Roman" w:hAnsi="Times New Roman"/>
                <w:sz w:val="25"/>
                <w:szCs w:val="25"/>
                <w:color w:val="auto"/>
                <w:vertAlign w:val="superscript"/>
              </w:rPr>
              <w:t>(6)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MPSV dayrate</w:t>
            </w:r>
            <w:r>
              <w:rPr>
                <w:rFonts w:ascii="Times New Roman" w:cs="Times New Roman" w:eastAsia="Times New Roman" w:hAnsi="Times New Roman"/>
                <w:sz w:val="25"/>
                <w:szCs w:val="25"/>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53,421</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 MPSV dayrate</w:t>
            </w:r>
            <w:r>
              <w:rPr>
                <w:rFonts w:ascii="Times New Roman" w:cs="Times New Roman" w:eastAsia="Times New Roman" w:hAnsi="Times New Roman"/>
                <w:sz w:val="26"/>
                <w:szCs w:val="26"/>
                <w:color w:val="auto"/>
                <w:vertAlign w:val="superscript"/>
              </w:rPr>
              <w:t>(8)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30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0" w:hanging="522"/>
        <w:spacing w:after="0" w:line="253"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vessels owned during the period, adjusted to reflect date of acquisition or disposition of vessels. We owned 55 and 54 OSVs and 12 MPSVs as of December 31, 2023 and December 31, 2022, respectively. Excluded from the data as of December 31, 2023 and 2022 are four non-owned vessels that we now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We owned 60 and 53 OSVs and 12 MPSVs as of June 30, 2024 and June 30, 2023, respectively. Excluded from the data as of</w:t>
      </w:r>
    </w:p>
    <w:p>
      <w:pPr>
        <w:spacing w:after="0" w:line="5" w:lineRule="exact"/>
        <w:rPr>
          <w:rFonts w:ascii="Times New Roman" w:cs="Times New Roman" w:eastAsia="Times New Roman" w:hAnsi="Times New Roman"/>
          <w:sz w:val="18"/>
          <w:szCs w:val="18"/>
          <w:color w:val="auto"/>
        </w:rPr>
      </w:pPr>
    </w:p>
    <w:p>
      <w:pPr>
        <w:ind w:left="82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June 30, 2024 and June 30, 2023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nine such vessels, (ii) as of December 31, 2023, five such vessels and (iii) as of June 30, 2023, seven such vessels. The Company also sold two and ten OSVs during 2023 and 2022, respectively.</w:t>
      </w:r>
    </w:p>
    <w:p>
      <w:pPr>
        <w:ind w:left="820" w:right="60" w:hanging="522"/>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1" w:lineRule="exact"/>
        <w:rPr>
          <w:rFonts w:ascii="Times New Roman" w:cs="Times New Roman" w:eastAsia="Times New Roman" w:hAnsi="Times New Roman"/>
          <w:sz w:val="18"/>
          <w:szCs w:val="18"/>
          <w:color w:val="auto"/>
        </w:rPr>
      </w:pPr>
    </w:p>
    <w:p>
      <w:pPr>
        <w:ind w:left="820" w:right="240" w:hanging="522"/>
        <w:spacing w:after="0" w:line="26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OSVs owned during the period multiplied by the weighted-average capacity of OSVs during the same period.</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332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340" w:hanging="522"/>
        <w:spacing w:after="0" w:line="26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actual capacity of the OSVs owned during the period on a weighted-average basis, adjusted to reflect date of acquisition or disposition of vessels.</w:t>
      </w:r>
    </w:p>
    <w:p>
      <w:pPr>
        <w:ind w:left="820" w:hanging="52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8"/>
          <w:szCs w:val="18"/>
          <w:color w:val="auto"/>
        </w:rPr>
      </w:pPr>
    </w:p>
    <w:p>
      <w:pPr>
        <w:ind w:left="820" w:hanging="522"/>
        <w:spacing w:after="0" w:line="250"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utilization rate is based on a denominator comprised only of vessel-days available for service by the active fleet, which excludes the impact of inactive or stacked vessel days.</w:t>
      </w:r>
    </w:p>
    <w:p>
      <w:pPr>
        <w:ind w:left="820" w:right="420" w:hanging="522"/>
        <w:spacing w:after="0" w:line="250"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ind w:left="820" w:hanging="52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dayrate represents the average dayrate multiplied by the average utilization rate.</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320" w:top="455"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7" w:lineRule="exact"/>
        <w:rPr>
          <w:sz w:val="20"/>
          <w:szCs w:val="20"/>
          <w:color w:val="auto"/>
        </w:rPr>
      </w:pPr>
    </w:p>
    <w:p>
      <w:pPr>
        <w:ind w:left="98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oil and natural gas prices, particularly with respect to prevailing prices on local price indexes in the areas in which we operate and expectations about future commodity prices;</w:t>
      </w:r>
    </w:p>
    <w:p>
      <w:pPr>
        <w:spacing w:after="0" w:line="67"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Organization of the Petroleum Exporting Countries, plus (“OPEC+”), its members and other state-controlled oil companies relating to oil price and production controls;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impacting the global supply and demand for oil and natural gas;</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military, regulatory and economic conditions, including global inflationary pressures, Russia’s ongoing invasion of Ukraine and sanctions related thereto, as well as the ongoing conflict in Israel and the surrounding region;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and regulatory uncertainty stemming from local or environmental opposition to offshore energy development projects;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hydrocarbons;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within the countries where we operate that can result in reduced exploration and production activities;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expiration dates of available offshore leases;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size and location of new hydrocarbon reserves, including in offshore areas;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decline of existing hydrocarbon reserves due to production;</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environmental matters, including those addressing alternative energy sources and the risks of global climate change;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exploitation of alternative fuels or energy sources and end-user conservation trends;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local and foreign governmental regulation and taxes;</w:t>
      </w:r>
    </w:p>
    <w:p>
      <w:pPr>
        <w:spacing w:after="0" w:line="130"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including technology related to the exploitation of shale oil, which can result in over-supply of hydrocarbons or a change in demand for hydrocarbons;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offshore energy producers to generate funds for their capital-intensive businesses.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Prices for oil and natural gas have historically been, and we anticipate they will continue to be, extremely volatile and reactive to changes in the supply of and demand for oil and natural gas (including changes resulting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business also depends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our long-term assets may adversely impact our financial position and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waiver, repeal or administrative weakening of the Jones Act could adversely impact our business.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120" w:hanging="4"/>
        <w:spacing w:after="0" w:line="251"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comply with the Jones Act’s citizenship requirements.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we own and operate U.S.-flagged vessels in the U.S. coastwise trade, the Jones Act requires that at least 75% of the outstanding shares of each class or series of the capital stock of the Company must be owned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impacted by changing macroeconomic conditions, including inflation.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Further, we are unable to predict the impact of efforts by the U.S. Federal Reserve and other central banks to combat elevated levels of inflation. If their efforts are too aggressive, they may lead to a recession. Alternatively, if they are insufficient or are not sustained long enough to lower inflation to more acceptable levels, consumer spending may be adversely impacted for a prolonged period of time, which could impact oil prices. Any of these events could materially affect our business and operating results.</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28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developments in the global oil and gas markets, such as the Russian invasion of Ukraine and related sanctions, and the ongoing conflict in Israel and the surrounding region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7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Changes in the supply of and demand for oil and gas impacts the level of services that we provide to customers, which in turn impacts our financial position, results of operations and cash flows.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as of the date of this prospectus we have not been materially impacted by the resulting supply chain disruptions, the Russian invasion of Ukraine and related sanctions have significantly disrupted supply chains for crude oil and natural gas.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The U.S. government has also implemented geographic restrictions for certain offshore oil and gas operators and projects, which may reduce the number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projects our vessels may support. While the geographic areas in which we operate are largely unaffected by these sanctions, they could negatively impact our business and financial condition. Further, the ongoing conflict in Israel and the surrounding region could escalate into a broader conflict that could disrupt energy operations and supply chains globally.</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customers’ businesses are subject to complex laws and regulations that can adversely affect the cost, manner, or feasibility of doing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Inflation Reduction Act of 2022 could accelerate the transition to a low carbon economy and impose increased costs on our customers.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August 2022, President Biden signed the Inflation Reduction Act of 2022 (“IRA 2022”) into law. The IRA 2022 contains incentives for the development of renewable energy, clean hydrogen, clean fuels, electric vehicles and supporting infrastructure and carbon capture and sequestration, among other provisions. These incentives could further accelerate the transition of the U.S. economy away from the use of fossil fuels towards lower-or zero-carbon emissions alternatives, which could decrease demand for oil and gas and consequently reduce demand for our services in that sector. In addition, the IRA 2022 imposes the first ever federal fee on the emission of GHGs through a methane emissions charge. The IRA 2022 amends the federal Clean Air Act (“CAA”) to impose a fee on the emission of methane above certain thresholds established in the IRA 2022 from sources required to report their GHG emissions to the U.S. Environmental Protection Agency (“EPA”). The methane emissions charge will begin accruing during calendar year 2024 at a rate of $900 per ton of methane above applicable emissions thresholds, increase to $1,200 per ton above thresholds in 2025, and be set at $1,500 per ton above thresholds for 2026 and each year thereafter. In January 2024, the EPA issued a proposed rule that would require facilities to calculate and pay these methane emissions charges for the prior year’s emissions by March 31, 2025, with future filings due on an annual basis. The methane emissions charge and other related initiatives targeting methane emissions could increase our customers’ operating costs in the oil and gas industry and reduce demand for our services.</w:t>
      </w:r>
    </w:p>
    <w:p>
      <w:pPr>
        <w:spacing w:after="0" w:line="29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provide services for oil and natural gas exploration and production customers operating offshore in the deepwaters of the U.S. and in other countries. In the U.S., President Biden issued an executive order in January 2021 that commits to substantial action on climate change, calling for, among other things, the elimination of subsidies provided to the fossil fuel industry and an increased emphasis on climate-related risks across government agencies and economic sectors. In September 2023, the Biden Administration announced that federal agencies will be directed to consider the social cost of GHGs in agency budgeting, procurement, and other agency decisions, including in environmental reviews conducted pursuant to the National Environmental Policy Act, where appropriate. Additionally, regulatory agencies under the Biden Administration may issue new or amended rulemakings regarding deepwater and ultra-deepwater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that could delay or suspend offshore lease auctions, adversely affecting our customers’ businesses and reducing demand for our services. In December 2023, the U.S. Department of the Interior (“DOI”) finalized a new five-year offshore leasing plan for the U.S. GoM. The plan calls for a maximum of three offshore lease sales, in 2025, 2027 and 2029, and no lease sales will be held in 2024. The five-year lease plan represents the smallest number of planned sales in the history of the offshore leasing program. In early 2024, legal challenges to the plan were filed by both industry and environmental groups.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our profitability. A sustained inability to win contracts in our key markets would put pressure on our ability to service our debt.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subject to the state of the offshore wind energy market.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may be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81" w:lineRule="exact"/>
        <w:rPr>
          <w:sz w:val="20"/>
          <w:szCs w:val="20"/>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and complex permitting process;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development costs than onshore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 for the estimated pipeline of offshore wind energy projects;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contracts of wind development projects make it difficult to recover cost increases;</w:t>
      </w:r>
    </w:p>
    <w:p>
      <w:pPr>
        <w:spacing w:after="0" w:line="130" w:lineRule="exact"/>
        <w:rPr>
          <w:rFonts w:ascii="Times New Roman" w:cs="Times New Roman" w:eastAsia="Times New Roman" w:hAnsi="Times New Roman"/>
          <w:sz w:val="18"/>
          <w:szCs w:val="18"/>
          <w:color w:val="auto"/>
        </w:rPr>
      </w:pPr>
    </w:p>
    <w:p>
      <w:pPr>
        <w:ind w:left="980" w:right="760" w:hanging="432"/>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or cancellation of offshore wind projects, such as when several operators for east coast wind projects terminated their agreements for the provision of wind power due to higher than expected costs;</w:t>
      </w:r>
    </w:p>
    <w:p>
      <w:pPr>
        <w:spacing w:after="0" w:line="67"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of the electricity market, which may be affected by a number of factors, including government regulation, power transmission, seasonality, fluctuations in demand, and the cost and availability of fuel, particularly natural gas;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used to make wind turbines, particularly steel;</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increase in demand for electricity or “load growth”;</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competing power sources, including natural gas, nuclear power, solar power and other power sources;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power generating technology, advances in existing technology or discovery of power generating natural resources;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electrical transmission infrastructure;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laws and regulations, particularly those favoring low carbon energy generation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legal challenges to proposed offshore wind energy development projects;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focus on environmental or habitat concerns.</w:t>
      </w:r>
    </w:p>
    <w:p>
      <w:pPr>
        <w:spacing w:after="0" w:line="32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8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our operations are dependent upon the efforts and continued employment of our executive officers and key management personnel, including, but not limited to, our Founder, Chairman, President and Chief Executive Officer, Todd M. Hornbeck, who has substantial experience and relationships with our major customers. Given industry management turnover resulting from restructurings and other corporate changes, seasoned managers are in demand. Although we have entered into employment agreements with our executive officers and key management personnel, there is no guarantee that they will remain employed by us. In the event of the loss of key management personnel, we would be required to hire a replacement and there can be no assurance that the replacement will be suitable or favorable to us, which could adversely affect our financial results and operations. The loss of services of one or more of our executive officers or key management personnel could have a negative impact on our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potential litigation.</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Stacked vessels, and the reactivation of such vessels, may require substantial capital and operating expenditures and regulatory approvals.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then-applicable difficult market conditions, we have in the past elected, and may in the future elect, to stack certain vessels in our fleet in order to reduce the number of crew and personnel that operate and maintain such vessels. Though vessel stacking reduces the costs of operating a vessel, it reduces the number of available vessels we can deploy to service our customers and limits potential revenues. If market conditions should decline, we may be required to stack additional vessels.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 we elect to reactivate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fund these capital expenditures with our liquidity, we may be required to incur additional borrowings, or seek out additional financing arrangements with banks or other capital providers. Our failure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obtain the funds for necessary future capital expenditures could have a material adverse effect on our business and on our financial position, results of operations and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Reactivation of vessels could adversely impact the market for OSVs and MPSVs.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July 31, 2024, within our fleet, 18 U.S.-flagged OSVs and three foreign-flagged OSVs were stacked. Certain of our competitors have also stacked OSVs and may also stack additional OSVs from time to time. To the extent that we or our competitors reactivate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supply of vessels could decrease dayrates.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material increase in the supply of OSVs or MPSVs, whether through new construction (including our own),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Additionally, because the Jones Act does not cover certain services provided by MPSVs, foreign competitors may deploy additional MPSVs to the U.S. GoM or build additional MPSVs that will compete with us in the U.S. GoM.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early termination of or inability to renew contracts for our vessels could have an adverse effect on our operations.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and ultra-deepwater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July 31, 2024, within our fleet, 18 U.S.-flagged OSVs and three foreign-flagged OSVs were stacked. Further, as of July 31, 2024, we had 46 existing contracts for our vessels that are currently operating, which have durations ranging from 8 days to five years. When oil and natural gas prices are low or it is expected that such prices will decrease in the future, we may be unable to obtain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the construction of our remaining two newbuilds and may experience delays related to the newbuilds.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began constructing two Jones Act-qualified MPSVs under our prior newbuild program. These vessels are large and complex. We estimate that the cost to complete these vessels will exceed the $53.8 million total contract price we are required to pay for their completion and that the sureties that have taken over their construction will be required to pay significant sums in excess of our remaining original contract contribution. While the sureties are contractually required to fund these excess costs, they might not do so, which would result in delay and disputes. Moreover, the vessels are complex and the shipyard performing the completion work for the sureties may be unable or unwilling to perform on the anticipated timeline or at all, also potentially causing delay and disruption to our planned uses for the vessels.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repairs, maintenance and routine drydockings on-time and on-budget could adversely affect our financial condition and operations.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routinely engage shipyards to drydock vessels for regulatory compliance, repairs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At July 31, 2024, our total contracted backlog was $666.8 million.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We may not be able to realize the full amount of our total contracted backlog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backlog may have an adverse effect on our financial position, results of operations or cash flows.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industry concentrations, we have certain customer concentrations, and the loss of a significant customer would adversely impact our financial results.</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the year ended December 31, 2023, Occidental Petroleum Company accounted for 15% and 20% of our consolidated revenues, respectively, and MSC accounted for 16%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of our consolidated revenues.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completed and future acquisitions by us may create additional risks.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regularly consider possible acquisitions of single vessels, vessel fleets and businesses, such as our purchases of 19 OSVs since 2017.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9" w:lineRule="exact"/>
        <w:rPr>
          <w:sz w:val="20"/>
          <w:szCs w:val="20"/>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from existing business and other business opportunities;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the acquisition due to third-party consents, regulatory approvals or other reasons;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disclosed or undisclosed matters pertaining to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termination of employees and the costs associated with the termination or replacement of such employees;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debt, litigation or other liabilities of the acquired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debt related to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expenses and working capital requirements associated with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stock ownership of existing stockholders;</w:t>
      </w:r>
    </w:p>
    <w:p>
      <w:pPr>
        <w:spacing w:after="0" w:line="130" w:lineRule="exact"/>
        <w:rPr>
          <w:rFonts w:ascii="Times New Roman" w:cs="Times New Roman" w:eastAsia="Times New Roman" w:hAnsi="Times New Roman"/>
          <w:sz w:val="18"/>
          <w:szCs w:val="18"/>
          <w:color w:val="auto"/>
        </w:rPr>
      </w:pPr>
    </w:p>
    <w:p>
      <w:pPr>
        <w:ind w:left="980" w:right="580" w:hanging="432"/>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for restructuring and related expenses, impairment of goodwill, amortization of intangible assets and stock-based compensation expense; and</w:t>
      </w:r>
    </w:p>
    <w:p>
      <w:pPr>
        <w:spacing w:after="0" w:line="67"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reactivation of idle vessels, such as higher than anticipated cost or time, unknown condition, and obsolescence or unavailability of spare parts or components.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291"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Uncertainty surrounding potential legal, regulatory and policy changes, as well as the potential for general market volatility and regulatory uncertainty, because of the upcoming United States presidential and congressional elections may have a material adverse effect on our results of operations, cash flows and financial position.</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and our customers, particularly in the oil and natural gas industry, face regulatory and tax uncertainties due to the upcoming United States presidential and congressional elections in the fall of 2024. The nature, timing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economic effects of any potential change to the current legal and regulatory framework affecting our and our customers’ businesses are uncertain. Some changes may adversely affect our or our customers’ operations and have an adverse impact on our business, financial condition, results of operations and growth prospects. In addition, a significant portion of our revenue is generated from contracts with the United States government. For the six months ended June 30, 2024, charters with the MSC accounted for 16% of our consolidated revenues. Department of Defense (“DoD”) budgets could be negatively impacted by several factors, including, but not limited to, a change in defense spending policy as a result of the presidential election or otherwise, the United States government’s budget deficits,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our revenue through an inability to enter into favorable charters with the United States government.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the United States government might not be renewed, may be renewed at lower rates or may impose additional requirements.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2023, we were informed that the MSC was conducting a market survey of companies capable of providing services we currently perform pursuant to a ten-year O&amp;M contract scheduled to expire in February, 2025. We were subsequently informed that the MSC would seek to renegotiate that O&amp;M contract with us on a sole-source basis. Due to factors outside our control, including government budget cuts or other political events, such as a prolonged government shutdown, we may be unable to renegotiate the contract on favorable terms or at all. Further, the contract or the sole-source determination may be challenged by third parties.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 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vessels are subject to operating risks, including, but not limited to:</w:t>
      </w:r>
    </w:p>
    <w:p>
      <w:pPr>
        <w:spacing w:after="0" w:line="131" w:lineRule="exact"/>
        <w:rPr>
          <w:sz w:val="20"/>
          <w:szCs w:val="20"/>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marine disaster;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and sea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collisions or allisions;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spills or other hazardous substance releases;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navigational errors;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or piracy.</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Affected vessels may also be removed from service and thus be unavailable for income-generating activity.</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in offshore waters have inherent and historically higher risk than onshore activities, and our operations could be affected by third-party actions.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materially adversely affected by tropical storms and hurricanes.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 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attacks may result in potential liability or reputational damage or otherwise adversely affect our business.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7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280"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international markets and shipyard activities in foreign shipyards subjects us to risks inherent in conducting business internationally.</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For instance,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 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to continue utilizing our highly-skilled Mexican mariners and shore-based employees as part of our international</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services, which we believe will result in a temporary reduction of revenue for some of those vessels. All of these risks associated with our international operations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employees are covered by federal laws that may subject us to job-related claims in addition to those provided by state 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84"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susceptible to unexpected increases in operating expenses such as crew wages, materials and supplies, maintenance and repairs and insurance costs.</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collect amounts owed to us by customers.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284"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7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w:t>
      </w:r>
    </w:p>
    <w:p>
      <w:pPr>
        <w:spacing w:after="0" w:line="3" w:lineRule="exact"/>
        <w:rPr>
          <w:sz w:val="20"/>
          <w:szCs w:val="20"/>
          <w:color w:val="auto"/>
        </w:rPr>
      </w:pPr>
    </w:p>
    <w:p>
      <w:pPr>
        <w:ind w:left="120" w:right="380" w:hanging="4"/>
        <w:spacing w:after="0" w:line="260" w:lineRule="auto"/>
        <w:tabs>
          <w:tab w:leader="none" w:pos="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U.S. Securities and Exchange Commission (the “SEC”) adopted its final rules for climate-related disclosures in March 2024 (the “SEC Climate Rules”), which will mandate extensive disclosure of certain climate-related information, including, among other items, material climate-related risks and related governance, strategy and risk management processes, and certain financial impacts. The SEC Climate Rules are currently stayed pending completion of judicial review and are widely expected to face additional legal challenges going forward. We cannot currently predict with certainty the timing and costs of implementation or any potential adverse impacts resulting from the SEC Climate Rules. However, assuming they take effect, we could incur additional operational and compliance burdens and increased costs relating to the assessment and disclosure of climate-related matters, including costs relating to establishment of additional internal controls and collecting, measuring and analyzing information related to such matters. Further, we cannot predict how any information disclosed pursuant to the rules may be used by financial institutions or investors. We may face increased litigation and enforcement risks, or limits or restrictions on our access to capital, related to disclosures made pursuant to the SEC Climate Rules.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certain segments of the investor community have recently expressed negative sentiment towards investing in the oil and natural gas industry and associated businesses. Climate change-related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94"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and changing stakeholder expectations with respect to ESG matters may impact our business and expose us to additional risks.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9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If we do not successfully manage expectations across these varied stakeholder interests, it could erode our stakeholder trust and thereby affect our brand and reputation. Such erosion of confidence could negatively impact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9" w:lineRule="auto"/>
        <w:rPr>
          <w:sz w:val="20"/>
          <w:szCs w:val="20"/>
          <w:color w:val="auto"/>
        </w:rPr>
      </w:pPr>
      <w:r>
        <w:rPr>
          <w:rFonts w:ascii="Times New Roman" w:cs="Times New Roman" w:eastAsia="Times New Roman" w:hAnsi="Times New Roman"/>
          <w:sz w:val="17"/>
          <w:szCs w:val="17"/>
          <w:color w:val="auto"/>
        </w:rPr>
        <w:t>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5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our vessels. When we seek to reactivate stacked vessels, upgrade our active vessels or purchase additional vessels, these reductions and global supply chain constraints could make it more difficult for us to find equipment, materials, parts and labor for our vessels. If an alternative vendor to obtain equipment or parts is unavailable, many of the specialized parts and equipment we utilize are rebuildable, can be found in the aftermarket, or can be substituted with crossover components in a similar time period, or if such options were unavailable or could not be completed in a timely manner, we have a sufficient fleetsize with legacy technology to use component parts from certain vessels to keep our other vessels running. However, there is a risk that the use of one or more of such alternatives could cause a disruption or delay to our routes or operations resulting in an adverse effect on our business. While we believe we maintain a sufficient inventory of spare parts and equipment and have employed highly-trained, internal technical resources, including engineers and repair technicians, capable of maintaining, repairing or rebuilding the specialized machinery and equipment aboard our vessels, there can be no assurance that these measures would be sufficient to avoid an adverse impact on our business during periods 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29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Accounting and Tax Matters</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5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4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9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As litigation is inherently unpredictable, we cannot assure you that any potential claims or disputes will not harm our business, results of operations and financial condition.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5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closing of this offering, we will amend and restate our Third Amended and Restated Trade Name and Trademark License Agreement, dated September 4, 2020 (the “Third A&amp;R License Agreement”). Pursuant to the Fourth A&amp;R License Agreement (as defined herein) between us and HFR, LLC (“HFR”), we will have an exclusive license to use the various Hornbeck trade names and trademarks provided in the Fourth A&amp;R License Agreement, which include “Hornbeck,” “Hornbeck Offshore,” “Hornbeck Offshore Services,” “HOS,” “HOSMAX,” “HOSS” and our current horse head logos (the “Hornbeck Brands”). The Fourth A&amp;R License Agreement will have a term of ten years, which can be extended at the option of the Company, provided that Todd M. Hornbeck is our CEO or Chairman of our Board of Directors and the Company pays a renewal fee of $10 million to HFR (as adjusted for inflation over the first ten-year term). The Fourth A&amp;R License Agreement will be terminable for our material breach of the Fourth A&amp;R License Agreement, or if Todd Hornbeck is no longer our CEO or Chairman of our Board of Directors and has been terminated with or without cause or has resigned or departed the Company for good reason as set forth in his employment agreement. In each of these events, the Company is entitled to a wind-down period of between two and five years, depending upon the event and the date of its occurrence, or by us for convenience.</w:t>
      </w:r>
    </w:p>
    <w:p>
      <w:pPr>
        <w:spacing w:after="0" w:line="17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Termination of the Fourth A&amp;R License Agreement would eliminate our rights to use the Hornbeck Brands and to use our corporate name and may result in our having to undergo other significant rebranding efforts. Loss of the rights to use the Hornbeck Brands could disrupt our recognition in the marketplace, damage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upon successful prosecution, maintenance, enforcement and protection of our owned and licensed intellectual property, including the Hornbeck Brands that we license from HFR. Under the Fourth A&amp;R License Agreement, we will be obligated to take actions to obtain, maintain, enforce and protect the Hornbeck Brands. Should we fail to maintain, enforce or protect the Hornbeck Brands or other intellectual property, we could be materially harmed. See “Certain Relationships and Related Party Transactions—Third and Fourth Amended and Restated License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Defending against intellectual property claims could adversely affect our business.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280"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5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judgments that affect the reported amounts of assets, liabilities, revenue and expenses. Due to the inherent uncertainty in making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business, financial condition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or 1% excise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9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NOL carryforwards may be limited.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2023, we had deferred tax assets related to U.S. federal NOL carryforwards of approximately $55.6 million and state NOL carryforwards of approximately $6.0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corporation’s equity at the time of the ownership change by (ii) the highest percentage approximately equivalent to the yield on long-term tax-exempt 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reorganization in September 2020. We do not currently expect that this offering would result in an additional ownership change under Section 382 of the Code; however,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Many states have similar laws, in addition to laws that suspend, reduce or eliminate the ability to carry losses forward. Our state NOLs relate to Louisiana and a portion of such NOLs are subject to an annual limitation due to the ownership change described above. Accordingly, our state NOLs totaling $6.0 million as of December 31, 2023 may be carried forward indefinitely, but the deductibility of a portion of such state NOLs may be limited to the lesser of 72% of the current year taxable income or the available NOL carryforward for returns filed on or after July 1, 2015.</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29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Creditor Warrants are accounted for as liabilities and changes in the value of these warrants could have a material effect on our financial results.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Creditor Warrants (warrants entitling holders to purchase common stock at a strike price set at an enterprise value of $621.2 million, or $27.83 per share ($       per share after giving effect to the stock split) (subject to adjustment)), were issued on September 4, 2020. ASC 815-40 provides for the remeasurement of the fair value of such derivatives at each balance sheet date, with a resulting non-cash gain or loss related to the change in the fair value being recognized in the consolidated statements of operations. As a result of the recurring fair value measurement, for so long as the Creditor Warrants remain outstanding or not amended, our financial statements and results of operations may fluctuate quarterly based on factors which are outside of our control. Due to the recurring fair value measurement, we expect that we will recognize non-cash gains or losses on the Creditor Warrants each reporting period that they remain outstanding or not amended and that the amount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of such gains or losses could be material. See Note 11 to our Annual Financial Statements and Note 9 to our Quarterly Financial Statements included elsewhere in this prospectus for additional information about the Creditor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adversely affect our financial condition.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June 30, 2024, our total indebtedness was approximately $349.0 million, consisting of outstanding principal amount of Second Lien Term Loans under the Second Lien Credit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including the following:</w:t>
      </w:r>
    </w:p>
    <w:p>
      <w:pPr>
        <w:spacing w:after="0" w:line="131" w:lineRule="exact"/>
        <w:rPr>
          <w:sz w:val="20"/>
          <w:szCs w:val="20"/>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other obligations;</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67" w:lineRule="exact"/>
        <w:rPr>
          <w:rFonts w:ascii="Times New Roman" w:cs="Times New Roman" w:eastAsia="Times New Roman" w:hAnsi="Times New Roman"/>
          <w:sz w:val="18"/>
          <w:szCs w:val="18"/>
          <w:color w:val="auto"/>
        </w:rPr>
      </w:pPr>
    </w:p>
    <w:p>
      <w:pPr>
        <w:ind w:left="980" w:right="380" w:hanging="432"/>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each of the First Lien Credit Agreement and the Second Lien Credit Agreement contains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84" w:lineRule="exact"/>
        <w:rPr>
          <w:sz w:val="20"/>
          <w:szCs w:val="20"/>
          <w:color w:val="auto"/>
        </w:rPr>
      </w:pPr>
    </w:p>
    <w:p>
      <w:pPr>
        <w:ind w:left="120"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w:t>
      </w:r>
    </w:p>
    <w:p>
      <w:pPr>
        <w:spacing w:after="0" w:line="2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if necessary, on a timely basis or at all. Even if successful, we may not be able to negotiate such alternative actions on favorable terms and such actions may not be sufficient to allow us to meet our scheduled debt service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the loans under the Second Lien Credit Agreement mature in March 2026. If, at such time, market conditions are materially different or our credit profile has deteriorated, the cost of refinancing our debt may be significantly higher than our indebtedness existing at that time and may require us to comply with more onerous covenants that could further restrict our business operations, or we may not be able to refinance such debt at all. Additionally, each of the First Lien Credit Agreement and the Second Lien Credit Agreement restricts, and any of our future debt instruments may restrict, our ability to dispose of assets and use the proceeds from those dispositions and may also restrict our ability to raise debt or equity capital to be used to repay other indebtedness when it becomes due. We may not be able to consummate any such dispositions or to obtain proceeds in an amount sufficient to meet any debt service obligations then due. See “Management’s Discussion and Analysis of Financial Condition and Results of Operations —Liquidity and Capital Resources—Debt Agreements.”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failure to meet any future debt service obligations or any inability to obtain any additional financing on terms acceptable to us or to comply therewith could have a material adverse effect on our business, financial condition and results of operations.</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 such as the remaining $48.5 million commitment under the MPSV construction contracts as of June 30, 2024.</w:t>
      </w:r>
    </w:p>
    <w:p>
      <w:pPr>
        <w:spacing w:after="0" w:line="24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First Lien Credit Agreement and the Second Lien Credit Agreement restrict our current and future operations, including our ability to respond to changes or to take certain actions.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First Lien Credit Agreement and the Second Lien Credit Agreement contains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w:t>
      </w:r>
    </w:p>
    <w:p>
      <w:pPr>
        <w:spacing w:after="0" w:line="85" w:lineRule="exact"/>
        <w:rPr>
          <w:sz w:val="20"/>
          <w:szCs w:val="20"/>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our capital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subordinated, junior lien and unsecured debt;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or property, except in certain circumstances;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to enter into and perform certain intercompany debt transactions and to transfer assets to us or other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140" w:hanging="432"/>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w:t>
      </w:r>
    </w:p>
    <w:p>
      <w:pPr>
        <w:spacing w:after="0" w:line="85" w:lineRule="exact"/>
        <w:rPr>
          <w:rFonts w:ascii="Times New Roman" w:cs="Times New Roman" w:eastAsia="Times New Roman" w:hAnsi="Times New Roman"/>
          <w:sz w:val="18"/>
          <w:szCs w:val="18"/>
          <w:color w:val="auto"/>
        </w:rPr>
      </w:pPr>
    </w:p>
    <w:p>
      <w:pPr>
        <w:ind w:left="980" w:right="240" w:hanging="432"/>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fundamental changes in our business, corporate structure or capital structure, including, among other things, entering into mergers, acquisitions, consolidations and other business combinations.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131" w:lineRule="exact"/>
        <w:rPr>
          <w:sz w:val="20"/>
          <w:szCs w:val="20"/>
          <w:color w:val="auto"/>
        </w:rPr>
      </w:pPr>
    </w:p>
    <w:p>
      <w:pPr>
        <w:ind w:left="980" w:hanging="43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30" w:lineRule="exact"/>
        <w:rPr>
          <w:rFonts w:ascii="Times New Roman" w:cs="Times New Roman" w:eastAsia="Times New Roman" w:hAnsi="Times New Roman"/>
          <w:sz w:val="18"/>
          <w:szCs w:val="18"/>
          <w:color w:val="auto"/>
        </w:rPr>
      </w:pPr>
    </w:p>
    <w:p>
      <w:pPr>
        <w:ind w:left="980" w:right="520" w:hanging="432"/>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 These restrictions may affect our ability to grow in accordance with our strategy.</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 Our principal stockholders hold $281.2 million of the Second Lien Term Loans.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incur immediate and substantial dilution.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Existing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June 30, 2024, and upon the issuance and sale of shares of our common 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 stockholders for their</w:t>
      </w:r>
    </w:p>
    <w:p>
      <w:pPr>
        <w:spacing w:after="0" w:line="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If the underwriters exercise their option to purchase additional shares you will experience additional dilution. You may experience additional</w:t>
      </w: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2024 Omnibus Incentive Plan. See “Dilution.”</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7" w:lineRule="exact"/>
        <w:rPr>
          <w:sz w:val="20"/>
          <w:szCs w:val="20"/>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as a result of the exercise of our outstanding Jones Act Warrants or Creditor Warrants;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acts of terrorism, pandemics or responses to these events.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a result, you may not receive any return on an investment in our common stock unless you sell our common stock for a price greater than your purchase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restrictions on foreign ownership and possible required divestiture by non-U.S. citizen stockholders.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provides that all non-U.S. citizens in the aggregate may not own more than 24% of the outstanding shares of our common stock. Our Jones Act trading privileges are conditioned upon foreign ownership of our common stock never exceeding 25%. While we take steps to prevent foreign ownership from exceeding 25%, we do not control trading in our stock and cannot control non-compliance by a foreign purchaser of our stock resulting in our exceeding the foreign citizenship ownership limitations. If foreign ownership exceeds 25%, we can take steps to force sales by foreign stockholders or issue additional stock to dilute the foreign ownership to an acceptable level, which could also dilute all common stockholders. Moreover, the USCG may temporarily or permanently revoke our coastwise trading privileges if we are not in compliance with the citizenship requirements, which would have a significant negative impact on our operations and financial results.</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less than 24% of our outstanding common stock was owned by non-U.S. citizens. At and during such time that the permitted limit of ownership by non-U.S. citizens is reached with respect to shares of common stock, Hornbeck will be unable to issue any further shares of common stock or approve transfers of common stock to non-U.S. citizens.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87"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we will have a total of         shares of our common stock outstanding (        shares if the underwriters exercise in full their option to purchase additional shares). Additionally,         shares of our common stock will be issuable upon the exercise of Jones Act Warrants and         shares of our common stock will be issuable upon the exercise of Creditor Warrants, with an exercise price of $0.00001 per share and $    per share, respectively, and         shares of our common stock will be issuable upon exercise of outstanding options, at an average weighted exercise price of $        , or upon settlement of restricted stock units under the 2020 Management Incentive Plan. Of the outstanding shares,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w:t>
      </w:r>
    </w:p>
    <w:p>
      <w:pPr>
        <w:spacing w:after="0" w:line="200" w:lineRule="exact"/>
        <w:rPr>
          <w:sz w:val="20"/>
          <w:szCs w:val="20"/>
          <w:color w:val="auto"/>
        </w:rPr>
      </w:pPr>
    </w:p>
    <w:p>
      <w:pPr>
        <w:spacing w:after="0" w:line="21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shares of common stock held by our principal stockholders and certain of our directors and executive officers after this offering, representing   % of the total outstanding shares of our common stock following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J.P. Morgan Securities LLC and Barclays Capital Inc. See “Underwriting (Conflicts of Interest)” for a description of these lock-up agreements. J.P. Morgan Securities LLC and Barclays Capital Inc., on behalf of the underwriters, may, in their sole discretion, release all or some portion of the shares subject to the 180-day lock-up agreements prior to the expiration of such period.</w:t>
      </w:r>
    </w:p>
    <w:p>
      <w:pPr>
        <w:spacing w:after="0" w:line="189"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Upon the expiration of the lock-up agreements described above, all of such         shares (other than         shares under the 2020 Management Incentive Plan that are subject to contractual transfer restrictions) will be eligible for resale in a public market, subject, in the case of</w:t>
      </w:r>
    </w:p>
    <w:p>
      <w:pPr>
        <w:spacing w:after="0" w:line="1"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        shares held by our affiliates, to volume, manner of sale and other limitations under Rule 144. We expect that our principal stockholders and their respective affiliates may be considered our affiliates based on their respective expected share ownership (consisting of approximately         shares held by funds, investment vehicles or accounts managed or advised by Ares or its affiliates,         shares held by Whitebox and         shares held by Highbridge), as well as their board designation rights. Certain other of our stockholders may also be considered affiliates at that time.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the Registration Rights Agreement (as defined herein), upon the completion of this offering, certain of our existing securityholders party thereto will have the right, subject to certain conditions, to require us to register the offer and sale of certain shares of our common stock owned by them (including shares of common stock issuable upon exercise of any Jones Act Warrants or Creditor Warrants owned by them) under the Securities Act. Registration of any of these shares of common stock would result in such shares becoming freely tradable without compliance with Rule 144 upon effectiveness of the registration statement. For a further description of these rights, see the section entitled “Certain Relationships and Related Party Transactions—Registration Rights Agreement.” Following completion of this offering, the outstanding shares of our common stock covered by registration rights would represent approximately     % of our outstanding common stock (or     %, if the underwriters exercise in full their option to purchase additional shares). Additionally,     shares of our common stock issuable upon the exercise of Jones Act Warrants and    shares of our common stock issuable upon the exercise of Creditor Warrants will be covered by these registration rights.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2024 Omnibus Incentive Plan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common stock.</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Hornbeck has a number of outstanding securities that provide for the right to purchase or receive shares of common stock, including two series of warrants and certain compensatory equity awards.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July 31, 2024, Hornbeck had 11.4 million shares of common stock issuable upon the exercise of Jones Act Warrants and 1.6 million shares of common stock issuable upon the exercise of Creditor Warrants (        and         , respectively, after giving effect to the stock split), with an exercise price of $0.00001 per share and $27.83 per share ($        per share after giving effect to the stock split), respectively. Investors could be subject to voting dilution upon the exercise of such warrants, each subject to Jones Act-related foreign ownership restrictions. With respect to compensatory equity awards, a total of 1.8 million shares (     shares after giving effect to the stock split) of our common stock have been reserved for issuance under our 2020 Management Incentive Plan as equity-based awards to Hornbeck employees, directors and certain other persons.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grant or vesting of equity awards, including any that we may grant or assume in the future, whether under our 2020 Management Incentive Plan, our 2024 Omnibus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high level of concentrated stock ownership.</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980" w:hanging="432"/>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30"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Appointing Persons (as defined in the amended and restated certificate of incorporation), in the aggregate, hold less than 35% of the outstanding shares of common stock, our amended and restated certificate of incorporation may only be amended by the affirmative vote of the holders of at least two-thirds of the voting power our then outstanding common stock; and</w:t>
      </w:r>
    </w:p>
    <w:p>
      <w:pPr>
        <w:spacing w:after="0" w:line="81" w:lineRule="exact"/>
        <w:rPr>
          <w:rFonts w:ascii="Times New Roman" w:cs="Times New Roman" w:eastAsia="Times New Roman" w:hAnsi="Times New Roman"/>
          <w:sz w:val="18"/>
          <w:szCs w:val="18"/>
          <w:color w:val="auto"/>
        </w:rPr>
      </w:pPr>
    </w:p>
    <w:p>
      <w:pPr>
        <w:ind w:left="980" w:right="240" w:hanging="432"/>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certain information requirements for nominations for election to our Board of Directors or for proposing matters that can be acted upon by stockholders at stockholder meetings.</w:t>
      </w:r>
    </w:p>
    <w:p>
      <w:pPr>
        <w:spacing w:after="0" w:line="162"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without stockholder approval.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8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completion of this offering, our amended and restated certificate of incorporation will impose certain restrictions that may affect our ability to approve certain corporate actions.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conditions, under our amended and restated certificate of incorporation, for so long as our principal stockholders who maintain director nomination rights collectively own at least     % of our Fully Diluted Securities (as defined in the amended and restated certificate of incorporation), certain corporate actions will require the prior written consent of Ares and at least one of Whitebox or Highbridge, including, among other things: changing the size of our Board of Directors, consummating a change of control transaction, acquiring or disposing of certain assets, incurring certain indebtedness, certain issuances of equity, entering into voluntary liquidation or the commencement or bankruptcy proceedings, or entering into certain transactions with related parties. Our principal stockholders may have different interests than our other stockholders and may exercise these consent rights in ways that are adverse to the interests of such other stockholders. For more information about the director nomination rights, see “Management—Composition of the Board of Directors,” and for more information about the principal stockholders’ consent rights under our amended and restated certificate of incorporation, see “Description on Capital Stock and Warrants—Consent Rights.”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Notwithstanding the foregoing sentence, the federal district courts of the United States of America will be the exclusive forum for the resolution of any complaint asserting a cause of action arising under U.S. federal securities laws, including the Securities Act and the Exchange Act. Any person or entity purchasing or otherwise acquiring any interest in shares of our capital stock will be deemed to have notice of, and consented to, the provisions of our amended and restated certificate of incorporation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 offering expenses payable by us, will be approximately $        million (or approximately $        million if the underwriters exercise in full their option to purchase additional shares of common stock from us), assuming an initial public offering price of $        per share (which is the midpoint of the estimated offering price range shown on the cover page of this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to us from this offering for general corporate purposes.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        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w:t>
      </w:r>
    </w:p>
    <w:p>
      <w:pPr>
        <w:spacing w:after="0" w:line="2"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        million. To the extent we raise more proceeds in this offering than currently estimated, we will use such proceeds for general corporate purposes. To the extent we raise less proceeds in this offering than currently estimated, we will use less proceeds for general corporate purposes.</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 (Conflicts of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2024:</w:t>
      </w:r>
    </w:p>
    <w:p>
      <w:pPr>
        <w:spacing w:after="0" w:line="131" w:lineRule="exact"/>
        <w:rPr>
          <w:sz w:val="20"/>
          <w:szCs w:val="20"/>
          <w:color w:val="auto"/>
        </w:rPr>
      </w:pPr>
    </w:p>
    <w:p>
      <w:pPr>
        <w:ind w:left="980" w:hanging="432"/>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as adjusted basis giving effect to (i) the filing and effectiveness of our amended and restated certificate of incorporation in connection</w:t>
      </w:r>
    </w:p>
    <w:p>
      <w:pPr>
        <w:sectPr>
          <w:pgSz w:w="11900" w:h="16838" w:orient="portrait"/>
          <w:cols w:equalWidth="0" w:num="1">
            <w:col w:w="11100"/>
          </w:cols>
          <w:pgMar w:left="320" w:top="455" w:right="479" w:bottom="1440" w:gutter="0" w:footer="0" w:header="0"/>
        </w:sectPr>
      </w:pPr>
    </w:p>
    <w:p>
      <w:pPr>
        <w:spacing w:after="0" w:line="39" w:lineRule="exact"/>
        <w:rPr>
          <w:sz w:val="20"/>
          <w:szCs w:val="20"/>
          <w:color w:val="auto"/>
        </w:rPr>
      </w:pPr>
    </w:p>
    <w:p>
      <w:pPr>
        <w:ind w:left="980" w:right="180"/>
        <w:spacing w:after="0" w:line="250" w:lineRule="auto"/>
        <w:rPr>
          <w:sz w:val="20"/>
          <w:szCs w:val="20"/>
          <w:color w:val="auto"/>
        </w:rPr>
      </w:pPr>
      <w:r>
        <w:rPr>
          <w:rFonts w:ascii="Times New Roman" w:cs="Times New Roman" w:eastAsia="Times New Roman" w:hAnsi="Times New Roman"/>
          <w:sz w:val="18"/>
          <w:szCs w:val="18"/>
          <w:color w:val="auto"/>
        </w:rPr>
        <w:t>with the completion of this offering and the implementation of the       -for-one stock split and increase in our authorized shares of common stock to be effected pursuant thereto and (ii) the sale of       shares of our common stock in this offering at the assumed initial</w:t>
      </w:r>
    </w:p>
    <w:p>
      <w:pPr>
        <w:sectPr>
          <w:pgSz w:w="11900" w:h="16838" w:orient="portrait"/>
          <w:cols w:equalWidth="0" w:num="1">
            <w:col w:w="11100"/>
          </w:cols>
          <w:pgMar w:left="320" w:top="455" w:right="479" w:bottom="1440" w:gutter="0" w:footer="0" w:header="0"/>
          <w:type w:val="continuous"/>
        </w:sectPr>
      </w:pPr>
    </w:p>
    <w:p>
      <w:pPr>
        <w:spacing w:after="0" w:line="1"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offering price of $        per share (the midpoint of the estimated offering price range on the cover page of this prospectus), after deducting underwriting discounts, commissions and estimated offering expenses and the application of the net proceeds to us as described in “Use of Proceeds.”</w:t>
      </w:r>
    </w:p>
    <w:p>
      <w:pPr>
        <w:spacing w:after="0" w:line="18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80" w:type="dxa"/>
            <w:vAlign w:val="bottom"/>
            <w:tcBorders>
              <w:top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4"/>
                <w:szCs w:val="24"/>
                <w:color w:val="auto"/>
                <w:vertAlign w:val="superscript"/>
              </w:rPr>
              <w:t>(2)</w:t>
            </w:r>
          </w:p>
        </w:tc>
        <w:tc>
          <w:tcPr>
            <w:tcW w:w="20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line="250"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6"/>
                <w:szCs w:val="26"/>
                <w:color w:val="auto"/>
                <w:vertAlign w:val="superscript"/>
              </w:rPr>
              <w:t>(3)</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Lien Term Loans</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349,001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8"/>
                <w:szCs w:val="18"/>
                <w:color w:val="auto"/>
              </w:rPr>
              <w:t>Stockholders’ equity:</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7360" w:type="dxa"/>
            <w:vAlign w:val="bottom"/>
            <w:gridSpan w:val="5"/>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including paid-in capital: par value $0.00001 per share; 50,000,000 shares</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authorized and 5,641,968 shares issued and outstanding, actual;  </w:t>
            </w:r>
          </w:p>
        </w:tc>
        <w:tc>
          <w:tcPr>
            <w:tcW w:w="210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      shares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authorized and          shares issued and outstanding, as adjusted</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211,389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192,654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401,276</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8"/>
                <w:szCs w:val="18"/>
                <w:color w:val="auto"/>
              </w:rPr>
              <w:t>Total capitalization</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750,277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1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w:t>
        <w:tab/>
        <w:t>Each $1.00 increase (decrease) in the assumed initial public offering price of $        per share, based on the midpoint of the estimated offering price range set forth on the cover page of this prospectus, would increase (decrease), as applicable, cash and cash equivalents, additional paid-in-capital, total stockholders’ equity and total capitalization by approximately $        million, assuming the number of shares offered by</w:t>
      </w:r>
    </w:p>
    <w:p>
      <w:pPr>
        <w:spacing w:after="0" w:line="1"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 $        million, after deducting estimated underwriting discounts and commissions and estimated offering expenses payable by us.</w:t>
      </w:r>
    </w:p>
    <w:p>
      <w:pPr>
        <w:spacing w:after="0" w:line="2"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$183.4 million remaining to be incurred in connection with the two newbuild MPSVs and the C/SOV + Flotel conversion.</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2024, we entered into the First Lien Revolving Credit Facility. As of August 14, 2024, there were no Revolving Loans outstanding under the First Lien Revolving Credit Facility.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outstanding share information in the table above is based on       shares of our common stock outstanding as of June 30, 2024, after giving effect to the stock split, and does not reflect:</w:t>
      </w:r>
    </w:p>
    <w:p>
      <w:pPr>
        <w:spacing w:after="0" w:line="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exercise of outstanding Jones Act Warrants, at an exercise price of $0.00001 per</w:t>
            </w:r>
          </w:p>
        </w:tc>
      </w:tr>
      <w:tr>
        <w:trPr>
          <w:trHeight w:val="234"/>
        </w:trPr>
        <w:tc>
          <w:tcPr>
            <w:tcW w:w="260" w:type="dxa"/>
            <w:vAlign w:val="bottom"/>
          </w:tcPr>
          <w:p>
            <w:pPr>
              <w:spacing w:after="0"/>
              <w:rPr>
                <w:sz w:val="20"/>
                <w:szCs w:val="20"/>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w:t>
            </w:r>
          </w:p>
        </w:tc>
      </w:tr>
      <w:tr>
        <w:trPr>
          <w:trHeight w:val="33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exercise of outstanding Creditor Warrants, at an exercise price of $      per share;</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the exercise of outstanding options at an average weighted exercise price of $      or</w:t>
            </w:r>
          </w:p>
        </w:tc>
      </w:tr>
      <w:tr>
        <w:trPr>
          <w:trHeight w:val="234"/>
        </w:trPr>
        <w:tc>
          <w:tcPr>
            <w:tcW w:w="260" w:type="dxa"/>
            <w:vAlign w:val="bottom"/>
          </w:tcPr>
          <w:p>
            <w:pPr>
              <w:spacing w:after="0"/>
              <w:rPr>
                <w:sz w:val="20"/>
                <w:szCs w:val="20"/>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vesting of restricted stock units issued under our 2020 Management Incentive Plan; and</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pursuant to future awards under our 2020 Management Incentive Plan or our 2024</w:t>
            </w:r>
          </w:p>
        </w:tc>
      </w:tr>
      <w:tr>
        <w:trPr>
          <w:trHeight w:val="234"/>
        </w:trPr>
        <w:tc>
          <w:tcPr>
            <w:tcW w:w="260" w:type="dxa"/>
            <w:vAlign w:val="bottom"/>
          </w:tcPr>
          <w:p>
            <w:pPr>
              <w:spacing w:after="0"/>
              <w:rPr>
                <w:sz w:val="20"/>
                <w:szCs w:val="20"/>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Omnibus Incentive Plan to be in effect following this offering.</w:t>
            </w:r>
          </w:p>
        </w:tc>
      </w:tr>
      <w:tr>
        <w:trPr>
          <w:trHeight w:val="365"/>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 Because the stock split will take place prior to or concurrently with the closing of this offering, we have presented dilution in as adjusted net tangible book value per share before this offering assuming the implementation of a       -for-one stock split with respect to our common stock, in order to more meaningfully present the dilutive impact on the investors in this offering.</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as adjusted net tangible book value as of June 30, 2024 was approximately $        million, or $        per share of our common stock ($      per share after giving effect to the stock split). We calculate as adjusted net tangible book value per share by taking the amount of our total tangible assets, reduced by the amount of our total liabilities, and then dividing that amount by the total number of shares of common stock outstanding after giving effect to the stock split.</w:t>
      </w:r>
    </w:p>
    <w:p>
      <w:pPr>
        <w:spacing w:after="0" w:line="180"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 underwriting discounts and commissions and estimated offering expenses payable by us, (ii) the application of the net proceeds to us from this offering</w:t>
      </w:r>
    </w:p>
    <w:p>
      <w:pPr>
        <w:spacing w:after="0" w:line="2"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as set forth under “Use of Proceeds,” and (iii) the stock split, our as adjusted net tangible book value as of June 30, 2024 would have been $        million, or $        per share of our common stock. This amount represents an immediate increase in net tangible book value of $        per share</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to existing stockholders and an immediate and substantial dilution in net tangible book value of $        per share to investors purchasing shares in this offering at the initial public offering price.</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vMerge w:val="restart"/>
          </w:tcPr>
          <w:p>
            <w:pPr>
              <w:spacing w:after="0"/>
              <w:rPr>
                <w:sz w:val="21"/>
                <w:szCs w:val="21"/>
                <w:color w:val="auto"/>
              </w:rPr>
            </w:pPr>
          </w:p>
        </w:tc>
        <w:tc>
          <w:tcPr>
            <w:tcW w:w="7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0" w:type="dxa"/>
            <w:vAlign w:val="bottom"/>
            <w:vMerge w:val="continue"/>
          </w:tcPr>
          <w:p>
            <w:pPr>
              <w:spacing w:after="0"/>
              <w:rPr>
                <w:sz w:val="17"/>
                <w:szCs w:val="17"/>
                <w:color w:val="auto"/>
              </w:rPr>
            </w:pPr>
          </w:p>
        </w:tc>
        <w:tc>
          <w:tcPr>
            <w:tcW w:w="7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public offering price per share of common stock (the midpoint of the estimated offering price</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range shown on the cover page of this prospectus)</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June 30, 2024</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tangible book value per share attributable to investors in this offering</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as adjusted net tangible book value per share of common stock after the offering from the initial public offering price per share of common stock.</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from us, the as adjusted net tangible book value per share after giving effect to the offering and the use of proceeds therefrom and the stock split would be $        per share. This represents an increase in as adjusted net tangible book value of $        per share to existing stockholders and results in dilution in as adjusted net tangible book value of $        per share to investors purchasing shares in this offering at the initial public offering price.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June 30, 2024,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        per share for shares purchased in this offering and excludes underwriting discounts and commissions and estimated offering expenses payable by us: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38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gridSpan w:val="5"/>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2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tcBorders>
              <w:top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40" w:type="dxa"/>
            <w:vAlign w:val="bottom"/>
            <w:gridSpan w:val="6"/>
          </w:tcPr>
          <w:p>
            <w:pPr>
              <w:spacing w:after="0"/>
              <w:rPr>
                <w:sz w:val="11"/>
                <w:szCs w:val="11"/>
                <w:color w:val="auto"/>
              </w:rPr>
            </w:pPr>
          </w:p>
        </w:tc>
        <w:tc>
          <w:tcPr>
            <w:tcW w:w="600" w:type="dxa"/>
            <w:vAlign w:val="bottom"/>
            <w:gridSpan w:val="4"/>
          </w:tcPr>
          <w:p>
            <w:pPr>
              <w:spacing w:after="0"/>
              <w:rPr>
                <w:sz w:val="11"/>
                <w:szCs w:val="11"/>
                <w:color w:val="auto"/>
              </w:rPr>
            </w:pPr>
          </w:p>
        </w:tc>
        <w:tc>
          <w:tcPr>
            <w:tcW w:w="140" w:type="dxa"/>
            <w:vAlign w:val="bottom"/>
            <w:gridSpan w:val="2"/>
          </w:tcPr>
          <w:p>
            <w:pPr>
              <w:spacing w:after="0"/>
              <w:rPr>
                <w:sz w:val="11"/>
                <w:szCs w:val="11"/>
                <w:color w:val="auto"/>
              </w:rPr>
            </w:pPr>
          </w:p>
        </w:tc>
        <w:tc>
          <w:tcPr>
            <w:tcW w:w="1480" w:type="dxa"/>
            <w:vAlign w:val="bottom"/>
            <w:gridSpan w:val="5"/>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(1)   Reflects            shares owned by the selling stockholders that will be purchased by new investors as a result of this offering:</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7"/>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24"/>
                <w:szCs w:val="24"/>
                <w:color w:val="auto"/>
              </w:rPr>
            </w:pPr>
          </w:p>
        </w:tc>
        <w:tc>
          <w:tcPr>
            <w:tcW w:w="15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3160" w:type="dxa"/>
            <w:vAlign w:val="bottom"/>
            <w:tcBorders>
              <w:bottom w:val="single" w:sz="8" w:color="CCEEFF"/>
            </w:tcBorders>
          </w:tcPr>
          <w:p>
            <w:pPr>
              <w:spacing w:after="0"/>
              <w:rPr>
                <w:sz w:val="11"/>
                <w:szCs w:val="11"/>
                <w:color w:val="auto"/>
              </w:rPr>
            </w:pPr>
          </w:p>
        </w:tc>
        <w:tc>
          <w:tcPr>
            <w:tcW w:w="19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54"/>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2"/>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8"/>
              </w:rPr>
              <w:t>Avg/Share</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stockholders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78"/>
              </w:rPr>
              <w:t>    </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fully exercise their option to purchase additional shares of our common stock, the percentage of shares of our common stock held by existing stockholders as of June 30, 2024 would be   % and the percentage of shares of our common stock held by new investors would be   %.</w:t>
      </w:r>
    </w:p>
    <w:p>
      <w:pPr>
        <w:spacing w:after="0" w:line="176"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discussion and tables above are based on       shares of our common stock outstanding as of June 30, 2024, after giving effect to the stock split, and excludes     million shares of common stock issuable upon exercise of the Jones Act Warrants and Creditor Warrants, with an exercise price of $0.00001 per share and $      per share, respectively, and shares of our common stock issuable upon exercise of options or settlement of restricted stock units under the 2020 Management Incentive Plan.</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Additionally, unless noted otherwise, discussions surrounding our vessels are as of July 31, 2024. Such discussions also include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8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firstLine="440"/>
        <w:spacing w:after="0" w:line="244" w:lineRule="auto"/>
        <w:rPr>
          <w:sz w:val="20"/>
          <w:szCs w:val="20"/>
          <w:color w:val="auto"/>
        </w:rPr>
      </w:pPr>
      <w:r>
        <w:rPr>
          <w:rFonts w:ascii="Times New Roman" w:cs="Times New Roman" w:eastAsia="Times New Roman" w:hAnsi="Times New Roman"/>
          <w:sz w:val="18"/>
          <w:szCs w:val="18"/>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below-deck tanks providing flexibility for a variety of jobs. Moreover, our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4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C/SOV+Flotel MPSV will be capable of providing services to the U.S. offshore wind market both during the commissioning phase of an offshore wind farm and during its operational life. We expect the converted MPSV to be placed into active service as either a C/SOV or flotel in 2025, while the two newbuild MPSVs are now expected to be placed into active service in 2026 or possibly thereafter.</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After enduring a multi-year industry downturn in addition to the COVID-19 pandemic, market conditions have continued to improve. As global economies have reopened, demand for hydrocarbons improved against a backdrop of rising geopolitical tensions, the war in Ukraine, the ongoing conflict in Israel and the surrounding region and constrained supply, mostly due to several years of low investment by our customers in deepwater and ultra-deepwater offshore exploration and production activities. During 2022, the domestic oil price peaked at $124 per barrel, representing a near 14-year high. Over the past 12 months, the price has ranged from $67.71 per barrel to $94.17 per barrel and currently resides at $78.56 per barrel as of July 31, 2024.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reactivating vessels, together with labor shortages, supply chain constraints and capital restraints affecting vessel owners dampens the prospect of large-scale reactivations of stacked vessels in the short-term. These 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9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U.S. GoM active floating rig count has increased since 2020 and has remained stable at about 20 rigs over the past several quarters. We expect the active rig count to remain relatively flat in the U.S. GoM through 2026. In Brazil, the rig count has risen significantly since 2020 and is expected to continue growing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approximately 33 units through 2026. Brazil’s growth has drawn U.S.-flagged vessels, including some of our own, which has reduced the available vessel supply in the U.S. GoM and other markets in which we operate.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experienced difficulties in executing our strategic plans in Mexico since November 2023. Mexican maritime regulators have challenged our right to perform cabotage in Mexico with our fleet of 14 Mexican-flagged vessels. Despite our prevailing in various court rulings, Mexican regulators continue to resist our operating rights in Mexican domestic trade. In order to mitigate these actions, we have repositioned 10 of our 11 active Mexican-flagged vessels to international markets. Our Mexican operating subsidiary has been successful in these international activities with long-tenured Mexican crews and shore-based employees that are highly trained in our operating practices, core values and company culture.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late 2023 and early 2024, the redeployment of our Mexican-flagged vessels had a transitory negative effect on their utilization levels. Such redeployment also adversely impacted the planned international utilization of some of our U.S.-flagged vessels. We believe that the negative effects on our financial results for the fourth quarter of 2023 and first quarter of 2024 have been mostly mitigated and we have made the adjustments necessary to operate with a smaller Mexican footprint until such time as the regulatory uncertainty there is resolved.</w:t>
      </w:r>
    </w:p>
    <w:p>
      <w:pPr>
        <w:spacing w:after="0" w:line="18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budgeted for an increase of approximately 10% in such costs in 2024 compared to 2023.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See “—Liquidity and Capital Resources—Debt Agreements.”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Resumption of MPSV Newbuild Construction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 As of June 30, 2024, we had paid $5.3 million to Eastern related to the completion of these two MPSVs.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 Acquisitions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January 2024, we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we had paid an aggregate of $102.0 million for the original purchase price, including deposits, and $10.6 million in purchase price adjustments associated with discretionary enhancements, additional outfitting and post-closing modifications for the ECO Acquisitions #2 vessels. Delivery of this final vessel marks the completion of the combined 12 vessel acquisitions under the ECO Acquisitions. We expect to incur an incremental $0.2 million related to additional outfitting, discretionary enhancements and post-closing modifications for certain of these vessels during the remainder of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Cabotage Status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while continuing to utilize our highly-skilled Mexican mariners and shore-based employees as part of our international services.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and other Key Indicators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Count, Utilization and Dayrates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4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tcPr>
          <w:p>
            <w:pPr>
              <w:spacing w:after="0"/>
              <w:rPr>
                <w:sz w:val="10"/>
                <w:szCs w:val="10"/>
                <w:color w:val="auto"/>
              </w:rPr>
            </w:pPr>
          </w:p>
        </w:tc>
      </w:tr>
      <w:tr>
        <w:trPr>
          <w:trHeight w:val="173"/>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4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Pr>
          <w:p>
            <w:pPr>
              <w:spacing w:after="0"/>
              <w:rPr>
                <w:sz w:val="15"/>
                <w:szCs w:val="15"/>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00" w:type="dxa"/>
            <w:vAlign w:val="bottom"/>
          </w:tcPr>
          <w:p>
            <w:pPr>
              <w:spacing w:after="0"/>
              <w:rPr>
                <w:sz w:val="15"/>
                <w:szCs w:val="15"/>
                <w:color w:val="auto"/>
              </w:rPr>
            </w:pPr>
          </w:p>
        </w:tc>
        <w:tc>
          <w:tcPr>
            <w:tcW w:w="12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r>
      <w:tr>
        <w:trPr>
          <w:trHeight w:val="183"/>
        </w:trPr>
        <w:tc>
          <w:tcPr>
            <w:tcW w:w="40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Offshore Supply Vessels:</w:t>
            </w:r>
          </w:p>
        </w:tc>
        <w:tc>
          <w:tcPr>
            <w:tcW w:w="1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57.9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53.6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active OSVs</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fleet capacity (DWT)</w:t>
            </w:r>
            <w:r>
              <w:rPr>
                <w:rFonts w:ascii="Times New Roman" w:cs="Times New Roman" w:eastAsia="Times New Roman" w:hAnsi="Times New Roman"/>
                <w:sz w:val="23"/>
                <w:szCs w:val="23"/>
                <w:color w:val="auto"/>
                <w:vertAlign w:val="superscript"/>
              </w:rPr>
              <w:t>(3)</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9"/>
              </w:rPr>
              <w:t>256,552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6"/>
              </w:rPr>
              <w:t>232,419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6"/>
              </w:rPr>
              <w:t>235,514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96"/>
              </w:rPr>
              <w:t>229,001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228,256</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4,432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4,338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4,374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w:t>
            </w:r>
          </w:p>
        </w:tc>
      </w:tr>
      <w:tr>
        <w:trPr>
          <w:trHeight w:val="202"/>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Active OSV utilization rate</w:t>
            </w:r>
            <w:r>
              <w:rPr>
                <w:rFonts w:ascii="Times New Roman" w:cs="Times New Roman" w:eastAsia="Times New Roman" w:hAnsi="Times New Roman"/>
                <w:sz w:val="23"/>
                <w:szCs w:val="23"/>
                <w:color w:val="auto"/>
                <w:vertAlign w:val="superscript"/>
              </w:rPr>
              <w:t>(6)</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82.8%</w:t>
            </w: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41,030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37,587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39,297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32,305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17,274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16,689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17,409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12,179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Multi-Purpose Support Vessels</w:t>
            </w:r>
            <w:r>
              <w:rPr>
                <w:rFonts w:ascii="Times New Roman" w:cs="Times New Roman" w:eastAsia="Times New Roman" w:hAnsi="Times New Roman"/>
                <w:sz w:val="16"/>
                <w:szCs w:val="16"/>
                <w:color w:val="auto"/>
              </w:rPr>
              <w: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active MPSVs</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46.7%</w:t>
            </w: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Active MPSV utilization rate</w:t>
            </w:r>
            <w:r>
              <w:rPr>
                <w:rFonts w:ascii="Times New Roman" w:cs="Times New Roman" w:eastAsia="Times New Roman" w:hAnsi="Times New Roman"/>
                <w:sz w:val="23"/>
                <w:szCs w:val="23"/>
                <w:color w:val="auto"/>
                <w:vertAlign w:val="superscript"/>
              </w:rPr>
              <w:t>(6)</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w:t>
            </w: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64,130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61,231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62,372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53,421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40,245</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46,430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43,535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42,662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34,830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18,794</w:t>
            </w:r>
          </w:p>
        </w:tc>
        <w:tc>
          <w:tcPr>
            <w:tcW w:w="1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3" w:lineRule="exact"/>
        <w:rPr>
          <w:sz w:val="20"/>
          <w:szCs w:val="20"/>
          <w:color w:val="auto"/>
        </w:rPr>
      </w:pPr>
    </w:p>
    <w:p>
      <w:pPr>
        <w:ind w:left="540" w:right="40" w:hanging="424"/>
        <w:spacing w:after="0" w:line="25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vessels owned during the period, adjusted to reflect date of acquisition or disposition of vessels. We owned 55 and 54 OSVs and 12 MPSVs as of December 31, 2023 and December 31, 2022, respectively. Excluded from the data as of December 31, 2023 and 2022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We owned 60 and 53 OSVs and 12 MPSVs as of June 30, 2024 and June 30, 2023, respectively. Excluded from the data as of June 30, 2024 and June 30, 2023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nine such vessels, (ii) as of December 31, 2023, five such vessels and (iii) as of June 30, 2023, seven such vessels. The Company also sold two and ten OSVs during 2023 and 2022, respectively.</w:t>
      </w:r>
    </w:p>
    <w:p>
      <w:pPr>
        <w:spacing w:after="0" w:line="2" w:lineRule="exact"/>
        <w:rPr>
          <w:rFonts w:ascii="Times New Roman" w:cs="Times New Roman" w:eastAsia="Times New Roman" w:hAnsi="Times New Roman"/>
          <w:sz w:val="18"/>
          <w:szCs w:val="18"/>
          <w:color w:val="auto"/>
        </w:rPr>
      </w:pPr>
    </w:p>
    <w:p>
      <w:pPr>
        <w:jc w:val="both"/>
        <w:ind w:left="540" w:right="3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OSVs owned during the period multiplied by the weighted-average capacity of OSVs during the same period.</w:t>
      </w:r>
    </w:p>
    <w:p>
      <w:pPr>
        <w:ind w:left="540" w:right="8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actual capacity of the OSVs owned during the period on a weighted-average basis, adjusted to reflect date of acquisition or disposition of vessels.</w:t>
      </w: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utilization rate is based on a denominator comprised only of vessel-days available for service by the active fleet, which excludes the impact of inactive or stacked vessel days.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dayrate represents the average dayrate multiplied by the average utilization rate.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costs are primarily a function of total fleet size, the number of active vessels and areas of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costs include, but are not limited to:</w:t>
      </w:r>
    </w:p>
    <w:p>
      <w:pPr>
        <w:spacing w:after="0" w:line="131" w:lineRule="exact"/>
        <w:rPr>
          <w:sz w:val="20"/>
          <w:szCs w:val="20"/>
          <w:color w:val="auto"/>
        </w:rPr>
      </w:pPr>
    </w:p>
    <w:p>
      <w:pPr>
        <w:ind w:left="980" w:hanging="432"/>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paid to vessel crews;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repairs to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contract-specific cost of sales;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insurance;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 and</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inspections to ensure compliance with applicable regulations and to maintain certifications for our vessels with the USCG and various classification societies.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2024, we had 18 U.S.-flagged OSVs and three foreign-flagged OSVs stacked. By removing these vessels from our active operating fleet, we significantly reduced our operating costs, including crew costs. As of June 30, 2024, our fixed operating costs were spread over 51 owned and operated vessels in active service and four vessels formerly owned by us that we now operate and maintain for the U.S. Navy.</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a breakdown of our operating expenses by type and the corresponding percent of total operating expenses (in thousands except percent of total and amounts per day):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8"/>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Contract-related cost of sales</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10,748</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9,012</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20,804</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Personnel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54,509</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46,866</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6"/>
              </w:rPr>
              <w:t>107,859</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91,116</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194,091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144,874</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Maintenance and repair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17,387</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11,549</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36,401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21,293</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46,095</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28,750</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3,098</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3,050</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6,285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9,925</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7,935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Materials and supplies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10,476</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16,329</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10,049</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8,557</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18,219</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15,871</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90,153</w:t>
            </w:r>
          </w:p>
        </w:tc>
        <w:tc>
          <w:tcPr>
            <w:tcW w:w="160" w:type="dxa"/>
            <w:vAlign w:val="bottom"/>
            <w:vMerge w:val="continue"/>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74,592</w:t>
            </w:r>
          </w:p>
        </w:tc>
        <w:tc>
          <w:tcPr>
            <w:tcW w:w="16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181,818</w:t>
            </w:r>
          </w:p>
        </w:tc>
        <w:tc>
          <w:tcPr>
            <w:tcW w:w="16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141,501</w:t>
            </w:r>
          </w:p>
        </w:tc>
        <w:tc>
          <w:tcPr>
            <w:tcW w:w="140" w:type="dxa"/>
            <w:vAlign w:val="bottom"/>
            <w:vMerge w:val="continue"/>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305,463</w:t>
            </w:r>
          </w:p>
        </w:tc>
        <w:tc>
          <w:tcPr>
            <w:tcW w:w="140" w:type="dxa"/>
            <w:vAlign w:val="bottom"/>
            <w:vMerge w:val="continue"/>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214,788</w:t>
            </w:r>
          </w:p>
        </w:tc>
        <w:tc>
          <w:tcPr>
            <w:tcW w:w="14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Active OSV opex</w:t>
            </w:r>
          </w:p>
        </w:tc>
        <w:tc>
          <w:tcPr>
            <w:tcW w:w="9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8"/>
              </w:rPr>
              <w:t>53,363</w:t>
            </w:r>
          </w:p>
        </w:tc>
        <w:tc>
          <w:tcPr>
            <w:tcW w:w="620" w:type="dxa"/>
            <w:vAlign w:val="bottom"/>
            <w:tcBorders>
              <w:left w:val="single" w:sz="8" w:color="CCEEFF"/>
            </w:tcBorders>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59.2%</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8"/>
              </w:rPr>
              <w:t>44,293</w:t>
            </w:r>
          </w:p>
        </w:tc>
        <w:tc>
          <w:tcPr>
            <w:tcW w:w="540" w:type="dxa"/>
            <w:vAlign w:val="bottom"/>
            <w:tcBorders>
              <w:left w:val="single" w:sz="8" w:color="CCEEFF"/>
            </w:tcBorders>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59.4%</w:t>
            </w: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96"/>
              </w:rPr>
              <w:t>106,409</w:t>
            </w:r>
          </w:p>
        </w:tc>
        <w:tc>
          <w:tcPr>
            <w:tcW w:w="54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58.5%</w:t>
            </w: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83,037</w:t>
            </w:r>
          </w:p>
        </w:tc>
        <w:tc>
          <w:tcPr>
            <w:tcW w:w="56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58.7%</w:t>
            </w:r>
          </w:p>
        </w:tc>
        <w:tc>
          <w:tcPr>
            <w:tcW w:w="1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178,784</w:t>
            </w:r>
          </w:p>
        </w:tc>
        <w:tc>
          <w:tcPr>
            <w:tcW w:w="56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58.5%</w:t>
            </w:r>
          </w:p>
        </w:tc>
        <w:tc>
          <w:tcPr>
            <w:tcW w:w="1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114,702</w:t>
            </w:r>
          </w:p>
        </w:tc>
        <w:tc>
          <w:tcPr>
            <w:tcW w:w="54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Active MPSV opex</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26,168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21,134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52,033</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41,436</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84,260</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65,927</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Stacked Vessel opex</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2,373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6,865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12,414</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Non-vessel opex</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8,249</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7,384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16,511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14,663</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30,005</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28,021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90,153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74,592</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6"/>
              </w:rPr>
              <w:t>181,818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141,501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305,463</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214,788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Active OSV opex per day</w:t>
            </w: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15,432</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15,354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15,845</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15,212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11,770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Active MPSV opex per day</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23,963</w:t>
            </w: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21,113</w:t>
            </w: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23,825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20,812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20,612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17,367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Stacked vessel opex per day</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1,796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vessel opex per day</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12,677</w:t>
            </w: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11,453</w:t>
            </w: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25,988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21,483</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11,469</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7,416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(G&amp;A) Expense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G&amp;A expenses are primarily a function of the number of shoreside personnel and include, but are not limited to, base salaries, benefits and incentive compensation for shoreside employees, legal and other third-party advisor expenses, rent and other items.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our general and administrative expenses in total, as a percentage of total revenue and per vessel day (in thousands except % of revenue and amounts per day):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5"/>
                <w:szCs w:val="15"/>
                <w:color w:val="auto"/>
              </w:rPr>
            </w:pPr>
          </w:p>
        </w:tc>
        <w:tc>
          <w:tcPr>
            <w:tcW w:w="21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Twelve Months Ended Dec.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0" w:type="dxa"/>
            <w:vAlign w:val="bottom"/>
          </w:tcPr>
          <w:p>
            <w:pPr>
              <w:spacing w:after="0"/>
              <w:rPr>
                <w:sz w:val="10"/>
                <w:szCs w:val="10"/>
                <w:color w:val="auto"/>
              </w:rPr>
            </w:pPr>
          </w:p>
        </w:tc>
        <w:tc>
          <w:tcPr>
            <w:tcW w:w="96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2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G&amp;A as a % of total revenues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per active vessel day</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4,217</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G&amp;A per total vessel day</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2,726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2,753</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346"/>
        </w:trPr>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is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 and Related Commitments.”</w:t>
      </w:r>
    </w:p>
    <w:p>
      <w:pPr>
        <w:spacing w:after="0" w:line="188"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a breakdown of our capital expenditures by type and the corresponding vessel downtime related to deferred drydockings vessel counts and days (in thousands except as noted):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8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9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Borders>
              <w:top w:val="single" w:sz="8" w:color="auto"/>
            </w:tcBorders>
          </w:tcPr>
          <w:p>
            <w:pPr>
              <w:jc w:val="center"/>
              <w:ind w:right="2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4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r>
      <w:tr>
        <w:trPr>
          <w:trHeight w:val="183"/>
        </w:trPr>
        <w:tc>
          <w:tcPr>
            <w:tcW w:w="4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Capital expenditures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Growth 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2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21,403</w:t>
            </w:r>
          </w:p>
        </w:tc>
        <w:tc>
          <w:tcPr>
            <w:tcW w:w="240" w:type="dxa"/>
            <w:vAlign w:val="bottom"/>
          </w:tcPr>
          <w:p>
            <w:pPr>
              <w:spacing w:after="0"/>
              <w:rPr>
                <w:sz w:val="17"/>
                <w:szCs w:val="17"/>
                <w:color w:val="auto"/>
              </w:rPr>
            </w:pPr>
          </w:p>
        </w:tc>
        <w:tc>
          <w:tcPr>
            <w:tcW w:w="540" w:type="dxa"/>
            <w:vAlign w:val="bottom"/>
            <w:gridSpan w:val="2"/>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26,313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$ 32,254</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$ 128,547</w:t>
            </w:r>
          </w:p>
        </w:tc>
        <w:tc>
          <w:tcPr>
            <w:tcW w:w="2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$ 116,047</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capital expenditures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11,543</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36,075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37,573</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22,872</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Commercial capital expenditures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12,923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2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10,949</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Non-vessel capital expenditures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1,328</w:t>
            </w: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75,626</w:t>
            </w:r>
          </w:p>
        </w:tc>
        <w:tc>
          <w:tcPr>
            <w:tcW w:w="4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$ 62,144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$ 201,071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$ 151,196</w:t>
            </w:r>
          </w:p>
        </w:tc>
        <w:tc>
          <w:tcPr>
            <w:tcW w:w="6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5"/>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Drydock downtime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OSVs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vessels commencing drydock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Out-of-service time for drydock activities (in days)</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MPSVs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Number of vessels commencing drydock activities</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Out-of-service time for drydock activities (in days)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explanation on what these items consist of, see “—Liquidity and Capital Resources—Capital Expenditures and Related Commitments.”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three months ended June 30, 2024 and 2023, respectively, is shown below in the following table (in thousands except % change):</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115,459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135,912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146,898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74,592</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(3,633)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34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(1,287)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(7,947)</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12,714</w:t>
            </w: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three months ended June 30, 2024 and 2023 were $176.0 million and $146.9 million, respectively. Our weighted-average active operating fleet for the three months ended June 30, 2024 and 2023 was 50.0 and 42.7 vessels, respectively. For the three months ended June 30, 2024, we had a weighted-average of 21.0 vessels stacked compared to a weighted-average of 22.5 vessels stacked in the prior-year period.</w:t>
      </w:r>
    </w:p>
    <w:p>
      <w:pPr>
        <w:spacing w:after="0" w:line="15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Vessel revenues for the three months ended June 30, 2024 and 2023 were $164.0 million and $135.9 million, respectively. Vessels acquired since the first quarter of 2023 contributed $12.0 million to the increase in revenue from the prior-year period, while the remaining variance was due to improved market conditions for our vessels. Revenues from our OSV fleet increased $15.0 million, or 17.6% for the three months ended June 30, 2024 compared to the prior-year period. Average OSV dayrates were $41,898 for the three months ended June 30, 2024 compared to $37,569 for the same period in 2023. Our average OSV utilization was 44.7% for the three months ended June 30, 2024 compared to 47.0% for the same period in 2023. Our OSVs incurred 72 days of aggregate downtime for regulatory drydockings and were stacked for an aggregate of 1,911 days during the three months ended June 30, 2024 compared to 187 and 1,953 days, respectively, for the same period in 2023. Excluding stacked vessel days, our active OSV utilization was 69.4% and 78.8% for the same periods, respectively. Our effective, or utilization-adjusted, OSV dayrates were $18,728 for the three months ended June 30, 2024 compared to $17,657 for the same period in 2023. Revenues from our MPSV fleet increased $13.0 million, or 25.8% for the three months ended June 30, 2024 compared to the prior-year period. Average</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320" w:top="455" w:right="5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MPSV dayrates were $70,601 for the three months ended June 30, 2024 compared to $59,933 for the three months ended June 30, 2023. Our MPSV utilization was 82.4% for the three months ended June 30, 2024 compared to 77.2% for the same period in 2023. Our MPSVs incurred 63 days of aggregate downtime for regulatory drydockings and were stacked for an aggregate of zero days during the three months ended June 30, 2024 compared to 82 and 91 days, respectively, for the same period in 2023. Excluding stacked vessel days, our active MPSV utilization was 82.4% and 84.2% during the three months ended June 30, 2024 and the same period in 2023, respectively. Our effective, or utilization-adjusted, MPSV dayrates were $58,175 for the three months ended June 30, 2024 compared to $46,268 for the same period in 2023. Domestic vessel revenues for the three months ended June 30, 2024 increased $15.7 million, or 15.7%, from the year-ago period primarily due to the addition of acquired vessels and an increase in other active vessels and improved market conditions during 2024. Foreign vessel revenues increased $12.4 million, or 34.3%, primarily due to improved market conditions for vessels operating in Brazil and other Latin American markets (excluding Mexico) during the three months ended June 30, 2024. Foreign vessel revenues for the three months ended June 30, 2024 comprised 29.6% of our total vessel revenues compared to 26.6% for the year-ago period.</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the three months ended June 30, 2024 and 2023 were $12.0 million and $11.0 million, respectively. The 9.1% year-over-year increase in non-vessel revenues was primarily due to higher revenues earned from non-owned vessels that we manage on behalf of the U.S. Navy during the three months ended June 30, 2024.</w:t>
      </w:r>
    </w:p>
    <w:p>
      <w:pPr>
        <w:spacing w:after="0" w:line="174" w:lineRule="exact"/>
        <w:rPr>
          <w:sz w:val="20"/>
          <w:szCs w:val="20"/>
          <w:color w:val="auto"/>
        </w:rPr>
      </w:pPr>
    </w:p>
    <w:p>
      <w:pPr>
        <w:jc w:val="both"/>
        <w:ind w:left="120" w:right="3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Operating Expense</w:t>
      </w:r>
      <w:r>
        <w:rPr>
          <w:rFonts w:ascii="Times New Roman" w:cs="Times New Roman" w:eastAsia="Times New Roman" w:hAnsi="Times New Roman"/>
          <w:sz w:val="17"/>
          <w:szCs w:val="17"/>
          <w:color w:val="auto"/>
        </w:rPr>
        <w:t>. Operating expense for the three months ended June 30, 2024 and 2023 was $90.2 million and $74.6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Acquired vessels placed in service since the first quarter of 2023 contributed $9.8 million to the increase in operating expense, while the remaining variance was due to increases in maintenance and repair costs, mariner headcount, and local taxes on revenue for vessels operating in Brazil.</w:t>
      </w:r>
    </w:p>
    <w:p>
      <w:pPr>
        <w:spacing w:after="0" w:line="1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for the three months ended June 30, 2024 and 2023 was $15.9 million and</w:t>
      </w:r>
    </w:p>
    <w:p>
      <w:pPr>
        <w:spacing w:after="0" w:line="29"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$11.7 million, respectively. Depreciation increased from the prior year due to eight newly acquired vessels being placed into service subsequent to the first quarter of 2023. Amortization also increased as a result of 28 vessel recertification drydockings being completed since March 31, 2023.</w:t>
      </w:r>
    </w:p>
    <w:p>
      <w:pPr>
        <w:spacing w:after="0" w:line="179" w:lineRule="exact"/>
        <w:rPr>
          <w:sz w:val="20"/>
          <w:szCs w:val="20"/>
          <w:color w:val="auto"/>
        </w:rPr>
      </w:pPr>
    </w:p>
    <w:p>
      <w:pPr>
        <w:ind w:left="120" w:right="3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three months ended June 30, 2024 and 2023 was $16.9 million and $15.6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increases in shoreside employee headcount and wages.</w:t>
      </w:r>
    </w:p>
    <w:p>
      <w:pPr>
        <w:spacing w:after="0" w:line="135"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the three months ended June 30, 2024 and 2023 was $2.6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million, respectively.</w:t>
      </w:r>
    </w:p>
    <w:p>
      <w:pPr>
        <w:spacing w:after="0" w:line="15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Terminated Debt Refinancing Costs</w:t>
      </w:r>
      <w:r>
        <w:rPr>
          <w:rFonts w:ascii="Times New Roman" w:cs="Times New Roman" w:eastAsia="Times New Roman" w:hAnsi="Times New Roman"/>
          <w:sz w:val="18"/>
          <w:szCs w:val="18"/>
          <w:color w:val="auto"/>
        </w:rPr>
        <w:t>. Terminated debt refinancing costs for the three months ended June 30, 2024 and 2023 were $0.0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respectively. The year-over-year decrease in terminated debt refinancing costs was attributable to expenses incurred in connection with a debt refinancing process that was postponed during the second quarter of 2023.</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the three months ended June 30, 2024 and 2023 was $50.5 million and $41.6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 increased by $8.9 million, or 21.4% for the reasons discussed above, but primarily due to improved market conditions for our vessels.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 as a percentage of revenues was 28.7% for the three months ended June 30, 2024 and 28.3% for the same period in 2023.</w:t>
      </w:r>
    </w:p>
    <w:p>
      <w:pPr>
        <w:spacing w:after="0" w:line="20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three months ended June 30, 2024 and 2023 was $6.7 million and $11.1 million, respectively.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decreased primarily due to the contractual conversion of our second-lien term loans to full cash-pay obligations with a lower annual interest rate of 8.25% on September 4, 2023 and the $68.7 million pay-off of the remaining principal balance of our Replacement First Lien Term Loans in August 2023.</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the three months ended June 30, 2024 and 2023 was $1.3 million and $2.6 million, respectively. Our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balance decreased to $95.5 million during the three months ended June 30, 2024 compared to $231.0 million for the same period in 2023. The average interest rate earned on our invested cash balances was 5.6% and 4.5% for the three months ended June 30,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w:t>
      </w:r>
    </w:p>
    <w:p>
      <w:pPr>
        <w:spacing w:after="0" w:line="182"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was $8.5 million and $7.9 million, respectively. Based on an updated valuation analysis for the three months ended June 30, 2024, the estimated fair value of the outstanding Creditor Warrants increased by $5.34, or 12.8%, per warrant.</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8.3% and 17.0% for the three months ended June 30, 2024 and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tax rate from period to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six months ended June 30, 2024 and 2023, respectively, is shown below in the following table (in thousands except % change):</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203,601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192,993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$ 10,608</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283,207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256,487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278,389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141,501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(8,093)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(22,972)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(1,823)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7,391</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six months ended June 30, 2024 and 2023 were $306.8 million and $278.4 million, respectively. Our weighted-average active operating fleet for the six months ended June 30, 2024 and 2023 was 48.9 and 42.4 vessels, respectively. For the six months ended June 30, 2024, we had an average of 21.0 vessels stacked compared to an average of 23.2 vessels stacked in the prior-year period.</w:t>
      </w:r>
    </w:p>
    <w:p>
      <w:pPr>
        <w:spacing w:after="0" w:line="17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Vessel revenues for the six months ended June 30, 2024 and 2023 were $283.2 million and $256.5 million, respectively. Vessels acquired since the December 31, 2022 contributed $20.0 million to the increase in revenue from the prior-year period, while the remaining variance was due to improved market conditions for our vessels. Revenues from our OSV fleet increased $19.9 million, or 12.3%, for the six months ended June 30, 2024 compared to the prior-year period. Average OSV dayrates were $41,030 for the six months ended June 30, 2024 compared to $37,587 for the same period in 2023. Our average OSV utilization was 42.1% for the six months ended June 30, 2024 compared to 44.4% for the same period in 2023. Our OSVs incurred 188 days of aggregate downtime for regulatory drydockings and were stacked for an aggregate of 3,822 days during the six months ended June 30, 2024 compared to 298 and 4,023 days, respectively, for the same period in 2023. Excluding stacked vessel days, our active OSV utilization was 66.0% and 75.9% for the same periods, respectively. Our effective, or utilization-adjusted, OSV dayrates were $17,274 for the six months ended June 30, 2024 compared to $16,689 for the same period in 2023. Revenues from our MPSV fleet increased $6.8 million, or 7.2%, for the six months ended June 30, 2024 compared to the prior-year period. Average MPSV dayrates were $64,130 for the six months ended June 30, 2024 compared to $61,231 for the same period in 2023. Our MPSV utilization was 72.4% for the six months ended June 30, 2024 compared to 71.1% for the same period in 2023. Our MPSVs incurred 316 days of aggregate downtime for regulatory drydockings and were stacked for an aggregate of zero days during the six months ended June 30, 2024 compared to 82 and 181 days, respectively, for the same period in 2023. Excluding stacked vessel days, our active MPSV utilization was 72.4% and 77.5% during the six months ended June 30, 2024 and the same period in 2023, respectively. Our effective, or utilization-adjusted, MPSV dayrates were $46,430 for the six months ended June 30, 2024 compared to $43,535 for the same period in 2023. Domestic vessel revenues increased $10.6 million, or 5.5%, from the year-ago period primarily due to the addition of acquired vessels and an increase in active vessels and improved market conditions for our vessels during the six months ended June 30, 2024. Foreign vessel revenues increased $16.1 million, or 25.4%, due to improved market conditions for vessels operating in Brazil, Trinidad and Tobago, and other Latin American markets (excluding Mexico) during the six months ended June 30, 2024. Foreign vessel revenues for the six months ended June 30, 2024 comprised 28.1% of our total vessel revenues compared to 24.8% for the prior-year period.</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the six months ended June 30, 2024 and 2023 were $23.6 million and $21.9 million, respectively. The 7.6% year-over-year increase in non-vessel revenues was primarily due to higher revenues earned from non-owned vessels that we manage on behalf of the U.S. Navy during the six months ended June 30, 2024.</w:t>
      </w:r>
    </w:p>
    <w:p>
      <w:pPr>
        <w:spacing w:after="0" w:line="17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 for the six months ended June 30, 2024 and 2023 was $181.8 million and $141.5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acquired since December 31, 2022 contributed $20.6 million to the increase in operating expense, while the remaining variance was due to increases in vessel recertifications and related maintenance and repair costs, mariner headcount, and local taxes on revenue for vessels operating in Brazil.</w:t>
      </w:r>
    </w:p>
    <w:p>
      <w:pPr>
        <w:spacing w:after="0" w:line="18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for the six months ended June 30, 2024 and 2023 were $30.3 million and $22.1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Depreciation increased from the prior year due to eight newly acquired vessels being placed into service subsequent to December 31, 2022. Amortization also increased as a result of 30 vessel recertification drydockings being completed since December 31, 2022.</w:t>
      </w:r>
    </w:p>
    <w:p>
      <w:pPr>
        <w:spacing w:after="0" w:line="173"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the six months ended June 30, 2024 and 2023 was $32.4 million and $32.4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the six months ended June 30, 2024 and 2023 was $4.4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$15.4 million, respectively. The stock-based compensation expense decrease from the prior-year period was primarily attributable to certain long-term incentive grants of time-vesting restricted stock units (“RSUs”) under the 2020 Management Incentive Plan that were issued and one-half of which fully vested on the grant date in the first quarter of 2023.</w:t>
      </w:r>
    </w:p>
    <w:p>
      <w:pPr>
        <w:spacing w:after="0" w:line="180"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Terminated Debt Refinancing Costs</w:t>
      </w:r>
      <w:r>
        <w:rPr>
          <w:rFonts w:ascii="Times New Roman" w:cs="Times New Roman" w:eastAsia="Times New Roman" w:hAnsi="Times New Roman"/>
          <w:sz w:val="18"/>
          <w:szCs w:val="18"/>
          <w:color w:val="auto"/>
        </w:rPr>
        <w:t>. Terminated debt refinancing costs for the three months ended June 30, 2024 and 2023 were $0.0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respectively. The year-over-year decrease in terminated debt refinancing costs was attributable to expenses incurred in connection with a debt refinancing process that was postponed during the second quarter of 2023.</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the six months ended June 30, 2024 and 2023 was $57.9 million and $66.0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decreased by $8.1 million, or 12.3%, during the current-year period compared to the prior-year period for the reasons discussed above, but primarily due to an increase in active vessels combined with decreased utilization driven by increased vessel recertifications, which resulted in reduced revenues and incremental operating expense compared to the prior-year period. Operating income as a percentage of revenues was 18.9% for the six months ended June 30, 2024 and 23.7% for the same period in 2023.</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six months ended June 30, 2024 and 2023 was $13.4 million and $23.0 million, respectively.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decreased primarily due to the contractual conversion of our second-lien term loans to full cash-pay obligations with a lower annual interest rate of 8.25% on September 4, 2023 and the $68.7 million pay-off of the remaining principal balance of our Replacement First Lien Term Loans in August 2023.</w:t>
      </w:r>
    </w:p>
    <w:p>
      <w:pPr>
        <w:spacing w:after="0" w:line="18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six months ended June 30, 2024 and 2023 was $3.0 million and $4.8 million, respectively. Our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balance decreased to $107.2 million during the current-year period compared to $232.8 million for the prior-year period. The average interest rate earned on our invested cash balances was 5.6% and 4.1% in the first six months ended June 30,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w:t>
      </w:r>
    </w:p>
    <w:p>
      <w:pPr>
        <w:spacing w:after="0" w:line="16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was ($0.7) million and $4.5 million, respectively. Based on an updated valuation analysis as of June 30, 2024, the estimated fair value of the outstanding Creditor Warrants decreased year-to-date by $0.43, or 0.9%, per warrant.</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6.7% and 14.7% for the six months ended June 30, 2024 and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tax rate from period to period.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years ended December 31, 2023 and 2021, respectively, is shown below in the following table (in thousands except % change):</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6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317,638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70,314</w:t>
            </w: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406,034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122,746</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451,226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122,223</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3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134,208</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(19,135)</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(31,120)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(2,014)</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2023 and 2022 were $573.4 million and $451.2 million, respectively. Our weighted-average active operating fleet for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was 43.4 and 37.1 vessels, respectively. For 2023, we had a weighted average of 22.4 vessels stacked compared to a weighted average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31.9 vessels stacked in the prior year.</w:t>
      </w:r>
    </w:p>
    <w:p>
      <w:pPr>
        <w:spacing w:after="0" w:line="207"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Vessel revenues for 2023 and 2022 were $528.8 million and $406.0 million, respectively. Vessels acquired in 2022 that provided their first full-year contribution to revenues in 2023 and vessels acquired in 2023 contributed $62.7 million to the year-over-year increase in revenues, while the remaining increase was primarily due to improved market conditions for our vessels. Revenues from our OSV fleet increased $88.5 million, or 34.9%, for 2023 compared to 2022. Average OSV dayrates were $39,297 for 2023 compared to $32,305 for the prior year. Our average OSV utilization was</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44.3% for 2023 compared to 37.7% for 2022. Our OSVs incurred 586 days of aggregate downtime for regulatory drydockings and were stacked for an aggregate of 7,887 days during 2023 compared to 332 and 11,074 days, respectively, during 2022. Excluding stacked vessel days, our active OSV utilization was 74.0% and 80.7% for the same periods, respectively. Revenues from our MPSV fleet increased $34.2 million, or 22.4%, for 2023 compared to 2022. Average MPSV dayrates were $62,372 for 2023 compared to $53,421 for 2022. Our MPSV utilization was 68.4% for 2023 compared to 65.2% for 2022. Our MPSVs incurred 191 days of aggregate downtime for regulatory drydockings and were stacked for an aggregate of 310 days during 2023 compared to 200 and 569 days, respectively, during 2022. Excluding stacked vessel days, our active MPSV utilization was 73.6% and 75.0% during 2023 and 2022, respectively. Domestic vessel revenues increased $70.3 million, or 22.1%, from 2022 primarily due to an increase in active vessels 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improved market conditions for our vessels operating in the U.S. GoM. Foreign vessel revenues increased $52.4 million, or 59.3% due to improved market conditions for vessels operating in Mexico during the first nine months of 2023 and in Brazil during the full year 2023. Foreign vessel revenues for 2023 comprised 26.6% of our total vessel revenues compared to 21.8% for 2022.</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Non-vessel revenues for 2023 and 2022 were $44.7 million and $45.2 million, respectively. The 1.1% year-over-year decrease in non-vessel revenues was primarily due to lower revenues earned from non-military vessel management services during 2023 compared to the prior year. Our non-vessel revenues primarily include our O&amp;M contract with the U.S. Navy, revenues from our port facility located in Port Fourchon, Louisiana (the “HOS Port”), and other vessel management services.</w:t>
      </w:r>
    </w:p>
    <w:p>
      <w:pPr>
        <w:spacing w:after="0" w:line="17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 for 2023 and 2022 was $305.5 million and $214.8 million, respectively. Vessels acquired in 2022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their first full-year contribution to operating expense in 2023 and vessels acquired in 2023 contributed $52.1 million to the year-over-year increase in operating expense, while the remaining variance was due to increases in domestic mariner wages, vessel recertifications and related maintenance and repair costs, and contract-specific costs of sales to meet customer charter requirements, which were ultimately recovered through the agreed upon charter dayrate.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2023 and 2022 was $47.9 million and $28.9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increased from the prior year due to nine newly acquired vessels being placed into service in or subsequent to the second quarter of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also increased as a result of 21 vessel recertification drydockings being completed since September 30, 2022.</w:t>
      </w:r>
    </w:p>
    <w:p>
      <w:pPr>
        <w:spacing w:after="0" w:line="20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2023 and 2022 was $66.1 million and $58.9 million, respectively. The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G&amp;A expense was primarily attributable to increases in shoreside employee headcount and wages and related benefits.</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2023 and 2022 was $19.1 million and $5.3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increase from the prior-year period was primarily attributable to certain new long-term incentive grants of RSUs under the 2020 Management Incentive Plan that were issued and one-half of which vested on the grant date in the first quarter of 2023.</w:t>
      </w:r>
    </w:p>
    <w:p>
      <w:pPr>
        <w:spacing w:after="0" w:line="173" w:lineRule="exact"/>
        <w:rPr>
          <w:sz w:val="20"/>
          <w:szCs w:val="20"/>
          <w:color w:val="auto"/>
        </w:rPr>
      </w:pPr>
    </w:p>
    <w:p>
      <w:pPr>
        <w:ind w:left="120" w:right="1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Terminated Debt Refinancing Costs</w:t>
      </w:r>
      <w:r>
        <w:rPr>
          <w:rFonts w:ascii="Times New Roman" w:cs="Times New Roman" w:eastAsia="Times New Roman" w:hAnsi="Times New Roman"/>
          <w:sz w:val="17"/>
          <w:szCs w:val="17"/>
          <w:color w:val="auto"/>
        </w:rPr>
        <w:t>. Terminated debt refinancing costs for 2023 and 2022 were $3.7 million and $0.0 million,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debt refinancing costs were attributable to costs related to a debt refinancing process that was postponed during the second quarter of 2023.</w:t>
      </w:r>
    </w:p>
    <w:p>
      <w:pPr>
        <w:spacing w:after="0" w:line="13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2023 and 2022 was $133.9 million and $165.1 million, respectively. Operating income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$31.1 million, or 18.9% during the current-year period compared to the prior-year period for the reasons discussed above, but primarily due to the increase in operating expense from newly acquired vessels. Operating income as a percentage of revenues was 23.4% for 2023 and 36.6% for 2022. Excluding the non-recurring effect of the restricted stock grants that were issued and vested in 2023, the terminated debt refinancing costs incurred in the second quarter of 2023, and the gain on sale of assets in the current and prior-year periods, operating income as a percentage of revenue was 25.5% and 31.7% for 2023 and 2022, respectively.</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2023 and 2022 was $39.8 million and $41.2 million, respectively. The decrease in interest expense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electing to pay cash interest only in the second quarter of 2023 for the Second Lien Term Loans, which reduced our interest rate on that debt instrument from 11.5% to 10.25%. In addition, effective September 4, 2023, the Second Lien Term Loans contractually converted to full cash-pay obligations with an annual interest rate of 8.25%. The decrease in interest expense is also related to the $68.7 million payoff of the remaining principal balance of the Replacement First Lien Term Loans in August 2023.</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2023 and 2022 was $9.8 million and $2.8 million, respectively. Our average cash balance increased to $213.2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2023 compared to $167.8 million for 2022. The average interest rate earned on our invested cash balances was 4.5% and 1.7% in 2023 and 2022, respectively. The increase in average cash balance was primarily due to improved operating results and net cash proceeds received in the fourth quarter of 2022 from the delayed draw that was funded under the Replacement First Lien Term Loans. The increase in the average interest rate is due to market increases in bank interest rates on invested cash balances.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2023 and 2022 was $10.9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$41.4 million, respectively. Creditor Warrants (warrants entitling holders to purchase common stock at a strike price set at an enterprise value of $621.2 million, or $27.83 per share ($      per share after giving effect to the stock split)) were issued on September 4, 2020, and we have since recorded a quarterly mark-to-market adjustment beginning with the quarter ended December 31, 2020. Prior to the issuance of these Creditor Warrants, we did not have any issued or outstanding liability-classified warrants. Based on a valuation analysis as of December 31, 2023, the estimated fair value of the outstanding Creditor Warrants increased year-over-year by $6.85, or 16.9%, per warrant.</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18.1% and 8.2% for 2023 and 2022, respectively. Our current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our current foreign tax liabilities and certain deferred tax liabilities that could not be offset with a valuation allowance. We have offset most of our deferred tax assets with a valuation allowance, as required in certain circumstances by GAAP, leading to volatility in our effective income tax rate from period to period. The 2023 rate is higher than 2022 due to increased current foreign taxes resulting from a higher proportion of earnings in foreign jurisdictions, while the related foreign tax credits are being reserved.</w:t>
      </w:r>
    </w:p>
    <w:p>
      <w:pPr>
        <w:spacing w:after="0" w:line="18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for 2023 and 2022 was $74.5 million and $80.8 million, respectively. This year-over-year decrease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operating expense combined with the net effect of the non-recurring items discussed above in Operating Income.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years ended December 31, 2022 and 2021, respectively, is shown below in the following table (in thousands):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317,638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154,737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$162,901</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&gt;100.0%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406,034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214,680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191,354</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451,226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256,300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194,926</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214,788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142,819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308,004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205,206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102,798</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165,059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111,286</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(35,794)</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(15,150)</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$ 77,775</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&gt;100.0%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comparative purposes, references in the explanations below to 2022 reflect the year ended December 31, 2022. References to 2021 reflect the year ended December 31, 2021.</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2022 and 2021 were $451.2 million and $256.3 million, respectively. Our weighted-average active operating fleet for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2022 and 2021 was 37.1 and 31.1 vessels, respectively. For 2022, we had a weighted average of 31.9 vessels stacked compared to a weighted average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39.7 vessels stacked in the prior year.</w:t>
      </w:r>
    </w:p>
    <w:p>
      <w:pPr>
        <w:spacing w:after="0" w:line="20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Vessel revenues for 2022 and 2021 were $406.0 million and $214.7 million, respectively. The increase in vessel revenues was primarily due to improved market conditions for our vessels. Revenues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active OSV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 and were stacked for an aggregate of 569 days during 2022 compared to an aggregate downtime of 206 days for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regulatory drydockings and being stacked for an aggregate 1,137 days, respectively, during 2021. Excluding stacked vessel days, our active MPSV utilization was 75.0% and 63.0% during 2022 and 2021, respectively. Domestic vessel revenues for 2022 increased $162.9 million, or 105%, from 2021 primarily due to improved market conditions for our vessels operating in the U.S. GoM. Foreign vessel revenues increased $28.5 million, or 47.5%, due to improved market conditions for vessels operating in Brazil, Trinidad and other Latin American markets during 2022. Foreign vessel revenues for 2022 comprised 21.8% of our total vessel revenues compared to 27.9% for 2021.</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74"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expenses for 2022 and 2021 were $214.8 million and $142.8 million, respectively. Operating expense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primarily due to increases in active vessels, mariner headcount, domestic mariner wages and benefits, and maintenance and repair costs for vessels and related equipment.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2022 and 2021 was $28.9 million and $18.4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increased from the prior year due to newly acquired vessels being placed into service.</w:t>
      </w:r>
    </w:p>
    <w:p>
      <w:pPr>
        <w:spacing w:after="0" w:line="205"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2022 and 2021 was $58.9 million and $40.6 million, respectively. The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80"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2022 and 2021 was $5.3 million and $3.4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increase in stock-based compensation expense was attributable to awards granted under the 2020 Management Incentive Plan in the second quarter of 2022, which were valued at a substantially higher stock price per share.</w:t>
      </w:r>
    </w:p>
    <w:p>
      <w:pPr>
        <w:spacing w:after="0" w:line="173" w:lineRule="exact"/>
        <w:rPr>
          <w:sz w:val="20"/>
          <w:szCs w:val="20"/>
          <w:color w:val="auto"/>
        </w:rPr>
      </w:pPr>
    </w:p>
    <w:p>
      <w:pPr>
        <w:jc w:val="center"/>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Assets. </w:t>
      </w:r>
      <w:r>
        <w:rPr>
          <w:rFonts w:ascii="Times New Roman" w:cs="Times New Roman" w:eastAsia="Times New Roman" w:hAnsi="Times New Roman"/>
          <w:sz w:val="18"/>
          <w:szCs w:val="18"/>
          <w:color w:val="auto"/>
        </w:rPr>
        <w:t>During 2022, we sold seven 200 class DP-1 OSVs, three 240 class DP-2 OSVs and other non-vessel assets for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$23.7 million, resulting in a net gain of $21.8 million. The net gain represents $20.5 million from vessel sales and $1.3 million from sales of non-vessel assets. The gain on sale of assets for 2021 represents gains of $2.2 million from vessel sales and $0.5 million from sales of non-vessel assets.</w:t>
      </w:r>
    </w:p>
    <w:p>
      <w:pPr>
        <w:spacing w:after="0" w:line="17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2022 and 2021 was $165.1 million and $53.8 million, respectively. Operating income increased year-over-year by $111.0 million, or 207%, during 2022 compared to 2021 for the reasons discussed above, but primarily due to improved market conditions for our vessels. Operating income as a percentage of revenues was 36.6% for 2022 compared to 21.0% for 2021.</w:t>
      </w:r>
    </w:p>
    <w:p>
      <w:pPr>
        <w:spacing w:after="0" w:line="173"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$41.2 million, inclusive of $30.4 million of paid-in-kind interest, for 2022 compared to $35.8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of $29.3 million of paid-in-kind interest, for 2021. Interest expense increased primarily due to (i) increases in the interest rates on the Replacement First Lien Term Loans and Second Lien Term Loans during 2022, (ii) higher outstanding balances on the Replacement First Lien Term Loans and Second Lien Term Loans as a result of the $37.5 million delayed draw term loans that were incurred in November 2022 and capitalized accumulated paid-in-kind interest incurred since the prior year, respectively, and (iii) the interest component of our negotiated settlement of the 2014 Mexico tax audit.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2022 and 2021 was $2.8 million and $0.5 million, respectively, representing a year-over-year increase of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8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Adjustment of Liability-Classified Warrants. </w:t>
      </w:r>
      <w:r>
        <w:rPr>
          <w:rFonts w:ascii="Times New Roman" w:cs="Times New Roman" w:eastAsia="Times New Roman" w:hAnsi="Times New Roman"/>
          <w:sz w:val="18"/>
          <w:szCs w:val="18"/>
          <w:color w:val="auto"/>
        </w:rPr>
        <w:t>Fair value adjustment of liability-classified warrants for 2022 and 2021 was $41.4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$15.2 million, respectively. Based on a valuation analysis as of December 31, 2022, the estimated fair value of the outstanding Creditor Warrants increased year-over-year by $26.01, or 179%, per warrant.</w:t>
      </w:r>
    </w:p>
    <w:p>
      <w:pPr>
        <w:spacing w:after="0" w:line="173"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for 2022 and 2021 was $2.9 million and $1.6 million, respectively. Other income increased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$1.5 million in fees received from certain sellers’ terminations of four vessel purchase agreements.</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tax expense rate was 8.2% and 33.9% for 2022 and 2021, respectively. Our income tax expense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our foreign tax liabilities as of December 31, 2022. Since September 4, 2020, we had been in a net deferred tax asset position and had offset our deferred tax benefit with a valuation allowance, as required in certain circumstances by GAAP. The 2022 period rate is lower than 2021 due to the relatively higher level of income for 2022 compared to 2021.</w:t>
      </w:r>
    </w:p>
    <w:p>
      <w:pPr>
        <w:spacing w:after="0" w:line="180" w:lineRule="exact"/>
        <w:rPr>
          <w:sz w:val="20"/>
          <w:szCs w:val="20"/>
          <w:color w:val="auto"/>
        </w:rPr>
      </w:pPr>
    </w:p>
    <w:p>
      <w:pPr>
        <w:ind w:left="120" w:right="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2022 and 2021 was $80.8 million and $3.0 million, respectively. This favorable variance in net income was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driven by improved market conditions for our vessels. Net income as a percentage of revenues was 17.9% and 1.2% for 2022 and 2021, respectively.</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reconcile cash flows provided by operating activities to EBITDA, Adjusted EBITDA and Adjusted Free Cash Flow, as we define those terms, for the six months ended June 30, 2024, and 2023 and the years ended December 31, 2023, 2022, and 2021, respectively (in thousands):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800" w:type="dxa"/>
            <w:vAlign w:val="bottom"/>
            <w:gridSpan w:val="8"/>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00" w:type="dxa"/>
            <w:vAlign w:val="bottom"/>
          </w:tcPr>
          <w:p>
            <w:pPr>
              <w:spacing w:after="0"/>
              <w:rPr>
                <w:sz w:val="15"/>
                <w:szCs w:val="15"/>
                <w:color w:val="auto"/>
              </w:rPr>
            </w:pPr>
          </w:p>
        </w:tc>
        <w:tc>
          <w:tcPr>
            <w:tcW w:w="17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28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EBITDA Reconciliation to GAAP:</w:t>
            </w: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62,349</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$ 146,115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$ 112,967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deferred drydocking charges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15,416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29,828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14,556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15,502</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32,970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7,260</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(19,097)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(1,028)</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(10,917)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88,075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83,458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168,931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155,216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58,187</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 to GAAP:</w:t>
            </w:r>
          </w:p>
        </w:tc>
        <w:tc>
          <w:tcPr>
            <w:tcW w:w="1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62,349</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$ 146,115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$ 112,967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49,611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deferred drydocking charges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15,416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29,828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15,502</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32,970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9,311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7,260</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(19,166)</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(1,028)</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4,830</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9,755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3,693</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94,809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111,817</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213,629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204,830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77,219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 to GAAP:</w:t>
            </w:r>
          </w:p>
        </w:tc>
        <w:tc>
          <w:tcPr>
            <w:tcW w:w="1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62,349</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$ 146,115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$ 112,967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49,611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maintenance capital improvements</w:t>
            </w: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(3,782)</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(7,745)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non-vessel capital expenditures</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7,260</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(1,028)</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4,830</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9,755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2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1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3,633</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3,693</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30,828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132,688</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171,284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detailed components of EBITDA, Adjusted EBITDA and Adjusted Free Cash Flow as we define those terms, for the six months ended June 30, 2024 and 2023, and the years ended December 31, 2023, 2022, and 2021, respectively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12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EBITDA: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41,172</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35,794</w:t>
            </w:r>
          </w:p>
        </w:tc>
      </w:tr>
      <w:tr>
        <w:trPr>
          <w:trHeight w:val="216"/>
        </w:trPr>
        <w:tc>
          <w:tcPr>
            <w:tcW w:w="6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interest,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120" w:type="dxa"/>
            <w:vAlign w:val="bottom"/>
          </w:tcPr>
          <w:p>
            <w:pPr>
              <w:spacing w:after="0"/>
              <w:rPr>
                <w:sz w:val="20"/>
                <w:szCs w:val="20"/>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18,601</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15,672</w:t>
            </w: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168,931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155,216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Fair value of liability-classified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15,150</w:t>
            </w: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111,817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213,629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204,830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Cash paid for deferred drydocking charges</w:t>
            </w:r>
            <w:r>
              <w:rPr>
                <w:rFonts w:ascii="Times New Roman" w:cs="Times New Roman" w:eastAsia="Times New Roman" w:hAnsi="Times New Roman"/>
                <w:sz w:val="24"/>
                <w:szCs w:val="24"/>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(26,106)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(14,113)</w:t>
            </w:r>
          </w:p>
        </w:tc>
      </w:tr>
      <w:tr>
        <w:trPr>
          <w:trHeight w:val="216"/>
        </w:trPr>
        <w:tc>
          <w:tcPr>
            <w:tcW w:w="67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maintenance capital improvements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67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non-vessel capital expenditures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7"/>
              </w:rPr>
              <w:t>(14,556)</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(8,467)</w:t>
            </w: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(13,035)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132,688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171,284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these items, see “—Liquidity and Capital Resources—Capital Expenditures and Related Commitments.”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the material limitations associated with using EBITDA, Adjusted EBITDA and Adjusted Free Cash Flow as non-GAAP financial measures compared to cash flows provided by operating activities:</w:t>
      </w:r>
    </w:p>
    <w:p>
      <w:pPr>
        <w:spacing w:after="0" w:line="67" w:lineRule="exact"/>
        <w:rPr>
          <w:sz w:val="20"/>
          <w:szCs w:val="20"/>
          <w:color w:val="auto"/>
        </w:rPr>
      </w:pPr>
    </w:p>
    <w:p>
      <w:pPr>
        <w:ind w:left="980" w:right="100" w:hanging="432"/>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future capital expenditure requirements that may be necessary to replace our existing vessels upon expiration of their useful lives;</w:t>
      </w:r>
    </w:p>
    <w:p>
      <w:pPr>
        <w:spacing w:after="0" w:line="67"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7"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deferred income taxes that we will eventually have to pay once we are no longer in an overall NOL carryforward position, as applicable;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changes in our net working capital position.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on-going vessel newbuild and conversion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August 2023, we elected to fully repay the $68.7 million then-outstanding principal balance of the Replacement First Lien Term Loans. As of June 30, 2024, we had $349.0 million of outstanding principal amount of Second Lien Term Loans that mature in March 2026, inclusive of accumulated paid-in-kind interest through June 30, 2024. Effective September 4, 2023, the Second Lien Term Loans contractually converted to full cash-pay obligations with an annual interest rate of 8.25% based on our prevailing Total Leverage Ratio, which was below 3.00 to 1.00.</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August 14, 2024, we were in compliance with all applicable financial covenants under the First Lien Revolving Credit Facility. There were no revolving loan amounts outstanding under the First Lien Revolving Credit Facility as of such date and we expect such facility to remain undrawn for the foreseeable future. During the second quarter of 2024 and as of August 14, 2024, we were in compliance with all applicable financial covenants under our Second Lien Credit Agreement. We may voluntarily prepay, in whole or in part, any amount of the Second Lien Term Loans without penalty prior to maturity. As of June 30, 2024 and December 31, 2023, we had total cash and cash equivalents of $91.1 million and $120.1 million, respectively, and restricted cash of $0.8 million and $0.8 million,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our cash flows for the years ended December 31, 2023, 2022 and 2021.</w:t>
      </w:r>
    </w:p>
    <w:p>
      <w:pPr>
        <w:spacing w:after="0" w:line="22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We rely primarily on cash flows from operations to provide working capital for current and future operations, to fund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$146.1 million, $113.0 million and $49.6 million for the years ended December 31, 2023, 2022 and 2021, respectively. Operating cash flows for the years ended December 31, 2023, 2022 and 2021 were favorably affected by improved market conditions for our vessels.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w:t>
      </w:r>
    </w:p>
    <w:p>
      <w:pPr>
        <w:spacing w:after="0" w:line="185" w:lineRule="exact"/>
        <w:rPr>
          <w:sz w:val="20"/>
          <w:szCs w:val="20"/>
          <w:color w:val="auto"/>
        </w:rPr>
      </w:pPr>
    </w:p>
    <w:p>
      <w:pPr>
        <w:ind w:left="120" w:right="2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$168.3 million, $109.2 million and $4.1 million for 2023,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during 2023 and 2022 was primarily attributable to vessel acquisitions, partially offset by proceeds from vessel sales. Net cash used in investing activities in 2021 primarily consisted of capital improvements for active vessels, partially offset by proceeds from vessel sales.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provided by (used in) financing activities was ($76.0) million, $32.9 million and $37.6 million for 2023, 2022 and</w:t>
      </w:r>
    </w:p>
    <w:p>
      <w:pPr>
        <w:spacing w:after="0" w:line="29"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2021. Cash used in financing activities for 2023 was primarily attributable to the payoff of the remaining principal balance of the Replacement First Lien Term Loans in the third quarter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2023. Net cash provided by financing activities for the year ended December 31, 2022 primarily resulted from the proceeds received from the delayed draw term loans that were funded under the Replacement First Lien Term Loans, partially offset by a partial repayment of the Replacement First Lien Term Loans. Net cash provided by financing activities for the year ended December 31, 2021 primarily resulted from proceeds received from the Replacement First Lien Term Loans and preemptive rights offering of equity, partially offset by the repayment of the exit first-lien term loans.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our cash flows for the six months ended June 30, 2024 and 2023.</w:t>
      </w:r>
    </w:p>
    <w:p>
      <w:pPr>
        <w:spacing w:after="0" w:line="223"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was $26.7 million and $62.3 million for the six months ended June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respectively. Operating cash flows for the first six months of 2024 were unfavorably affected by an increase in operating expense from newly acquired vessels and deferred drydocking charges from vessel recertifications.</w:t>
      </w:r>
    </w:p>
    <w:p>
      <w:pPr>
        <w:spacing w:after="0" w:line="173"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$49.5 million and $44.0 million for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Cash used during the first six months of 2024 was primarily attributable to the purchase of the final vessel delivered from ECO Acquisitions #2, costs related to the construction of the two MPSV newbuilds and maintenance capital improvements for active vessels.</w:t>
      </w:r>
    </w:p>
    <w:p>
      <w:pPr>
        <w:spacing w:after="0" w:line="173" w:lineRule="exact"/>
        <w:rPr>
          <w:sz w:val="20"/>
          <w:szCs w:val="20"/>
          <w:color w:val="auto"/>
        </w:rPr>
      </w:pPr>
    </w:p>
    <w:p>
      <w:pPr>
        <w:jc w:val="both"/>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used in financing activities was $3.9 million and $7.0 million for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Cash used in financing activities was primarily attributable to tax payments made by the Company for employee taxes related to shares withheld from vested and settled RSU awards.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and notes set forth our aggregate contractual obligations as of June 30, 2024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MPSV newbuild program</w:t>
            </w:r>
            <w:r>
              <w:rPr>
                <w:rFonts w:ascii="Times New Roman" w:cs="Times New Roman" w:eastAsia="Times New Roman" w:hAnsi="Times New Roman"/>
                <w:sz w:val="25"/>
                <w:szCs w:val="25"/>
                <w:color w:val="auto"/>
                <w:vertAlign w:val="superscript"/>
              </w:rPr>
              <w:t>(1)</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48,549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$ 48,549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C/SOV + Flotel conversion</w:t>
            </w:r>
            <w:r>
              <w:rPr>
                <w:rFonts w:ascii="Times New Roman" w:cs="Times New Roman" w:eastAsia="Times New Roman" w:hAnsi="Times New Roman"/>
                <w:sz w:val="25"/>
                <w:szCs w:val="25"/>
                <w:color w:val="auto"/>
                <w:vertAlign w:val="superscript"/>
              </w:rPr>
              <w:t>(2)</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31,418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Second Lien Term Loans</w:t>
            </w:r>
            <w:r>
              <w:rPr>
                <w:rFonts w:ascii="Times New Roman" w:cs="Times New Roman" w:eastAsia="Times New Roman" w:hAnsi="Times New Roman"/>
                <w:sz w:val="25"/>
                <w:szCs w:val="25"/>
                <w:color w:val="auto"/>
                <w:vertAlign w:val="superscript"/>
              </w:rPr>
              <w:t>(3)</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349,001</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349,001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payments</w:t>
            </w:r>
            <w:r>
              <w:rPr>
                <w:rFonts w:ascii="Times New Roman" w:cs="Times New Roman" w:eastAsia="Times New Roman" w:hAnsi="Times New Roman"/>
                <w:sz w:val="25"/>
                <w:szCs w:val="25"/>
                <w:color w:val="auto"/>
                <w:vertAlign w:val="superscript"/>
              </w:rPr>
              <w:t>(4)</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Non-cancellable leases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38,275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518,510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116,935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379,015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6,865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MPSV newbuild program contractual obligations exclude the cost of expected cranes and ancillary equipment to be installed upon completion of the construction of the vessels by the shipyard, as we had not entered into any contractual commitments related to such costs as of June 30, 2024. The total project costs for the completion of the construction of the two MPSVs is currently expected to total $145.0 million upon completion, of which $6.1 million had been incurred as of June 30, 2024. Amounts exclude capitalized interest.</w:t>
      </w:r>
    </w:p>
    <w:p>
      <w:pPr>
        <w:spacing w:after="0" w:line="2"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C/SOV + Flotel conversion contractual obligations include contractual milestone payments associated with the shipyard and certain purchases of owner-furnished equipment that were contracted as of June 30, 2024. The total project costs for the OSV-to-MPSV conversion is currently expected to total $77.7 million upon completion, of which $33.2 million had been incurred as of June 30, 2024. Amounts exclude capitalized interest.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Lien Term Loans mature on March 31, 2026 and include $76.4 million of accumulated paid-in-kind interest.</w:t>
      </w:r>
    </w:p>
    <w:p>
      <w:pPr>
        <w:spacing w:after="0" w:line="27"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4, 2023, the interest rate on the Second Lien Term Loans is variable based on our Total Leverage Ratio at each quarter-end. The amount reflected in this table is consistent with the current annual 8.25% fixed interest rate applicable to our Total Leverage Ratio as of June 30, 2024. Please see Note 8 to our consolidated financial statements for further discussion of the interest rate applicable to the Second Lien Term Loans.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Contracted Backlog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total contracted backlog was $666.8 million as of July 31, 2024,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2024, the Company had the following outstanding debt (in thousands, except effective interest rate):</w:t>
      </w: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2"/>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5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r>
              <w:rPr>
                <w:rFonts w:ascii="Times New Roman" w:cs="Times New Roman" w:eastAsia="Times New Roman" w:hAnsi="Times New Roman"/>
                <w:sz w:val="10"/>
                <w:szCs w:val="10"/>
                <w:b w:val="1"/>
                <w:bCs w:val="1"/>
                <w:color w:val="auto"/>
              </w:rPr>
              <w:t>(2)</w:t>
            </w:r>
          </w:p>
        </w:tc>
        <w:tc>
          <w:tcPr>
            <w:tcW w:w="2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Second Lien Term Loans</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March 31, June 30, September 30,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w w:val="99"/>
              </w:rPr>
              <w:t>$  349,001</w:t>
            </w: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92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rPr>
              <w:t>$   7,278</w:t>
            </w:r>
          </w:p>
        </w:tc>
        <w:tc>
          <w:tcPr>
            <w:tcW w:w="3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300" w:hanging="208"/>
        <w:spacing w:after="0"/>
        <w:tabs>
          <w:tab w:leader="none" w:pos="4300" w:val="left"/>
        </w:tabs>
        <w:numPr>
          <w:ilvl w:val="1"/>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349,001</w:t>
      </w:r>
    </w:p>
    <w:p>
      <w:pPr>
        <w:spacing w:after="0" w:line="247" w:lineRule="exact"/>
        <w:rPr>
          <w:rFonts w:ascii="Times New Roman" w:cs="Times New Roman" w:eastAsia="Times New Roman" w:hAnsi="Times New Roman"/>
          <w:sz w:val="18"/>
          <w:szCs w:val="18"/>
          <w:u w:val="single" w:color="auto"/>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on the Second Lien Term Loans includes accumulated paid-in-kind interest as of June 30, 2024.</w:t>
      </w:r>
    </w:p>
    <w:p>
      <w:pPr>
        <w:spacing w:after="0" w:line="27"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4, 2023, the interest rate on the Second Lien Term Loans is variable based on the Company’s Total Leverage Ratio at each quarter-end. The amount reflected in this table is consistent with the current annual 8.25% fixed interest rate applicable to the Company’s Total Leverage Ratio as of June 30, 2024. Please see Note 10 to our Annual Financial Statements and Note 8 to our Quarterly Financial Statements for further discussion of the interest rate applicable to the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-828040</wp:posOffset>
            </wp:positionV>
            <wp:extent cx="4972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-725170</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320" w:top="455" w:right="5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First Lien Revolving Credit Facility will mature on the earlier of (i) the fifth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w:t>
      </w:r>
    </w:p>
    <w:p>
      <w:pPr>
        <w:spacing w:after="0" w:line="19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revolving credit facility net leverage ratio (measured by total loans outstanding under the First Lien Revolving Credit Facility, net of unrestricted cash and cash equivalents of up to $25.0 million) of no more than 1.00 to 1.00, (ii) minimum liquidity (measured by unrestricted cash and cash equivalents, together with undrawn commitments under the First Lien Revolving Credit Facility) of $25.0 million, (iii) a collateral coverage ratio (measured by total first and second lien debt outstanding) of no less than 1.50 to 1.00 and (iv) a revolving credit facility collateral coverage ratio (measured by total debt outstanding under the First Lien Revolving Credit Facility, net of unrestricted cash and cash equivalents of up to $25.0 million) of no less than 3.00 to 1.00, in each case, tested on the Credit Agreement Closing Date, and thereafter at the end of each fiscal quarter, beginning with our first full fiscal quarter ending after the Credit Agreement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Additionally, to the extent Revolving Loans are outstanding and the collateral coverage ratio or the revolving credit facility collateral coverage ratio financial covenants under the First Lien Revolving Credit Facility are not met as of the end of any fiscal quarter, we will be required to make a mandatory prepayment of the Revolving Loans in an amount such that compliance with such financial covenants would be met on a pro forma basis following such prepayment, and so long as such mandatory prepayment is made, no default or event of default will result from the breach of such financial covenants.</w:t>
      </w: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Term Loans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September 4, 2020, we entered into that certain Second Lien Credit Agreement. The initial aggregate principal amount of the initial term loans under the Second Lien Credit Agreement were $287,577,193.66.</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Second Lien Term Loans mature in March 2026 and the borrowings bear interest at a cash interest only rate or, until September 4, 2023, a cash interest plus paid-in-kind (“PIK”) rate, at the Company’s option, as follows:</w:t>
      </w:r>
    </w:p>
    <w:p>
      <w:pPr>
        <w:spacing w:after="0" w:line="67" w:lineRule="exact"/>
        <w:rPr>
          <w:sz w:val="20"/>
          <w:szCs w:val="20"/>
          <w:color w:val="auto"/>
        </w:rPr>
      </w:pPr>
    </w:p>
    <w:p>
      <w:pPr>
        <w:ind w:left="980" w:right="40" w:hanging="432"/>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4, 2020 and until September 4, 2022, at (i) a cash interest only rate of 9.25% per annum or (ii) a cash interest plus PIK rate, comprised of 1.00% per annum cash interest plus 9.50% per annum PIK interest;</w:t>
      </w:r>
    </w:p>
    <w:p>
      <w:pPr>
        <w:spacing w:after="0" w:line="67"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4, 2022 and until September 4, 2023, at (i) a cash interest only rate of 10.25% per annum or (ii) a cash interest plus PIK rate, comprised of 2.50% per annum cash interest plus 9.00% per annum PIK interest; and</w:t>
      </w:r>
    </w:p>
    <w:p>
      <w:pPr>
        <w:spacing w:after="0" w:line="67" w:lineRule="exact"/>
        <w:rPr>
          <w:rFonts w:ascii="Times New Roman" w:cs="Times New Roman" w:eastAsia="Times New Roman" w:hAnsi="Times New Roman"/>
          <w:sz w:val="18"/>
          <w:szCs w:val="18"/>
          <w:color w:val="auto"/>
        </w:rPr>
      </w:pPr>
    </w:p>
    <w:p>
      <w:pPr>
        <w:ind w:left="980" w:right="320" w:hanging="432"/>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second quarter of 2023, we elected to stop accruing paid-in-kind interest and began cash paying the interest on the Second Lien Term Loans. Effective September 4, 2023, the Second Lien Term Loans contractually converted to full cash-pay obligations with an annual interest rate of 8.25% based on our prevailing Total Leverage Ratio, which was below 3.00 to 1.00.</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June 30, 2024, we had $349.0 million in outstanding principal amount of Second Lien Term Loans (including accumulated PIK interest) under the Second Lien Credit Agreement. Total interest expense relating to the Second Lien Term Loans, including PIK interest, amortization and write off of debt issuance costs and unutilized commitment fees, net of capitalized interest, for the six months ended June 30, 2024 and the years ended December 31, 2023 and 2022 was $12.9 million, $26.6 million and $35.4 million,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Related Commitments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costs incurred for the purposes set forth below for the six months ended June 30, 2024 and 2023, and for the years ended December 31, 2023, 2022 and 2021 (in thousands):</w:t>
      </w:r>
    </w:p>
    <w:tbl>
      <w:tblPr>
        <w:tblLayout w:type="fixed"/>
        <w:tblInd w:w="120" w:type="dxa"/>
        <w:tblCellMar>
          <w:top w:w="0" w:type="dxa"/>
          <w:left w:w="0" w:type="dxa"/>
          <w:bottom w:w="0" w:type="dxa"/>
          <w:right w:w="0" w:type="dxa"/>
        </w:tblCellMar>
      </w:tblPr>
      <w:tr>
        <w:trPr>
          <w:trHeight w:val="131"/>
        </w:trPr>
        <w:tc>
          <w:tcPr>
            <w:tcW w:w="12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20" w:type="dxa"/>
            <w:vAlign w:val="bottom"/>
            <w:gridSpan w:val="4"/>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8"/>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Maintenance Capital Expenditures</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drydocking charges</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$ 26,106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1"/>
              </w:rPr>
              <w:t>$ 15,416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$ 14,113</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Maintenance capital improvements</w:t>
            </w:r>
          </w:p>
        </w:tc>
        <w:tc>
          <w:tcPr>
            <w:tcW w:w="18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36,075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22,872</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17,939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i w:val="1"/>
                <w:iCs w:val="1"/>
                <w:color w:val="auto"/>
              </w:rPr>
              <w:t>Growth Capital Expenditures</w:t>
            </w:r>
            <w:r>
              <w:rPr>
                <w:rFonts w:ascii="Times New Roman" w:cs="Times New Roman" w:eastAsia="Times New Roman" w:hAnsi="Times New Roman"/>
                <w:sz w:val="25"/>
                <w:szCs w:val="25"/>
                <w:i w:val="1"/>
                <w:iCs w:val="1"/>
                <w:color w:val="auto"/>
                <w:vertAlign w:val="superscript"/>
              </w:rPr>
              <w:t>(1)(2)</w:t>
            </w:r>
          </w:p>
        </w:tc>
        <w:tc>
          <w:tcPr>
            <w:tcW w:w="1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MPSV Newbuild Construction</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ECO Acquisitions #1</w:t>
            </w:r>
          </w:p>
        </w:tc>
        <w:tc>
          <w:tcPr>
            <w:tcW w:w="2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27,869</w:t>
            </w: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ECO Acquisitions #2</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19,721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91,580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60,848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MARAD acquisition</w:t>
            </w:r>
          </w:p>
        </w:tc>
        <w:tc>
          <w:tcPr>
            <w:tcW w:w="1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55,199</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26,313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128,547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i w:val="1"/>
                <w:iCs w:val="1"/>
                <w:color w:val="auto"/>
              </w:rPr>
              <w:t>Commercial Capital Expenditures</w:t>
            </w:r>
            <w:r>
              <w:rPr>
                <w:rFonts w:ascii="Times New Roman" w:cs="Times New Roman" w:eastAsia="Times New Roman" w:hAnsi="Times New Roman"/>
                <w:sz w:val="26"/>
                <w:szCs w:val="26"/>
                <w:i w:val="1"/>
                <w:iCs w:val="1"/>
                <w:color w:val="auto"/>
                <w:vertAlign w:val="superscript"/>
              </w:rPr>
              <w:t>(2)</w:t>
            </w:r>
          </w:p>
        </w:tc>
        <w:tc>
          <w:tcPr>
            <w:tcW w:w="18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C/SOV + Flotel Conversion</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11,032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Commercial Capex</w:t>
            </w:r>
          </w:p>
        </w:tc>
        <w:tc>
          <w:tcPr>
            <w:tcW w:w="18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12,923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Non-vessel Capital Expenditures</w:t>
            </w:r>
          </w:p>
        </w:tc>
        <w:tc>
          <w:tcPr>
            <w:tcW w:w="18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$ 75,626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1"/>
              </w:rPr>
              <w:t>$ 62,144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201,071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151,196</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$ 21,382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price of constructed or acquired vessels, plus the costs incurred to place such vessels into active service, as necessary.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associated capitalized interest, as applicable.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Growth Capital Expenditures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Growth capital expenditures are expenditures undertaken by the Company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MPSV Newbuild Construction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 As of June 30, 2024, we had paid $5.3 million to Eastern related to the completion of these two MPSVs.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ECO Acquisitions #1</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January 10, 2022, the Company entered into definitive vessel purchase agreements with certain affiliates of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the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paid $82.2 million for the original purchase price and $1.7 million in purchase price adjustments associated with discretionary enhancements of the ECO Acquisitions #1 vessels, prior to the effect of the $1.5 million termination fee paid by ECO. In addition, the Company had incurred $3.9 million of costs associated with additional outfitting of the six vessels through the second quarter of 2024. The Company expects to incur an additional $0.1 million related to post-closing modifications of the sixth vessel during the remainder of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ECO Acquisitions #2</w:t>
      </w:r>
    </w:p>
    <w:p>
      <w:pPr>
        <w:spacing w:after="0" w:line="121"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Pursuant to the controlling purchase agreement, the Company subsequently entered into separate, individual vessel purchase agreements to acquire six high-spec OSVs from Nautical for $17.0 million per vessel. The Nautical vessels are U.S.-flagged, Jones Act-qualified, 280 class DP-2 OSVs with cargo-carrying capacities of circa 4,750 DWT.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Nautical completed regulatory drydocking and reactivation activities for each vessel prior to closing. Payment of 10% of the purchase price for each vessel was made upon arrival of such vessel to the shipyard and the remaining 90% was paid at the closing and delivery of each vessel. We took delivery of the first five vessels during 2023.</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January 2024, the Company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the Company had paid an aggregate of $102.0 million for the original purchase price, including deposits, and $10.6 million in purchase price adjustments associated with discretionary enhancements, additional outfitting, and post-closing modifications for the ECO Acquisitions #2 vessels. The Company expects to incur an incremental $0.1 million related to additional outfitting, discretionary enhancements and post-closing modifications for certain of these vessels during the remainder of 2024.</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MARAD Acquisition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February 4, 2022, the Company completed the acquisition of three high-spec new generation OSVs from the U.S. Department of Transportation’s Maritime Administration, or “MARAD”, for an aggregate price of $37.2 million. All three vessels are U.S.-flagged, Jones Act-qualified, 280 class DP-2 OSVs with cargo-carrying capacities of circa 4,500 DWT. Following the physical delivery of the vessels from MARAD, the Company incurred approximately $27.3 million for the reactivation and regulatory drydockings of all three vessels. In September 2022, the Company placed two of these vessels into service for immediate time charters in the U.S. GoM. The third OSV is currently undergoing conversion into a MPSV, as further discussed below under “Commercial Capital Expenditures—C/SOV + Flotel Conversion.”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Maintenance Capital Expenditures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Maintenance capital expenditures consist of deferred drydocking charges, which are capitalized to Deferred Charges on the consolidated balance sheet, and maintenance capital improvements, which are capitalized to Property, Plant and Equipment on the consolidated balance sheet.</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24 to 36 months on average. Deferred drydocking charges vary year-to-year depending on the number of vessels with expiring certifications in a given year. We completed 18, 16 and 14 recertification drydockings in 2023, 2022 and 2021, respectively, and have completed 12 recertification drydockings through the six months ended June 30, 2024. We expect to complete 12 additional drydockings by December 31, 2024.</w:t>
      </w:r>
    </w:p>
    <w:p>
      <w:pPr>
        <w:spacing w:after="0" w:line="18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the Company utilizes the downtime during the planned shipyard event as an opportunity to complete the discretionary vessel improvements.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Commercial Capital Expenditures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 cranes, ROVs, helidecks, living quarters, and other specialized vessel equipment. Recovery of the related costs are typically included in and offset, in whole or in part, by higher dayrates charged to customers in a lump 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C/SOV + Flotel Conversion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July 2023, the Company announced that it had contracted Eastern to convert one of its U.S.-flagged, Jones Act-qualified, HOSMAX 280 class DP-2 OSVs acquired from MARAD into a MPSV for dual-service as either a C/SOV or flotel to meet the growing demand of the U.S. offshore wind and oilfield markets. The Company has incurred $33.2 million, excluding capitalized interest, through June 30, 2024 and expects to spend an additional $44.5 million for such vessel conversion, including owner-furnished equipment, outfitting, engineering and overhead costs. We currently expect the conversion to be completed by mid-year 2025.</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Non-Vessel Capital Expenditures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Non-vessel capital expenditures primarily relate to fixed asset additions or improvements related to our port facility, office locations, information technology, non-vessel property, plant and equipment or other shoreside support initiatives.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8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 (1) chartering the Company’s vessels, including the operation of such vessels,</w:t>
      </w:r>
    </w:p>
    <w:p>
      <w:pPr>
        <w:spacing w:after="0" w:line="1" w:lineRule="exact"/>
        <w:rPr>
          <w:sz w:val="20"/>
          <w:szCs w:val="20"/>
          <w:color w:val="auto"/>
        </w:rPr>
      </w:pPr>
    </w:p>
    <w:p>
      <w:pPr>
        <w:ind w:left="120" w:right="320" w:hanging="4"/>
        <w:spacing w:after="0" w:line="260" w:lineRule="auto"/>
        <w:tabs>
          <w:tab w:leader="none" w:pos="3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Typically, our application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The Company has not incurred a material adjustment to revenues as a result of changes in its estimates and assumptions associated with customer contracts during the six months ended June 30, 2024 or during the years ended December 31, 2023, 2022 or 2021. Please see further discussion regarding revenues generated from contracts with customers in Note 4 to our Annual Financial Statements and our Quarterly Financial Statements, respectively.</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Our customers are primarily major and independent, domestic and international, oil and gas and oilfield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8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Liability-Classified Warrants</w:t>
      </w:r>
      <w:r>
        <w:rPr>
          <w:rFonts w:ascii="Times New Roman" w:cs="Times New Roman" w:eastAsia="Times New Roman" w:hAnsi="Times New Roman"/>
          <w:sz w:val="18"/>
          <w:szCs w:val="18"/>
          <w:color w:val="auto"/>
        </w:rPr>
        <w:t>. Common stock warrants are accounted for as either equity instruments or liabilities depending on the specific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applicable warrant agreement. The Company’s outstanding Creditor Warrants are currently classified as liabilities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that are classified as liabilities are recorded at their estimated fair value on a recurring basis at each balance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June 30, 2024 and December 31, 2023, every one-dollar change in the estimated fair value per share of the underlying common stock would have an approximate $1.5 million impact on the estimated fair value of the Creditor Warrants.</w:t>
      </w:r>
    </w:p>
    <w:p>
      <w:pPr>
        <w:spacing w:after="0" w:line="19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Changes in the estimated fair value of our liability-classified warrants are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Annual Financial Statements and Note 9 to our Quarterly Financial Statements.</w:t>
      </w:r>
    </w:p>
    <w:p>
      <w:pPr>
        <w:spacing w:after="0" w:line="17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awards are accounted for in accordance with ASC 718,</w:t>
      </w:r>
      <w:r>
        <w:rPr>
          <w:rFonts w:ascii="Times New Roman" w:cs="Times New Roman" w:eastAsia="Times New Roman" w:hAnsi="Times New Roman"/>
          <w:sz w:val="18"/>
          <w:szCs w:val="18"/>
          <w:i w:val="1"/>
          <w:iCs w:val="1"/>
          <w:color w:val="auto"/>
        </w:rPr>
        <w:t xml:space="preserve"> Compensation – Stock Compensation, </w:t>
      </w:r>
      <w:r>
        <w:rPr>
          <w:rFonts w:ascii="Times New Roman" w:cs="Times New Roman" w:eastAsia="Times New Roman" w:hAnsi="Times New Roman"/>
          <w:sz w:val="18"/>
          <w:szCs w:val="18"/>
          <w:color w:val="auto"/>
        </w:rPr>
        <w:t>which requires all share-based payments to the Company’s employees and directors to be recognized in the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 Please see further discussion regarding our stock-based compensation in Note 13 to our Annual Financial Statements and Note 10 to our Quarterly Financial Statements.</w:t>
      </w:r>
    </w:p>
    <w:p>
      <w:pPr>
        <w:spacing w:after="0" w:line="1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follow accounting standards for income taxes that require the use of the liability method of computing deferred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$254.8 million and $246.4 million recorded against our deferred tax assets as of December 31, 2023 and 2022,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14 to our Annual Financial Statements and Note 11 to our Quarterly Financial Statements.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Contingencies</w:t>
      </w:r>
      <w:r>
        <w:rPr>
          <w:rFonts w:ascii="Times New Roman" w:cs="Times New Roman" w:eastAsia="Times New Roman" w:hAnsi="Times New Roman"/>
          <w:sz w:val="18"/>
          <w:szCs w:val="18"/>
          <w:color w:val="auto"/>
        </w:rPr>
        <w:t>. We are involved in a variety of claims, lawsuits, investigations and proceedings, as described in Note 16 to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Recertification Costs</w:t>
      </w:r>
      <w:r>
        <w:rPr>
          <w:rFonts w:ascii="Times New Roman" w:cs="Times New Roman" w:eastAsia="Times New Roman" w:hAnsi="Times New Roman"/>
          <w:sz w:val="18"/>
          <w:szCs w:val="18"/>
          <w:color w:val="auto"/>
        </w:rPr>
        <w:t>. Our vessels are required by regulation to be recertified after certain periods of time. These recertification costs are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2023, 2022 and 2021, we incurred deferred drydocking costs totaling $29.8 million, $19.1 million and $14.1 million, respectively. For the six months ended June 30, 2024, we incurred $26.1 million in deferred drydocking costs. A change in policy from defer and amortize to expense as incurred could materially impact our results of operations in future periods.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Second Lien Term Loans currently bear interest at a fixed annual interest rate of 8.25% based on the Company’s Total Leverage Ratio pursuant to the Second Lien Credit Agreement, which annual interest rate will become 10.25% if the Company’s Total Leverage Ratio becomes greater than or equal to 3:00 to 1:00.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7"/>
          <w:szCs w:val="17"/>
          <w:color w:val="auto"/>
        </w:rPr>
        <w:t>Borrowings under the First Lien Revolving Credit Facility will be comprised of Base Rate Loans or SOFR Rate Loans (each as defined in the First Lien Credit Agreement), at the option of the Company,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w:t>
      </w:r>
    </w:p>
    <w:p>
      <w:pPr>
        <w:spacing w:after="0" w:line="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“—Liquidity and Capital Resources—Debt Agreements” above.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the Company’s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June 30, 2024 or December 31,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60" w:firstLine="440"/>
        <w:spacing w:after="0" w:line="244" w:lineRule="auto"/>
        <w:rPr>
          <w:sz w:val="20"/>
          <w:szCs w:val="20"/>
          <w:color w:val="auto"/>
        </w:rPr>
      </w:pPr>
      <w:r>
        <w:rPr>
          <w:rFonts w:ascii="Times New Roman" w:cs="Times New Roman" w:eastAsia="Times New Roman" w:hAnsi="Times New Roman"/>
          <w:sz w:val="18"/>
          <w:szCs w:val="18"/>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OSVs and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below-deck tanks providing flexibility for a variety of jobs. Moreover, our 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 + Flotel MPSV will be capable of providing services to the U.S. offshore wind market both during the commissioning phase of an offshore wind farm and during its operational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life. We expect the converted MPSV to be placed into active service as either a C/SOV or flotel in 2025, while the two newbuild MPSVs are now expected to be placed into active service in 2026 or possibly thereafter.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ability to reconfigure or modify vessels in our fleet to meet evolving industry demands and the needs of our customers differentiates our success across maritime markets. This enables us to reconfigure stacked OSVs to service oilfield and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service offerings quickly to respond to changing customer needs.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confidence that both our team and our strategy have been organized in a manner that best positions our Company to effectively execute in this dynamic and demanding operating environment.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GoM, the Caribbean, Northern South America and Brazil, while our vessels primarily serve our non-oilfield customers from the East and West Coasts of the United States and in the U.S. GoM. We operate our Mexican-flagged vessels across the Caribbean and Northern South America when not operated in Mexico, as well as in other international markets, utilizing a highly-skilled workforce of Mexican mariners and shore-side support team that have been trained in our safety systems and culture. A map illustrating our active vessel locations as of July 31, 2024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148590</wp:posOffset>
            </wp:positionV>
            <wp:extent cx="3840480" cy="3994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4048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Leading presence in the United States and Latin America</w:t>
      </w:r>
    </w:p>
    <w:p>
      <w:pPr>
        <w:spacing w:after="0" w:line="121" w:lineRule="exact"/>
        <w:rPr>
          <w:sz w:val="20"/>
          <w:szCs w:val="20"/>
          <w:color w:val="auto"/>
        </w:rPr>
      </w:pPr>
    </w:p>
    <w:p>
      <w:pPr>
        <w:jc w:val="both"/>
        <w:ind w:left="120" w:right="320" w:firstLine="440"/>
        <w:spacing w:after="0" w:line="272"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publicly-available information compiled by the Company and data provided by Spinergie, we believe that our fleet of 41 high-spec and ultra high-spec OSVs, totaling 217,140 in DWT capacity, represents 6.6% of the 3,290,183 total DWT of such vessels in the world, making Hornbeck the third largest fleet out of</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163 companies that own and operate high-spec or ultra high-spec OSVs worldwide. Furthermore, we believe that our fleet of 15 U.S.-flagged ultra high-spec OSVs, totaling 91,123 in DWT capacity, represents the largest fleet of such vessels operating in the United States measured by DWT capacity. Additionally, we are one of the top operators of OSVs, based on DWT, in each of our two core geographic markets, which include 2,459,593 DWT and constitute 41.7% of the total supply of 5,847,658 DWT to such markets. Our 46 U.S.-flagged OSVs, totaling 206,767 in DWT capacity, comprise the second largest fleet of technologically advanced, OSVs qualified for work in the U.S. GoM under the Jones Act. As of July 31, 2024, our active fleet of OSVs and MPSVs consisted of (i) 20 U.S.-flagged OSVs and seven MPSVs in the U.S. GoM, (ii) five OSVs and one MPSV throughout the U.S. Atlantic, (iii) one OSV and three MPSVs in the U.S. Pacific, (iv) seven OSVs offshore Brazil, (v) one OSV offshore Argentina, (vi) four OSVs in the Caribbean and Northern South America and (vii) one OSV and one MPSV offshore Mexico. We believe that having scale in our core markets with the flexibility to transfer vessels among regions benefits our customers and provides us with operating efficiencies.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fleet of technologically advanced high-spec and ultra high-spec vessels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Over the past 27 years, we have assembled a multi-class fleet of 60 OSVs and 15 MPSVs. Since 2014, we have focused on expanding our line of high-spec and ultra high-spec vessels, increasing our fleet of such vessels from 41% of our fleet in 2014 to 75% of our fleet in 2024. High-spec and ultra high-spec vessels incorporate sophisticated technologies that are designed specifically to operate safely in complex and challenging environments and are equipped with specialty equipment and other features to respond to the needs of our customers through the project development and operation lifecycle of an offshore oilfield. These technologies include DP, roll 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operations history and market strategies, we believe that we earn higher average dayrates compared to our competitors. According to industry data from Fearnley Offshore Supply, our average dayrates were 87%, 41%, and 16% higher than the global average term rates of comparably sized vessels owned by other operators in 2022, 2023, and the six months ended June 30, 2024,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market position due to qualification under the Jones Act and favorable sector tailwinds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strategic vessel acquisitions</w:t>
      </w:r>
    </w:p>
    <w:p>
      <w:pPr>
        <w:spacing w:after="0" w:line="121" w:lineRule="exact"/>
        <w:rPr>
          <w:sz w:val="20"/>
          <w:szCs w:val="20"/>
          <w:color w:val="auto"/>
        </w:rPr>
      </w:pPr>
    </w:p>
    <w:p>
      <w:pPr>
        <w:jc w:val="both"/>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We have built our fleet through a combination of newbuilds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Since 2017, we have successfully completed the acquisition of 19 OSVs, 18 of which are currently operating as part of our high-spec and ultra high-spec fleet and one of which is currently undergoing conversion into a MPSV for dual-service as either a C/SOV or flotel.</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service offerings and customer markets provide stability to cash flows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legal, risk management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Attractive growth opportunities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fleet of technologically advanced high-spec and ultra high-spec vessels is increasingly being deployed to serve the accelerating needs of the U.S. Military, renewable energy, and aerospace industries. Many of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end-markets.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our geographic presence in the United States and Latin America and grow industry leading service capabilities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GoM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industry supply of such vessels. Our vessels have been adapted to operate in a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Pursue differentiated customer offerings to optimize utilization and free cash flow generation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Apply existing, and develop new, technologies to meet our customers’ vessel needs and expand our fleet offerings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Focus on selective acquisitions that are strategically and financially accretive</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completed the acquisition of 12 high-spec OSVs, which we refer to as the ECO Acquisitions.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Maintain a conservative balance sheet, disciplined growth, and robust free cash flow generation through cycles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commitment to sustainability and safety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 Additionally, since 2020, our focus on safely addressing operational risk has contributed to maintaining an industry-low TRIR. Our most recent 5-year average TRIR was 0.10, outperforming peer averages from the IMCA and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recently placed into service a high-tech DP simulator that provides an interactive and immersive training experience for current and future mariners who serve in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Our Business and Fleet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owns and operates OSVs, MPSVs, and a port facility in Port Fourchon, Louisiana. Its fleet of vessels provides logistics support and specialty services to the offshore oil and gas exploration and production industry, primarily in the GoM, the Caribbean, Northern South America and Brazil, as well as non-oilfield specialty services for the U.S. military and other non-oilfield service customers primarily from the East and West Coasts of the United States and in the U.S. GoM. Measured by DWT capacity, we believe the Company has the number one ultra high-spec market position in the U.S., and the third largest fleet of high-spec and ultra high-spec OSVs in the world. Hornbeck has the second largest fleet of high-spec and ultra high-spec Jones Act-qualified OSVs. Hornbeck is the largest U.S. owner of MPSVs, which fleet is comprised of both Jones Act-qualified vessels for U.S. operations, 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OSVs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aerospace and humanitarian aid and disaster relief.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are capable of interfacing with other offshore vessels and facilities through the use of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-5715</wp:posOffset>
            </wp:positionV>
            <wp:extent cx="4526280" cy="2940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262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HOSMAX OSV and MPSV flotel servicing an offshore production facility in the U.S. GoM</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MPSVs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support installation, commissioning, maintenance, repairs, improvements, and 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149225</wp:posOffset>
            </wp:positionV>
            <wp:extent cx="4526280" cy="2726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2628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Two HOS MPSVs Deployed in GoM</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Vessels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July 31, 2024, we owned a fleet of 75 vessels, including two partially constructed Jones Act-qualified MPSV newbuilds to be completed pursuant to our settlement with the Surety, as discussed in “Management’s Discussion and Analysis of Financial Condition and Results of Operations— Recent Developments—Resumption of MPSV Newbuild Construction,” and one OSV currently undergoing conversion into a MPSV for dual-service as either a C/SOV or flotel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ultra high-spec vessels. Since 2020, we have divested 14 of these older and smaller vessels. During that same timeframe, we have acquired a total of 19 high-spec and ultra high-spec vessels. We expect that we will continue to seek charter opportunities to re-purpose our remaining 19 non-high spec vessels, 18 of which are currently stacked. Alternatively, we may also sell some of these vessels opportunistically. The net effect of these efforts to “right-size” our overall fleet complement has been a shift in the percentage of high-spec and ultra high-spec vessels from 41% to 75% since 2014.</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OSV Fleet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fleet of OSVs and the nations in which they are flagged as of July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6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Avg DWT</w:t>
            </w: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 Class</w:t>
            </w: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HOSFLEX 370</w:t>
            </w:r>
          </w:p>
        </w:tc>
        <w:tc>
          <w:tcPr>
            <w:tcW w:w="1940" w:type="dxa"/>
            <w:vAlign w:val="bottom"/>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7,886</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320</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6,052</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10</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310</w:t>
            </w:r>
          </w:p>
        </w:tc>
        <w:tc>
          <w:tcPr>
            <w:tcW w:w="1940" w:type="dxa"/>
            <w:vAlign w:val="bottom"/>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5,990</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4</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300</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5,489</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w:t>
            </w:r>
          </w:p>
        </w:tc>
      </w:tr>
      <w:tr>
        <w:trPr>
          <w:trHeight w:val="90"/>
        </w:trPr>
        <w:tc>
          <w:tcPr>
            <w:tcW w:w="660" w:type="dxa"/>
            <w:vAlign w:val="bottom"/>
            <w:tcBorders>
              <w:bottom w:val="single" w:sz="8" w:color="auto"/>
              <w:right w:val="single" w:sz="8" w:color="auto"/>
            </w:tcBorders>
            <w:shd w:val="clear" w:color="auto" w:fill="CCEEFF"/>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48"/>
        </w:trPr>
        <w:tc>
          <w:tcPr>
            <w:tcW w:w="660" w:type="dxa"/>
            <w:vAlign w:val="bottom"/>
            <w:tcBorders>
              <w:right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660" w:type="dxa"/>
            <w:vAlign w:val="bottom"/>
            <w:tcBorders>
              <w:bottom w:val="single" w:sz="8" w:color="CCEEFF"/>
              <w:right w:val="single" w:sz="8" w:color="auto"/>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280</w:t>
            </w:r>
          </w:p>
        </w:tc>
        <w:tc>
          <w:tcPr>
            <w:tcW w:w="1940" w:type="dxa"/>
            <w:vAlign w:val="bottom"/>
            <w:tcBorders>
              <w:bottom w:val="single" w:sz="8" w:color="CCEEFF"/>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9"/>
              </w:rPr>
              <w:t>12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4,666</w:t>
            </w:r>
          </w:p>
        </w:tc>
        <w:tc>
          <w:tcPr>
            <w:tcW w:w="10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270</w:t>
            </w:r>
          </w:p>
        </w:tc>
        <w:tc>
          <w:tcPr>
            <w:tcW w:w="19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3,803</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49"/>
        </w:trPr>
        <w:tc>
          <w:tcPr>
            <w:tcW w:w="660" w:type="dxa"/>
            <w:vAlign w:val="bottom"/>
            <w:tcBorders>
              <w:right w:val="single" w:sz="8" w:color="auto"/>
            </w:tcBorders>
            <w:shd w:val="clear" w:color="auto" w:fill="CCEEFF"/>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8"/>
        </w:trPr>
        <w:tc>
          <w:tcPr>
            <w:tcW w:w="660" w:type="dxa"/>
            <w:vAlign w:val="bottom"/>
            <w:tcBorders>
              <w:bottom w:val="single" w:sz="8" w:color="CCEEFF"/>
              <w:right w:val="single" w:sz="8" w:color="auto"/>
            </w:tcBorders>
            <w:shd w:val="clear" w:color="auto" w:fill="CCEEFF"/>
          </w:tcPr>
          <w:p>
            <w:pPr>
              <w:spacing w:after="0"/>
              <w:rPr>
                <w:sz w:val="24"/>
                <w:szCs w:val="24"/>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265</w:t>
            </w:r>
          </w:p>
        </w:tc>
        <w:tc>
          <w:tcPr>
            <w:tcW w:w="1940" w:type="dxa"/>
            <w:vAlign w:val="bottom"/>
            <w:tcBorders>
              <w:bottom w:val="single" w:sz="8" w:color="CCEEFF"/>
            </w:tcBorders>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3,677</w:t>
            </w:r>
          </w:p>
        </w:tc>
        <w:tc>
          <w:tcPr>
            <w:tcW w:w="10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60" w:type="dxa"/>
            <w:vAlign w:val="bottom"/>
            <w:tcBorders>
              <w:top w:val="single" w:sz="8" w:color="auto"/>
              <w:right w:val="single" w:sz="8" w:color="auto"/>
            </w:tcBorders>
          </w:tcPr>
          <w:p>
            <w:pPr>
              <w:spacing w:after="0"/>
              <w:rPr>
                <w:sz w:val="22"/>
                <w:szCs w:val="22"/>
                <w:color w:val="auto"/>
              </w:rPr>
            </w:pPr>
          </w:p>
        </w:tc>
        <w:tc>
          <w:tcPr>
            <w:tcW w:w="43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 250</w:t>
            </w:r>
          </w:p>
        </w:tc>
        <w:tc>
          <w:tcPr>
            <w:tcW w:w="1940" w:type="dxa"/>
            <w:vAlign w:val="bottom"/>
            <w:tcBorders>
              <w:top w:val="single" w:sz="8" w:color="auto"/>
            </w:tcBorders>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2,713</w:t>
            </w:r>
          </w:p>
        </w:tc>
        <w:tc>
          <w:tcPr>
            <w:tcW w:w="1040" w:type="dxa"/>
            <w:vAlign w:val="bottom"/>
            <w:tcBorders>
              <w:top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0" w:type="dxa"/>
            <w:vAlign w:val="bottom"/>
            <w:tcBorders>
              <w:right w:val="single" w:sz="8" w:color="auto"/>
            </w:tcBorders>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240</w:t>
            </w:r>
          </w:p>
        </w:tc>
        <w:tc>
          <w:tcPr>
            <w:tcW w:w="1940" w:type="dxa"/>
            <w:vAlign w:val="bottom"/>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9"/>
              </w:rPr>
              <w:t>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2,712</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60" w:type="dxa"/>
            <w:vAlign w:val="bottom"/>
            <w:tcBorders>
              <w:bottom w:val="single" w:sz="8" w:color="auto"/>
              <w:right w:val="single" w:sz="8" w:color="auto"/>
            </w:tcBorders>
          </w:tcPr>
          <w:p>
            <w:pPr>
              <w:spacing w:after="0"/>
              <w:rPr>
                <w:sz w:val="18"/>
                <w:szCs w:val="18"/>
                <w:color w:val="auto"/>
              </w:rPr>
            </w:pPr>
          </w:p>
        </w:tc>
        <w:tc>
          <w:tcPr>
            <w:tcW w:w="4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 200</w:t>
            </w:r>
          </w:p>
        </w:tc>
        <w:tc>
          <w:tcPr>
            <w:tcW w:w="194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1,729</w:t>
            </w:r>
          </w:p>
        </w:tc>
        <w:tc>
          <w:tcPr>
            <w:tcW w:w="10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48"/>
        </w:trPr>
        <w:tc>
          <w:tcPr>
            <w:tcW w:w="6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43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Owned OSVs</w:t>
            </w:r>
          </w:p>
        </w:tc>
        <w:tc>
          <w:tcPr>
            <w:tcW w:w="194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8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bottom w:val="single" w:sz="8" w:color="auto"/>
            </w:tcBorders>
            <w:shd w:val="clear" w:color="auto" w:fill="CCEEFF"/>
          </w:tcPr>
          <w:p>
            <w:pPr>
              <w:jc w:val="center"/>
              <w:ind w:left="15"/>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60</w:t>
            </w:r>
            <w:r>
              <w:rPr>
                <w:rFonts w:ascii="Times New Roman" w:cs="Times New Roman" w:eastAsia="Times New Roman" w:hAnsi="Times New Roman"/>
                <w:sz w:val="11"/>
                <w:szCs w:val="11"/>
                <w:b w:val="1"/>
                <w:bCs w:val="1"/>
                <w:color w:val="auto"/>
              </w:rPr>
              <w:t>(2)</w:t>
            </w:r>
          </w:p>
        </w:tc>
      </w:tr>
      <w:tr>
        <w:trPr>
          <w:trHeight w:val="520"/>
        </w:trPr>
        <w:tc>
          <w:tcPr>
            <w:tcW w:w="660" w:type="dxa"/>
            <w:vAlign w:val="bottom"/>
            <w:tcBorders>
              <w:right w:val="single" w:sz="8" w:color="auto"/>
            </w:tcBorders>
          </w:tcPr>
          <w:p>
            <w:pPr>
              <w:spacing w:after="0"/>
              <w:rPr>
                <w:sz w:val="24"/>
                <w:szCs w:val="24"/>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USN T-AGSE</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35"/>
                <w:szCs w:val="35"/>
                <w:color w:val="auto"/>
                <w:w w:val="96"/>
                <w:vertAlign w:val="subscript"/>
              </w:rPr>
              <w:t>4</w:t>
            </w:r>
            <w:r>
              <w:rPr>
                <w:rFonts w:ascii="Times New Roman" w:cs="Times New Roman" w:eastAsia="Times New Roman" w:hAnsi="Times New Roman"/>
                <w:sz w:val="13"/>
                <w:szCs w:val="13"/>
                <w:color w:val="auto"/>
                <w:w w:val="96"/>
              </w:rPr>
              <w:t>(3)</w:t>
            </w:r>
          </w:p>
        </w:tc>
      </w:tr>
      <w:tr>
        <w:trPr>
          <w:trHeight w:val="270"/>
        </w:trPr>
        <w:tc>
          <w:tcPr>
            <w:tcW w:w="660" w:type="dxa"/>
            <w:vAlign w:val="bottom"/>
            <w:tcBorders>
              <w:bottom w:val="single" w:sz="8" w:color="auto"/>
              <w:right w:val="single" w:sz="8" w:color="auto"/>
            </w:tcBorders>
          </w:tcPr>
          <w:p>
            <w:pPr>
              <w:spacing w:after="0"/>
              <w:rPr>
                <w:sz w:val="23"/>
                <w:szCs w:val="23"/>
                <w:color w:val="auto"/>
              </w:rPr>
            </w:pPr>
          </w:p>
        </w:tc>
        <w:tc>
          <w:tcPr>
            <w:tcW w:w="43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48"/>
        </w:trPr>
        <w:tc>
          <w:tcPr>
            <w:tcW w:w="6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660" w:type="dxa"/>
            <w:vAlign w:val="bottom"/>
            <w:tcBorders>
              <w:right w:val="single" w:sz="8" w:color="CCEEFF"/>
            </w:tcBorders>
            <w:shd w:val="clear" w:color="auto" w:fill="CCEEFF"/>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Operated OSVs</w:t>
            </w:r>
          </w:p>
        </w:tc>
        <w:tc>
          <w:tcPr>
            <w:tcW w:w="1940" w:type="dxa"/>
            <w:vAlign w:val="bottom"/>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-2725420</wp:posOffset>
            </wp:positionV>
            <wp:extent cx="154305" cy="1817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181737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-650875</wp:posOffset>
            </wp:positionV>
            <wp:extent cx="128270" cy="471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270" cy="471805"/>
                    </a:xfrm>
                    <a:prstGeom prst="rect">
                      <a:avLst/>
                    </a:prstGeom>
                    <a:noFill/>
                  </pic:spPr>
                </pic:pic>
              </a:graphicData>
            </a:graphic>
          </wp:anchor>
        </w:drawing>
      </w:r>
    </w:p>
    <w:p>
      <w:pPr>
        <w:spacing w:after="0" w:line="205"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mid-spec vessels and low-spec vessels.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four OSVs formerly owned by us and that we now operate and maintain for the U.S. Navy.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MPSV Fleet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fleet of MPSVs and the nations in which they are flagged as of July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DP Class</w:t>
            </w:r>
          </w:p>
        </w:tc>
        <w:tc>
          <w:tcPr>
            <w:tcW w:w="1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r>
      <w:tr>
        <w:trPr>
          <w:trHeight w:val="34"/>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0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HOS C/SOV+FLOTEL</w:t>
            </w:r>
            <w:r>
              <w:rPr>
                <w:rFonts w:ascii="Times New Roman" w:cs="Times New Roman" w:eastAsia="Times New Roman" w:hAnsi="Times New Roman"/>
                <w:sz w:val="26"/>
                <w:szCs w:val="26"/>
                <w:color w:val="auto"/>
                <w:vertAlign w:val="superscript"/>
              </w:rPr>
              <w:t>(1)</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FLOTEL</w:t>
            </w:r>
          </w:p>
        </w:tc>
        <w:tc>
          <w:tcPr>
            <w:tcW w:w="19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430</w:t>
            </w:r>
          </w:p>
        </w:tc>
        <w:tc>
          <w:tcPr>
            <w:tcW w:w="19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DP-3</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400</w:t>
            </w:r>
            <w:r>
              <w:rPr>
                <w:rFonts w:ascii="Times New Roman" w:cs="Times New Roman" w:eastAsia="Times New Roman" w:hAnsi="Times New Roman"/>
                <w:sz w:val="26"/>
                <w:szCs w:val="26"/>
                <w:color w:val="auto"/>
                <w:vertAlign w:val="superscript"/>
              </w:rPr>
              <w:t>(2)</w:t>
            </w:r>
          </w:p>
        </w:tc>
        <w:tc>
          <w:tcPr>
            <w:tcW w:w="19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310/310ES</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265</w:t>
            </w:r>
          </w:p>
        </w:tc>
        <w:tc>
          <w:tcPr>
            <w:tcW w:w="19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250</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 240</w:t>
            </w:r>
          </w:p>
        </w:tc>
        <w:tc>
          <w:tcPr>
            <w:tcW w:w="192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34"/>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MPSVs</w:t>
            </w:r>
          </w:p>
        </w:tc>
        <w:tc>
          <w:tcPr>
            <w:tcW w:w="19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rPr>
              <w:t>1</w:t>
            </w: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15</w:t>
            </w:r>
          </w:p>
        </w:tc>
      </w:tr>
    </w:tbl>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HOSMAX 280 OSV currently being converted into a MPSV for dual-service as either a C/SOV or flotel.</w:t>
      </w:r>
    </w:p>
    <w:p>
      <w:pPr>
        <w:spacing w:after="0" w:line="9"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w:t>
      </w:r>
    </w:p>
    <w:p>
      <w:pPr>
        <w:spacing w:after="0" w:line="186"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8"/>
          <w:szCs w:val="18"/>
          <w:color w:val="auto"/>
        </w:rPr>
        <w:t>There are a number of third-party services that consistently monitor and assess the value of vessels across the global OSV and MPSV fleets. These firms independently evaluate each vessel based on age, build specification, capabilities and recent comparable vessel sales, among other criteria, to derive a market-based estimate of current vessel value including fair market value, newbuild, or replacement, value, and liquidation value. According to one third-party provider,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total fleet of 60 OSVs and 15 MPSVs had a fair market value of approximately $2.7 billion and a newbuild, or replacement, value of approximately $5.7 billion as of July 31, 2024, reinforcing the quality and differentiated capabilities of our vessels in today’s market.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Newbuild MPSVs</w:t>
      </w:r>
    </w:p>
    <w:p>
      <w:pPr>
        <w:spacing w:after="0" w:line="119"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subsequent to the settlement date. As of June 30, 2024, we had paid $5.3 million to Eastern related to the completion of these two MPSVs.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However, in June 2024,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the Company had incurred $0.8 million of such incremental amounts, excluding capitalized interest. Once placed in service, we expect that our book carrying value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each vessel will be approximately $80.0 million, which is significantly below the expected market value of Jones Act-qualified vessels of this age, type, size and specifications.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145415</wp:posOffset>
            </wp:positionV>
            <wp:extent cx="3566160" cy="19970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661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Rendering of 400’ MPSV currently under construction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Shore-Based Facility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own long-term lease rights to a port facility located in Port Fourchon, Louisiana, referred to as “HOS Port.” Port Fourchon’s proximity to the deepwater and ultra-deepwater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July 31, 2024, Port Fourchon currently services over 95% of the Gulf of Mexico’s deepwater and ultra-deepwater energy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147955</wp:posOffset>
            </wp:positionV>
            <wp:extent cx="3188970" cy="21170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889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HOS Port Facility in Port Fourchon Louisiana</w:t>
      </w:r>
    </w:p>
    <w:p>
      <w:pPr>
        <w:spacing w:after="0" w:line="22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HOS Port facility has approximately 10 and 11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GoM.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Markets and Applications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our vessels to best meet potential revenue opportunities. Each customer market has specialized service needs and vessel requirements. For the six months ended June 30, 2024, approximately 49% of our revenues were attributed to oil and gas drilling support activities. The remaining approximately 51% of our revenues were generated away from the drill bit, comprised of approximately 25% coming from oilfield specialty activities, including offshore IRM, construction and equipment installation, as well as decommissioning and plugging and abandonment work; approximately 19% coming from military support services and HADR; and approximately 7% coming from other non-oilfield support services, including offshore wind development, construction and support services. As we continue to diversify our customer markets, we expect the non-oilfield markets to contribute a greater portion of revenues in the future.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Oilfield Services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predominantly serve our oilfield customers in the GoM, the Caribbean, Northern South America and Brazil. Our vessels provide support to offshore oil and gas exploration and production companies in two key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9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GoM. Certain of our primary markets for oilfield services are the cabotage-protected U.S. GoM, Mexico and Brazil. Today, deepwater and ultra-deepwater production accounts for approximately 90% of all offshore production in the U.S. GoM. According to the 2024 EIA Outlook, the GoM production is expected to account for approximately 14% of total forecast U.S. crude oil production in each of 2024 and 2025. While the GoM is one sea, its hydrocarbon resources are geopolitically divided between the United States and Mexico. Deepwater and ultra-deepwater drilling and production has been active for nearly three decades in the U.S. GoM. The Mexican deepwater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w:t>
      </w:r>
    </w:p>
    <w:p>
      <w:pPr>
        <w:spacing w:after="0" w:line="18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148590</wp:posOffset>
            </wp:positionV>
            <wp:extent cx="2966085" cy="21342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6608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Rendering of Subsea Oil Field Infrastructure</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GoM and Brazil can typically range from six to 24 hours for a vessel. In Brazil, transit time for a vessel to some of the newer, more remote deepwater and ultra-deepwater drilling rig locations are more appropriately measured in days, not hours. As of June 30, 2024, there were 62 floating drilling units operating in the United States and Latin America. Since 2013, that figure has ranged from 39 to 108 with an average of 61.7.</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Wood Mackenzie’s Emissions Benchmarking Tool, U.S. Gulf of Mexico Deepwater’s weighted average emissions intensity in 2023 was 8.16 tCO2e/kboe compared to a global weighted average of 20.45 tCO2e/kboe.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142875</wp:posOffset>
            </wp:positionV>
            <wp:extent cx="2931795" cy="2194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3179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HOS Warland Setting Subsea Equipment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Military Services (U.S. Government and Navy Support)</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2006, we have been a prominent, private sector service provider to the U.S. military by delivering vessels that support their readiness and security. Our military service capabilities are an accelerating component of our service portfolio and military support is an end-customer market that is of particular importance given the stability provided by the U.S. government’s desire to execute long-term service agreements with qualified private contractors.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capabilities,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142875</wp:posOffset>
            </wp:positionV>
            <wp:extent cx="2554605" cy="1688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5460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Performing offshore submarine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172720</wp:posOffset>
            </wp:positionV>
            <wp:extent cx="2554605" cy="1697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5460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HOS Resolution configured into amphibious landing vessel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Renewable Energy</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w:t>
      </w:r>
    </w:p>
    <w:p>
      <w:pPr>
        <w:spacing w:after="0" w:line="85" w:lineRule="exact"/>
        <w:rPr>
          <w:sz w:val="20"/>
          <w:szCs w:val="20"/>
          <w:color w:val="auto"/>
        </w:rPr>
      </w:pPr>
    </w:p>
    <w:p>
      <w:pPr>
        <w:ind w:left="980" w:hanging="432"/>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vessels that install foundations, monopiles and wind turbines;</w:t>
      </w:r>
    </w:p>
    <w:p>
      <w:pPr>
        <w:spacing w:after="0" w:line="130" w:lineRule="exact"/>
        <w:rPr>
          <w:rFonts w:ascii="Times New Roman" w:cs="Times New Roman" w:eastAsia="Times New Roman" w:hAnsi="Times New Roman"/>
          <w:sz w:val="18"/>
          <w:szCs w:val="18"/>
          <w:color w:val="auto"/>
        </w:rPr>
      </w:pPr>
    </w:p>
    <w:p>
      <w:pPr>
        <w:ind w:left="980" w:right="540" w:hanging="432"/>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cable-lay vessels required to install electrical transmission lines between and among units in the field and an offshore or shore-based electrical grid;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MPSVs and flotels necessary to provide a variety of offshore construction, monitoring and accommodation support for windfarm personnel;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OSVs to move equipment from shore to offshore locations.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are converting one of our U.S.-flagged, Jones Act-qualified, HOSMAX 280 DP-2 OSVs into a dual-use C/SOV + Flotel MPSV, which is expected to be delivered in 2025 and that will be eligible to provide C/SOV services to offshore wind customers. We consider the vessel to be dual-use in that it will be outfitted to also provide accommodation support services in the offshore oilfield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148590</wp:posOffset>
            </wp:positionV>
            <wp:extent cx="2828925" cy="18942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289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HOS Vessel Positioned in New Jersey for Wind Coring</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77790" cy="12344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7779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HOS Caledonia responding to Hurricane Maria in Puerto Rico</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our vessels are equipped to support aerospace launches that call for rocket component landing and recovery capabilities.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Contracting Practices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Non-Government Customers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oilfield services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Charters to customers in the wind industry and other renewable energy and non-oilfield service customers (other than the U.S. government) are generally consistent with our approach to charters in the oil and gas industry.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available for the customer’s use, and the dayrate payable for any extension of the charter. These dayrates area based on market rates at the time of entry into each charter. However, long-term charters sometimes contain “cost pass 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the Company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the Company’s vessel and other customary coverage.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Government Customers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process for entering into charters with the U.S. government entails the applicable agency posting requests for proposals or solicitations for vessel projects and the Company bidding on chosen jobs by completing an offer responsive to such solicitations. Once finalized, the Company and the U.S. government will execute a Solicitation, Offer and Award contract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the Company the charter, the vessel order is 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offshore support vessel industry is highly competitive. Competition primarily involves such factors as:</w:t>
      </w:r>
    </w:p>
    <w:p>
      <w:pPr>
        <w:spacing w:after="0" w:line="131" w:lineRule="exact"/>
        <w:rPr>
          <w:sz w:val="20"/>
          <w:szCs w:val="20"/>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capability and age of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capability and nationality of the crew members;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customer’s schedule and specific logistical requirements;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 reputation and experience;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cabotage laws.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U.S. GoM, Mexico GoM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 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to continue utilizing our highly-skilled Mexican mariners and shore-based employees as part of our international services, which we believe will result in a temporary reduction of revenue for some of those vessels.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76"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July 31, 2024, our total fleet of 60 OSVs and 15 MPSVs included two partially constructed Jones Act-qualified MPSV newbuilds to be completed pursuant to our settlement with Surety, as discussed further in “Management’s Discussion and Analysis of Financial Condition and Results of Operations—Recent Developments—Resumption of MPSV Newbuild Construction,” and one OSV currently undergoing conversion into a MPSV for dual-service as either a C/SOV or flotel. At that date we operated an active OSV fleet of 39 vessels of which approximately 97% were categorized as high- or ultra high-spec. These high- and ultra high-spec vessels range in age from eight to twenty-two years with a weighted-average fleet age, based on DWT, of 12.6 years. In fact, approximately 79% of these vessels have been constructed since January 1, 2008, and 100% have DP-2 or DP-3 capabilities. Similarly, our active MPSV fleet is comprised of 12 vessels that range in age from eight to twenty-three years with 100% of those vessels possessing DP-2 or DP-3 capabilities.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Dependency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six months ended June 30, 2024, a wholly owned subsidiary of Occidental Petroleum Company, MSC, and collectively, subsidiaries of Shell plc each accounted for 10% or more of our consolidated revenues. Our charters with Occidental Petroleum Company are pursuant to a master agreement, a pricing agreement and specific work orders, consistent with our chartering process with other customers as described in “—Contracting Practices—Non-Government Customers.” Our charters with MSC are subject to individual Solicitation, Offer and Award contracts or O&amp;M contracts and the applicable FARs and D-FARs, consistent with our chartering process with other U.S. government customers as described in “—Contracting Practices—U.S. Government Customers.”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18 to our Annual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Environmental Laws and Regulations</w:t>
      </w:r>
    </w:p>
    <w:p>
      <w:pPr>
        <w:spacing w:after="0" w:line="11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December 4, 2018, the Vessel Incidental Discharge Act was enacted, which requires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is expected to be published in the Federal Register in Fall of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spacing w:after="0" w:line="19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DOI issues regulations governing oil and gas operations on federal lands and waters and imposes obligations for establishing financial assurance for decommissioning activities. In 2023, the DOI finalized a new five-year offshore leasing plan for the U.S. GoM that substantially limits offshore lease sales. Legal challenges to the leasing plan could delay or suspend offshore lease auctions, adversely affecting our customers’ businesses and reducing demand for our services.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CAA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is awaiting ratification. When formally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11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adopted a revised and strengthened set of climate goals during its 80th session in July 2023, which sets a target to reach net-zero GHG emissions from shipping by or around 2050. The Biden Administration has also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Most recently, at the 28th Conference of the Parties (“COP28”), President Biden announced the EPA’s final standards to reduce methane emissions from existing oil and gas sources. Additionally, at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 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 Scope 3 GHG emissions, make annual disclosures aligned with the recommendations of the Task Force on Climate-related Financial Disclosures, and set science-based emissions reduction targets. Under the Biden Administration, the White House Council on Environmental Quality (“CEQ”) issued a final rule in April 2022 which included ensuring that 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low-carbon fuels, or imposing new climate-related reporting requirements. For example, cap and trade initiatives to limit GHG emissions have been introduced in the European Union and certain U.S. states.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Additionally, in March 2024, the SEC adopted the SEC Climate Rules. The SEC Climate Rules are currently stayed pending completion of judicial review and are widely expected to face additional legal challenges going forward. We cannot currently predict with certainty the timing and costs of implementation or any potential adverse impacts resulting from the SEC Climate Rules. However, assuming they take effect, we could incur additional operational and compliance burdens and increased costs relating to the assessment and disclosure of climate-related matters, including costs relating to establishment of additional internal controls and collecting, measuring and analyzing information related to such matters. Further, we cannot predict how any information disclosed pursuant to the rules may be used by financial institutions or investors. We may face increased litigation and enforcement risks, or limits or restrictions on our access to capital, related to disclosures made pursuant to the SEC Climate Rules.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More broadly, restrictions on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While the Supreme Court’s decision in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Bright Enterprises v. Raimondo </w:t>
      </w:r>
      <w:r>
        <w:rPr>
          <w:rFonts w:ascii="Times New Roman" w:cs="Times New Roman" w:eastAsia="Times New Roman" w:hAnsi="Times New Roman"/>
          <w:sz w:val="18"/>
          <w:szCs w:val="18"/>
          <w:color w:val="auto"/>
        </w:rPr>
        <w:t>to overrule</w:t>
      </w:r>
      <w:r>
        <w:rPr>
          <w:rFonts w:ascii="Times New Roman" w:cs="Times New Roman" w:eastAsia="Times New Roman" w:hAnsi="Times New Roman"/>
          <w:sz w:val="18"/>
          <w:szCs w:val="18"/>
          <w:i w:val="1"/>
          <w:iCs w:val="1"/>
          <w:color w:val="auto"/>
        </w:rPr>
        <w:t xml:space="preserve"> Chevron U.S.A. Inc. v. Natural Resources Defense Council, Inc. </w:t>
      </w:r>
      <w:r>
        <w:rPr>
          <w:rFonts w:ascii="Times New Roman" w:cs="Times New Roman" w:eastAsia="Times New Roman" w:hAnsi="Times New Roman"/>
          <w:sz w:val="18"/>
          <w:szCs w:val="18"/>
          <w:color w:val="auto"/>
        </w:rPr>
        <w:t>and end the concept of general deference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agency interpretations of laws introduces new complexity for federal agencies and administration of climate change policy and regulatory programs, many of these initiatives are expected to continue.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left="120" w:right="480" w:firstLine="440"/>
        <w:spacing w:after="0" w:line="272" w:lineRule="auto"/>
        <w:rPr>
          <w:sz w:val="20"/>
          <w:szCs w:val="20"/>
          <w:color w:val="auto"/>
        </w:rPr>
      </w:pPr>
      <w:r>
        <w:rPr>
          <w:rFonts w:ascii="Times New Roman" w:cs="Times New Roman" w:eastAsia="Times New Roman" w:hAnsi="Times New Roman"/>
          <w:sz w:val="17"/>
          <w:szCs w:val="17"/>
          <w:color w:val="auto"/>
        </w:rPr>
        <w:t>On July 31, 2024, we had 1,766 employees, including 1,461 vessel personnel and 305 corporate, administrative and management personnel. Excluded from these personnel totals are 53 third-country nationals that we contracted to serve on our vessels as of July 31, 2024. These non-U.S. mariners are typically provided by international crewing agencies. With the exception of 511 employees located in Mexico and Brazil as of</w:t>
      </w:r>
    </w:p>
    <w:p>
      <w:pPr>
        <w:spacing w:after="0" w:line="2"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7"/>
          <w:szCs w:val="17"/>
          <w:color w:val="auto"/>
        </w:rPr>
        <w:t>July 31, 2024,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Geographic Areas</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revenues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the six months ended June 30, 2024 and 2023 and the years ended December 31,</w:t>
      </w:r>
    </w:p>
    <w:p>
      <w:pPr>
        <w:ind w:left="120"/>
        <w:spacing w:after="0"/>
        <w:rPr>
          <w:sz w:val="20"/>
          <w:szCs w:val="20"/>
          <w:color w:val="auto"/>
        </w:rPr>
      </w:pPr>
      <w:r>
        <w:rPr>
          <w:rFonts w:ascii="Times New Roman" w:cs="Times New Roman" w:eastAsia="Times New Roman" w:hAnsi="Times New Roman"/>
          <w:sz w:val="18"/>
          <w:szCs w:val="18"/>
          <w:color w:val="auto"/>
        </w:rPr>
        <w:t>2023 and 2022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340" w:type="dxa"/>
            <w:vAlign w:val="bottom"/>
            <w:vMerge w:val="restart"/>
          </w:tcPr>
          <w:p>
            <w:pPr>
              <w:spacing w:after="0"/>
              <w:rPr>
                <w:sz w:val="10"/>
                <w:szCs w:val="10"/>
                <w:color w:val="auto"/>
              </w:rPr>
            </w:pP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0"/>
                <w:szCs w:val="10"/>
                <w:color w:val="auto"/>
              </w:rPr>
            </w:pPr>
          </w:p>
        </w:tc>
        <w:tc>
          <w:tcPr>
            <w:tcW w:w="4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74.1%</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$214,895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$432,621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$362,830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(2)(3)</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63,494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140,828</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88,396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306,776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278,389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573,449</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451,226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$12.8 million and $44.6 million were attributed to services performed in Mexico for the six months ended June 30, 2024 and 2023, respectively. International revenues of $44.5 million and $17.7 million were attributed to services performed in Brazil for the six months ended June 30, 2024 and 2023, respectively. Revenues attributed to other countries were not individually material for the periods presented.</w:t>
      </w:r>
    </w:p>
    <w:p>
      <w:pPr>
        <w:spacing w:after="0" w:line="1"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$62.1 million and $41.3 million were attributed to services performed in Mexico for the years ended December 31, 2023 and 2022, respectively. Revenues attributed to other countries were not individually material for the periods presented.</w:t>
      </w:r>
    </w:p>
    <w:p>
      <w:pPr>
        <w:spacing w:after="0" w:line="181" w:lineRule="exact"/>
        <w:rPr>
          <w:sz w:val="20"/>
          <w:szCs w:val="20"/>
          <w:color w:val="auto"/>
        </w:rPr>
      </w:pPr>
    </w:p>
    <w:p>
      <w:pPr>
        <w:ind w:left="120" w:right="60" w:firstLine="440"/>
        <w:spacing w:after="0" w:line="213" w:lineRule="auto"/>
        <w:rPr>
          <w:sz w:val="20"/>
          <w:szCs w:val="20"/>
          <w:color w:val="auto"/>
        </w:rPr>
      </w:pPr>
      <w:r>
        <w:rPr>
          <w:rFonts w:ascii="Times New Roman" w:cs="Times New Roman" w:eastAsia="Times New Roman" w:hAnsi="Times New Roman"/>
          <w:sz w:val="18"/>
          <w:szCs w:val="18"/>
          <w:color w:val="auto"/>
        </w:rPr>
        <w:t>The table below presents net book value of property, plant and equipment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of June 30, 2024 and December 31, 2023 and 2022 (in thousands):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3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548,080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522,347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365,769</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(2)(3)</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77,190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80,075</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83,480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625,270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602,422</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449,249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jc w:val="both"/>
        <w:ind w:left="540" w:right="3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$68.8 million was owned by certain Mexican subsidiaries of the Company as of June 30, 2024.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1" w:lineRule="exact"/>
        <w:rPr>
          <w:rFonts w:ascii="Times New Roman" w:cs="Times New Roman" w:eastAsia="Times New Roman" w:hAnsi="Times New Roman"/>
          <w:sz w:val="18"/>
          <w:szCs w:val="18"/>
          <w:color w:val="auto"/>
        </w:rPr>
      </w:pPr>
    </w:p>
    <w:p>
      <w:pPr>
        <w:jc w:val="both"/>
        <w:ind w:left="540" w:right="100" w:hanging="424"/>
        <w:spacing w:after="0" w:line="255"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$70.6 million and $74.5 million were owned by certain Mexican subsidiaries of the Company as of December 31, 2023 and 2022, respectively. Property, plant and equipment attributed to other countries were not individually material as of any of the dates presented.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Acquisition/Investment Activities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be party to various legal proceedings and claims from time to time in the ordinary course of our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Litigation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Despite favorable court rulings, Mexican maritime regulators have continued to limit our enjoyment of all privileges of a Mexican Naviera, including the ability to perform Mexican cabotage activities. Since the fourth quarter of 2023, we have moved all but one of our Mexican-flagged vessels into various non-Mexican international markets, while continuing to utilize our highly-skilled Mexican mariners and shore-based employees as part of our international services.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directors and executive officers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Kurt M. Cellar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Behrens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Bobby Jindal</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 Don Miller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Rosen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Admiral John Richardson, (USN Ret)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Advisory 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Emeritus: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D. Hornbeck</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Emeritus</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Officers: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President—Military, Engineering, Repair &amp; Maintenance</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98"/>
        </w:trPr>
        <w:tc>
          <w:tcPr>
            <w:tcW w:w="3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Samuel A. Giberga</w:t>
            </w:r>
          </w:p>
        </w:tc>
        <w:tc>
          <w:tcPr>
            <w:tcW w:w="4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66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Executive Vice President, General Counsel and Chief Compliance Officer &amp; Corporate</w:t>
            </w:r>
          </w:p>
        </w:tc>
      </w:tr>
      <w:tr>
        <w:trPr>
          <w:trHeight w:val="234"/>
        </w:trPr>
        <w:tc>
          <w:tcPr>
            <w:tcW w:w="3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M. Hornbeck </w:t>
      </w:r>
      <w:r>
        <w:rPr>
          <w:rFonts w:ascii="Times New Roman" w:cs="Times New Roman" w:eastAsia="Times New Roman" w:hAnsi="Times New Roman"/>
          <w:sz w:val="18"/>
          <w:szCs w:val="18"/>
          <w:color w:val="auto"/>
        </w:rPr>
        <w:t>is currently serving as our Chairman of the Board, President and Chief Executive Officer and founded Hornbeck in June 1997.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Kurt M. Cellar </w:t>
      </w:r>
      <w:r>
        <w:rPr>
          <w:rFonts w:ascii="Times New Roman" w:cs="Times New Roman" w:eastAsia="Times New Roman" w:hAnsi="Times New Roman"/>
          <w:sz w:val="18"/>
          <w:szCs w:val="18"/>
          <w:color w:val="auto"/>
        </w:rPr>
        <w:t>has served as our Lead Independent Director since September 2020. Mr. Cellar currently serves as Lead Independent Director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Evan Behrens </w:t>
      </w:r>
      <w:r>
        <w:rPr>
          <w:rFonts w:ascii="Times New Roman" w:cs="Times New Roman" w:eastAsia="Times New Roman" w:hAnsi="Times New Roman"/>
          <w:sz w:val="18"/>
          <w:szCs w:val="18"/>
          <w:color w:val="auto"/>
        </w:rPr>
        <w:t>has served as a director of Hornbeck since September 2020. Mr. Behrens currently serves as Managing Member of B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8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Bobby Jindal </w:t>
      </w:r>
      <w:r>
        <w:rPr>
          <w:rFonts w:ascii="Times New Roman" w:cs="Times New Roman" w:eastAsia="Times New Roman" w:hAnsi="Times New Roman"/>
          <w:sz w:val="18"/>
          <w:szCs w:val="18"/>
          <w:color w:val="auto"/>
        </w:rPr>
        <w:t>has served as a director of Hornbeck since September 2020. Since 2017, Mr. Jindal has served as an operating advisor to the 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Group.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Sylvia Jo Sydow Kerrigan </w:t>
      </w:r>
      <w:r>
        <w:rPr>
          <w:rFonts w:ascii="Times New Roman" w:cs="Times New Roman" w:eastAsia="Times New Roman" w:hAnsi="Times New Roman"/>
          <w:sz w:val="18"/>
          <w:szCs w:val="18"/>
          <w:color w:val="auto"/>
        </w:rPr>
        <w:t>has served as a director of Hornbeck since August 2022. Ms. Kerrigan currently serves as the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Legal Officer of Occidental Petroleum Company. She also serves on the board of directors of Diversified Energy, LLC and on the Board of Trustees for Southwestern University. She previously held various positions at Marathon Oil Corporation from 1995 to 2017, including serving as the Executive Vice President, General Counsel and Secretary and as the Chief Public Policy Officer and Chief Compliance Officer. Ms. Kerrigan worked at the United Nations Security Council’s Commission d’Indemnisation in Geneva, Switzerland from 2000 to 2002, serving as the senior legal officer responsible for arbitrating losses sustained by international oil companies following the 1990 Iraqi invasion of Kuwait. Ms. Kerrigan is past chairman of the State Bar of Texas International Law Section and a Life Fellow of the Texas Bar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Foundation. She also previously served as Executive Director of the Kay Bailey Hutchinson Energy Center for Business Law and Policy at the University of Texas in Austin.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McConeghy </w:t>
      </w:r>
      <w:r>
        <w:rPr>
          <w:rFonts w:ascii="Times New Roman" w:cs="Times New Roman" w:eastAsia="Times New Roman" w:hAnsi="Times New Roman"/>
          <w:sz w:val="18"/>
          <w:szCs w:val="18"/>
          <w:color w:val="auto"/>
        </w:rPr>
        <w:t>has served as a director of Hornbeck since February 2024. Mr. McConeghy is a Vice President in the Ares Credit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focuses on opportunistic credit investing. Prior to joining Ares in 2019, Mr. McConeghy was an Investment Banking Analyst at Moelis &amp; Company from July 2017 to June 2019. Previously, Mr. McConeghy was an Associate in PricewaterhouseCoopers’s Transaction Services Group from September 2015 to June 2017. He currently serves on the boards for the parent entities of Virgin Voyages, TriMark USA and Convene. Mr. McConeghy holds a B.S. from Villanova University in Accountancy. He holds a CPA license (inactive) in the Commonwealth of Pennsylvania. Mr. McConeghy is qualified to serve as a director based on his investment and financial expertise. In addition, Mr. McConeghy provides the perspective of a significant stockholder.</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Jacob Mercer </w:t>
      </w:r>
      <w:r>
        <w:rPr>
          <w:rFonts w:ascii="Times New Roman" w:cs="Times New Roman" w:eastAsia="Times New Roman" w:hAnsi="Times New Roman"/>
          <w:sz w:val="18"/>
          <w:szCs w:val="18"/>
          <w:color w:val="auto"/>
        </w:rPr>
        <w:t>has served as a director of Hornbeck since July 2023. Mr. Mercer is a Partner, Head of Special Situations and Restructuring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HC Minerals since March 2024, Malamute Energy, Inc. since 2016, and Currax Pharmaceuticals LLC since 2018. Past director roles include A.M. Castle &amp; Co. (formerly OTC: CTAM) from 2017 to 2020, GT Advanced Technologies Inc. (formerly NASDAQ: GTAT) from 2019 to 2021, Hycroft Mining Holding Corporation (NASDAQ: HYMC), formerly Hycroft Mining Corporation, from 2015 to 2020, Hi-Crush Inc. (formerly NYSE: HCR) from October 2020 to March 2024, Par Pacific Holdings (NYSE: PARR), formerly Par Petroleum Corporation, from 2012 to 2015, Platinum Energy Solutions, Inc. (formerly NYSE: FRAC) from 2013 to 2017, Piceance Energy, LLC (d/b/a Laramie Energy) from 2012 to 2015,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 In addition, Mr. Mercer provides the perspective of a significant stockholder.</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 Don Miller </w:t>
      </w:r>
      <w:r>
        <w:rPr>
          <w:rFonts w:ascii="Times New Roman" w:cs="Times New Roman" w:eastAsia="Times New Roman" w:hAnsi="Times New Roman"/>
          <w:sz w:val="18"/>
          <w:szCs w:val="18"/>
          <w:color w:val="auto"/>
        </w:rPr>
        <w:t>has served as a director of Hornbeck since February 2021. Mr. Miller is currently the Chief Financial Officer of Lake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NL. Prior to joining Lake Resources NL in December 2023, Mr. Miller served as President and Chief Executive Officer of Bristow 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Aaron Rosen </w:t>
      </w:r>
      <w:r>
        <w:rPr>
          <w:rFonts w:ascii="Times New Roman" w:cs="Times New Roman" w:eastAsia="Times New Roman" w:hAnsi="Times New Roman"/>
          <w:sz w:val="18"/>
          <w:szCs w:val="18"/>
          <w:color w:val="auto"/>
        </w:rPr>
        <w:t>has served as a director of Hornbeck since December 2022. Mr. Rosen is a Partner, Co-Head of Opportunistic Credit and Co-Portfolio Manager of Special Opportunities in the Ares Credit Group, where he focuses on investing across the various Ares fund platforms. Mr. Rosen serves as a member of the Ares Credit Group’s Opportunistic Credit Investment Committee and the Ares Private Equity Group’s Corporate Opportunities Investment Committee. Mr. Rosen currently serves as a director, member of the audit committee and member of the nominating, governance and sustainability committee of the board of directors of Savers Value Village, Inc., positions he has held since April 2021. He also currently serves on the boards of the parent entities of Consolidated Precision Products, TriMark USA, Virgin Voyages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Admiral John Richardson, (USN Ret) </w:t>
      </w:r>
      <w:r>
        <w:rPr>
          <w:rFonts w:ascii="Times New Roman" w:cs="Times New Roman" w:eastAsia="Times New Roman" w:hAnsi="Times New Roman"/>
          <w:sz w:val="18"/>
          <w:szCs w:val="18"/>
          <w:color w:val="auto"/>
        </w:rPr>
        <w:t>has served as an advisory director of Hornbeck since February 2023, and previously served as a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 Special Programs Committee and a member of the Aerospace Safety and Finance Committees of the board of The Boeing Company, an aerospace company; and as director and member of the Audit and Finance and 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 Massachusetts Institute of Technology and Woods Hole Oceanographic Institution, and a master’s degree in national security strategy from the National War College. We believe that Admiral Richardson (USN Ret) is qualified to serve as an advisory director because he is uniquely qualified to understand the Company’s operations, especially those in support of the United States government, and is well positioned to assist the Company in its diversification efforts.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Chairman Emeritus</w:t>
      </w:r>
    </w:p>
    <w:p>
      <w:pPr>
        <w:spacing w:after="0" w:line="117"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D. Hornbeck </w:t>
      </w:r>
      <w:r>
        <w:rPr>
          <w:rFonts w:ascii="Times New Roman" w:cs="Times New Roman" w:eastAsia="Times New Roman" w:hAnsi="Times New Roman"/>
          <w:sz w:val="18"/>
          <w:szCs w:val="18"/>
          <w:color w:val="auto"/>
        </w:rPr>
        <w:t>serves as Hornbeck’s Chairman Emeritus, a role he assumed in September 2020. An executive with over 50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2000. From 1969 to 1980, Mr. Larry Hornbeck served as an officer in various capacities, culminating as Chairman, President and Chief Executive Officer of Sealcraft Operators, Inc., a former NASDAQ-listed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directors of the original Hornbeck Offshore Services, Inc. and of Sealcraft Operators, Inc.,</w:t>
      </w:r>
    </w:p>
    <w:p>
      <w:pPr>
        <w:spacing w:after="0" w:line="5" w:lineRule="exact"/>
        <w:rPr>
          <w:sz w:val="20"/>
          <w:szCs w:val="20"/>
          <w:color w:val="auto"/>
        </w:rPr>
      </w:pPr>
    </w:p>
    <w:p>
      <w:pPr>
        <w:ind w:left="120" w:right="680"/>
        <w:spacing w:after="0" w:line="255" w:lineRule="auto"/>
        <w:rPr>
          <w:sz w:val="20"/>
          <w:szCs w:val="20"/>
          <w:color w:val="auto"/>
        </w:rPr>
      </w:pPr>
      <w:r>
        <w:rPr>
          <w:rFonts w:ascii="Times New Roman" w:cs="Times New Roman" w:eastAsia="Times New Roman" w:hAnsi="Times New Roman"/>
          <w:sz w:val="18"/>
          <w:szCs w:val="18"/>
          <w:color w:val="auto"/>
        </w:rPr>
        <w:t>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Officers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G. Annessa </w:t>
      </w:r>
      <w:r>
        <w:rPr>
          <w:rFonts w:ascii="Times New Roman" w:cs="Times New Roman" w:eastAsia="Times New Roman" w:hAnsi="Times New Roman"/>
          <w:sz w:val="18"/>
          <w:szCs w:val="18"/>
          <w:color w:val="auto"/>
        </w:rPr>
        <w:t>joined Hornbeck in September 1997 and is currently serving as our Executive Vice President—Military, Engineering, Repair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Mr. Annessa previously served as our Chief Operating Officer from February 2002 to September 2020. Prior to February 2002,</w:t>
      </w:r>
    </w:p>
    <w:p>
      <w:pPr>
        <w:spacing w:after="0" w:line="1"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mechanical engineer before joining Tidewater. Mr. Annessa received a degree in naval architecture and marine engineering from the University of Michigan in 1979.</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 Harp, Jr. </w:t>
      </w:r>
      <w:r>
        <w:rPr>
          <w:rFonts w:ascii="Times New Roman" w:cs="Times New Roman" w:eastAsia="Times New Roman" w:hAnsi="Times New Roman"/>
          <w:sz w:val="18"/>
          <w:szCs w:val="18"/>
          <w:color w:val="auto"/>
        </w:rPr>
        <w:t>joined Hornbeck in 2001 and is currently serving as our Executive Vice President and Chief Financial Officer. Mr. Harp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Financial Officer for Hornbeck since joining the Company. He was appointed Executive Vice President in February 2005.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In June 2023, Mr. Harp was appointed President of SEISCO, Inc. Mr. Harp is an inactive certified public accountant in Louisiana.</w:t>
      </w:r>
    </w:p>
    <w:p>
      <w:pPr>
        <w:spacing w:after="0" w:line="18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A. Giberga </w:t>
      </w:r>
      <w:r>
        <w:rPr>
          <w:rFonts w:ascii="Times New Roman" w:cs="Times New Roman" w:eastAsia="Times New Roman" w:hAnsi="Times New Roman"/>
          <w:sz w:val="18"/>
          <w:szCs w:val="18"/>
          <w:color w:val="auto"/>
        </w:rPr>
        <w:t>joined Hornbeck in January 2004 and is currently serving as our Executive Vice President, General Counsel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Prior to joining Hornbeck, Mr. Giberga was engaged in the private practice of law</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14 years. During his legal career, Mr. Giberga has worked extensively with marine and energy service companies in a variety of contexts with a concentration in general business, international and intellectual property matters.</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S. Cook </w:t>
      </w:r>
      <w:r>
        <w:rPr>
          <w:rFonts w:ascii="Times New Roman" w:cs="Times New Roman" w:eastAsia="Times New Roman" w:hAnsi="Times New Roman"/>
          <w:sz w:val="18"/>
          <w:szCs w:val="18"/>
          <w:color w:val="auto"/>
        </w:rPr>
        <w:t>is currently serving as our Executive Vice President and Chief Commercial Officer. Mr. Cook joined Hornbeck in May 2002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Information Officer and served in that role until August 2024. He was appointed Executive Vice President and Chief Commercial Officer in February 2013, and served as a Senior Vice President beginning in May 2008. Mr. Cook was initially designated an executive officer and appointed a Vice President of the Company in February 2006. Before joining Hornbeck, Mr. Cook held roles of increasing responsibility in the business consulting section of Arthur Andersen LLP from January 1992 to May 2002, ultimately serving as a Senior Manager. During his consulting career, he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Upon completion of this offering, our Board of Directors will initially consist of         directors. Thereafter, our Board of Directors will have discretion to determine the size of the Board of Directors, subject to the terms of our amended and restated certificate of incorporation. Subject to certain exceptions, newly created director positions resulting from an increase in size of the Board of Directors and vacancies may be filled by our Board of Directors. See “Description of Capital Stock and Warrants—Size of the Board of Directors and Vacancies.”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following the completion of this offering, the principal stockholders managed or advised by Ares or its affiliates (the “Ares principal stockholders”) will have the right to nominate to our Board of Directors (i) two nominees for so long as the Ares principal stockholders beneficially own   % or greater of our Fully Diluted Securities and (ii) one nominee for so long as the Ares principal stockholders beneficially own   % or greater, but less than   %, of our Fully Diluted Securities.         and         will be the initial director nominees of the Ares principal stockholders. The principal stockholders managed or advised by Highbridge or its affiliates (the “Highbridge principal stockholders”) will have the right to nominate to our Board of Directors one nominee for so long as the Highbridge principal stockholders beneficially own   % or greater of our Fully Diluted Securities.         will be the initial director nominee of the Highbridge principal stockholders. The principal stockholders managed or advised by Whitebox or its affiliates (the “Whitebox principal stockholders”) will have the right to nominate to our board of directors one nominee for so long as the Whitebox principal stockholders beneficially own   % or greater of our Fully Diluted Securities.         will be the initial director nominee of the Whitebox principal stockholders. See “Description of Capital Stock and Warrants— Director Nomination Rights.”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all times, the composition of our Board of Directors will remain compliant with NYSE rules and the Jones Act. Such compliance includes, among other things, a requirement that no more than a minority of the number of directors necessary to constitute a quorum of the Board of Directors (or any committee thereof) be non-U.S. citizens.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affirmatively determined that each of         are independent in accordance with the NYSE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Securityholders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this offering, we will amend and restate our existing securityholders agreement (the “A&amp;R Securityholders Agreement”). Pursuant to the A&amp;R Securityholders Agreement, the Company will agree to take all necessary action (subject to applicable law) to cause the election of each director designated by Ares, Highbridge or Whitebox in their capacities as Appointing Persons in accordance with the terms of our amended and restated certificate of incorporation. The A&amp;R Securityholders’ Agreement will also provide that the Company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three standing committees: an audit committee, a compensation committee and a nominating, corporate governance and sustainability committee. The composition and responsibilities of each committee following this offering are described below. Members serve on these committees until their resignation or until otherwise determined by our board.</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w:t>
      </w:r>
    </w:p>
    <w:p>
      <w:pPr>
        <w:spacing w:after="0" w:line="176"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Additionally, for so long as any of the principal stockholders own at least   % of our Fully Diluted Securities, each such principal stockholder will have the right to designate one member of each of the compensation committee and the nominating, corporate governance and sustainability committees of the Board of Directors. The chairperson and any additional committee members shall be determined by the Board of Directors and comply with the independence requirements of the NYSE and the SEC, as applicable, as well as the citizenship requirements of the Jones Act.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our audit committee will consist of         ,         and         , with         serving as chair. Our Board of Directors has determined that         and         each satisfy the independence requirements for audit committee members under the listing standards of the NYSE and Rule 10A-3 of the Exchange Act.         has been determined to be an audit committee “financial expert” as 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9" w:lineRule="exact"/>
        <w:rPr>
          <w:sz w:val="20"/>
          <w:szCs w:val="20"/>
          <w:color w:val="auto"/>
        </w:rPr>
      </w:pPr>
    </w:p>
    <w:p>
      <w:pPr>
        <w:ind w:left="5480" w:right="100" w:hanging="4932"/>
        <w:spacing w:after="0" w:line="454" w:lineRule="auto"/>
        <w:tabs>
          <w:tab w:leader="none" w:pos="9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 136</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30" w:lineRule="exact"/>
        <w:rPr>
          <w:rFonts w:ascii="Times New Roman" w:cs="Times New Roman" w:eastAsia="Times New Roman" w:hAnsi="Times New Roman"/>
          <w:sz w:val="18"/>
          <w:szCs w:val="18"/>
          <w:color w:val="auto"/>
        </w:rPr>
      </w:pPr>
    </w:p>
    <w:p>
      <w:pPr>
        <w:ind w:left="980" w:right="700" w:hanging="43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processes;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30" w:lineRule="exact"/>
        <w:rPr>
          <w:rFonts w:ascii="Times New Roman" w:cs="Times New Roman" w:eastAsia="Times New Roman" w:hAnsi="Times New Roman"/>
          <w:sz w:val="18"/>
          <w:szCs w:val="18"/>
          <w:color w:val="auto"/>
        </w:rPr>
      </w:pPr>
    </w:p>
    <w:p>
      <w:pPr>
        <w:ind w:left="980" w:right="180" w:hanging="432"/>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including with respect to the review of related party transactions.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compensation committee will consist of         ,         and         , with         serving as chair. The compensation committee will be responsible for, among other things:</w:t>
      </w:r>
    </w:p>
    <w:p>
      <w:pPr>
        <w:spacing w:after="0" w:line="189" w:lineRule="exact"/>
        <w:rPr>
          <w:sz w:val="20"/>
          <w:szCs w:val="20"/>
          <w:color w:val="auto"/>
        </w:rPr>
      </w:pPr>
    </w:p>
    <w:p>
      <w:pPr>
        <w:ind w:left="980" w:right="80" w:hanging="432"/>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5" w:lineRule="exact"/>
        <w:rPr>
          <w:rFonts w:ascii="Times New Roman" w:cs="Times New Roman" w:eastAsia="Times New Roman" w:hAnsi="Times New Roman"/>
          <w:sz w:val="18"/>
          <w:szCs w:val="18"/>
          <w:color w:val="auto"/>
        </w:rPr>
      </w:pPr>
    </w:p>
    <w:p>
      <w:pPr>
        <w:ind w:left="980" w:right="260" w:hanging="432"/>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with respect to the compensation of our directors;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Corporate Governance and Sustainability Committee</w:t>
      </w:r>
    </w:p>
    <w:p>
      <w:pPr>
        <w:spacing w:after="0" w:line="121" w:lineRule="exact"/>
        <w:rPr>
          <w:sz w:val="20"/>
          <w:szCs w:val="20"/>
          <w:color w:val="auto"/>
        </w:rPr>
      </w:pPr>
    </w:p>
    <w:p>
      <w:pPr>
        <w:ind w:left="560"/>
        <w:spacing w:after="0"/>
        <w:tabs>
          <w:tab w:leader="none" w:pos="9920" w:val="left"/>
          <w:tab w:leader="none" w:pos="10100" w:val="left"/>
          <w:tab w:leader="none" w:pos="10280" w:val="left"/>
          <w:tab w:leader="none" w:pos="10460" w:val="left"/>
        </w:tabs>
        <w:rPr>
          <w:sz w:val="20"/>
          <w:szCs w:val="20"/>
          <w:color w:val="auto"/>
        </w:rPr>
      </w:pPr>
      <w:r>
        <w:rPr>
          <w:rFonts w:ascii="Times New Roman" w:cs="Times New Roman" w:eastAsia="Times New Roman" w:hAnsi="Times New Roman"/>
          <w:sz w:val="18"/>
          <w:szCs w:val="18"/>
          <w:color w:val="auto"/>
        </w:rPr>
        <w:t>Upon completion of this offering, we expect our nominating, corporate governance and sustainability committee will consist of  </w:t>
        <w:tab/>
        <w:t> </w:t>
        <w:tab/>
        <w:t> </w:t>
        <w:tab/>
        <w:t> </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        and         , with         serving as chair. The nominating, corporate governance and sustainability committee is responsible for, among other things:</w:t>
      </w:r>
    </w:p>
    <w:p>
      <w:pPr>
        <w:spacing w:after="0" w:line="87" w:lineRule="exact"/>
        <w:rPr>
          <w:sz w:val="20"/>
          <w:szCs w:val="20"/>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plan;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nominating, corporate governance and sustainability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Codes of Conduct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2023 (“Fiscal 2023”), our named executive officers (“NEOs”) were:</w:t>
      </w:r>
    </w:p>
    <w:p>
      <w:pPr>
        <w:spacing w:after="0" w:line="85" w:lineRule="exact"/>
        <w:rPr>
          <w:sz w:val="20"/>
          <w:szCs w:val="20"/>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M. Hornbeck, Chairman of the Board, President and Chief Executive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O. Harp, Jr., Executive Vice President and Chief Financial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A. Giberga, Executive Vice President, General Counsel and Chief Compliance Officer and Corporate Secretary;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Cook, Executive Vice President and Chief Commercial Officer;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G. Annessa, Executive Vice President—Military, Engineering, Repair &amp; Maintenance.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our compensation committee and our Board of Directors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2023 is not necessarily indicative of how we will compensate our NEOs after this offering.</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programs reflect our entrepreneurial and innovative culture and philosophy. Executives, including our NEOs, (i) are hired to devise and execute strategies that create long-term stockholder value consistent with our mission statement and core values and (ii) are appropriately rewarded for doing so.</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83" w:lineRule="exact"/>
        <w:rPr>
          <w:sz w:val="20"/>
          <w:szCs w:val="20"/>
          <w:color w:val="auto"/>
        </w:rPr>
      </w:pPr>
    </w:p>
    <w:p>
      <w:pPr>
        <w:ind w:left="980" w:right="200" w:hanging="432"/>
        <w:spacing w:after="0" w:line="284"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We reward decision-making that is designed to achieve operating results that increase stockholder value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and that compare favorably to the operating results of our peers.</w:t>
      </w:r>
    </w:p>
    <w:p>
      <w:pPr>
        <w:spacing w:after="0" w:line="63" w:lineRule="exact"/>
        <w:rPr>
          <w:rFonts w:ascii="Times New Roman" w:cs="Times New Roman" w:eastAsia="Times New Roman" w:hAnsi="Times New Roman"/>
          <w:sz w:val="18"/>
          <w:szCs w:val="18"/>
          <w:color w:val="auto"/>
        </w:rPr>
      </w:pPr>
    </w:p>
    <w:p>
      <w:pPr>
        <w:ind w:left="980" w:right="400" w:hanging="432"/>
        <w:spacing w:after="0" w:line="284"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Excellence</w:t>
      </w:r>
      <w:r>
        <w:rPr>
          <w:rFonts w:ascii="Times New Roman" w:cs="Times New Roman" w:eastAsia="Times New Roman" w:hAnsi="Times New Roman"/>
          <w:sz w:val="18"/>
          <w:szCs w:val="18"/>
          <w:color w:val="auto"/>
        </w:rPr>
        <w:t>. We expect our executive officers to discharge their duties with excellence, professionalism and a high level of enthusiasm,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diligence, analytical rigor, business acumen and attention to detail.</w:t>
      </w:r>
    </w:p>
    <w:p>
      <w:pPr>
        <w:spacing w:after="0" w:line="63"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Leadership</w:t>
      </w:r>
      <w:r>
        <w:rPr>
          <w:rFonts w:ascii="Times New Roman" w:cs="Times New Roman" w:eastAsia="Times New Roman" w:hAnsi="Times New Roman"/>
          <w:sz w:val="18"/>
          <w:szCs w:val="18"/>
          <w:color w:val="auto"/>
        </w:rPr>
        <w:t>. Executives of the Company are expected to demonstrate leadership.</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Teamwork</w:t>
      </w:r>
      <w:r>
        <w:rPr>
          <w:rFonts w:ascii="Times New Roman" w:cs="Times New Roman" w:eastAsia="Times New Roman" w:hAnsi="Times New Roman"/>
          <w:sz w:val="18"/>
          <w:szCs w:val="18"/>
          <w:color w:val="auto"/>
        </w:rPr>
        <w:t>. Executives are evaluated as members of a team, not merely as individuals.</w:t>
      </w:r>
    </w:p>
    <w:p>
      <w:pPr>
        <w:spacing w:after="0" w:line="130" w:lineRule="exact"/>
        <w:rPr>
          <w:rFonts w:ascii="Times New Roman" w:cs="Times New Roman" w:eastAsia="Times New Roman" w:hAnsi="Times New Roman"/>
          <w:sz w:val="18"/>
          <w:szCs w:val="18"/>
          <w:color w:val="auto"/>
        </w:rPr>
      </w:pPr>
    </w:p>
    <w:p>
      <w:pPr>
        <w:ind w:left="980" w:right="40" w:hanging="432"/>
        <w:spacing w:after="0" w:line="267"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Focus</w:t>
      </w:r>
      <w:r>
        <w:rPr>
          <w:rFonts w:ascii="Times New Roman" w:cs="Times New Roman" w:eastAsia="Times New Roman" w:hAnsi="Times New Roman"/>
          <w:sz w:val="18"/>
          <w:szCs w:val="18"/>
          <w:color w:val="auto"/>
        </w:rPr>
        <w:t>. We believe executives need to focus not only on our short-term performance, but also on our long-term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we compensate our executives in a manner that incentivizes them to manage our business in a way that enables us to meet our long-range objectives, as well as our short-term goals.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980" w:right="40" w:hanging="432"/>
        <w:spacing w:after="0" w:line="284"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Loyalty</w:t>
      </w:r>
      <w:r>
        <w:rPr>
          <w:rFonts w:ascii="Times New Roman" w:cs="Times New Roman" w:eastAsia="Times New Roman" w:hAnsi="Times New Roman"/>
          <w:sz w:val="18"/>
          <w:szCs w:val="18"/>
          <w:color w:val="auto"/>
        </w:rPr>
        <w:t>. We promote a culture of ownership throughout the Company and reward employees, including our NEOs, who remain dedicated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over the long-term with equity ownership opportunities, as well as other forms of long-term compensation.</w:t>
      </w:r>
    </w:p>
    <w:p>
      <w:pPr>
        <w:spacing w:after="0" w:line="63" w:lineRule="exact"/>
        <w:rPr>
          <w:rFonts w:ascii="Times New Roman" w:cs="Times New Roman" w:eastAsia="Times New Roman" w:hAnsi="Times New Roman"/>
          <w:sz w:val="18"/>
          <w:szCs w:val="18"/>
          <w:color w:val="auto"/>
        </w:rPr>
      </w:pPr>
    </w:p>
    <w:p>
      <w:pPr>
        <w:ind w:left="980" w:right="160" w:hanging="432"/>
        <w:spacing w:after="0" w:line="284"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Prudent Operating Practices</w:t>
      </w:r>
      <w:r>
        <w:rPr>
          <w:rFonts w:ascii="Times New Roman" w:cs="Times New Roman" w:eastAsia="Times New Roman" w:hAnsi="Times New Roman"/>
          <w:sz w:val="18"/>
          <w:szCs w:val="18"/>
          <w:color w:val="auto"/>
        </w:rPr>
        <w:t>. The Company expects executive decision-making that promotes safe, effective, compliant and prudent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w:t>
      </w:r>
    </w:p>
    <w:p>
      <w:pPr>
        <w:spacing w:after="0" w:line="16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Procedures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74" w:lineRule="exact"/>
        <w:rPr>
          <w:sz w:val="20"/>
          <w:szCs w:val="20"/>
          <w:color w:val="auto"/>
        </w:rPr>
      </w:pPr>
    </w:p>
    <w:p>
      <w:pPr>
        <w:ind w:left="120" w:right="6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Role of the Compensation Committee. </w:t>
      </w:r>
      <w:r>
        <w:rPr>
          <w:rFonts w:ascii="Times New Roman" w:cs="Times New Roman" w:eastAsia="Times New Roman" w:hAnsi="Times New Roman"/>
          <w:sz w:val="18"/>
          <w:szCs w:val="18"/>
          <w:color w:val="auto"/>
        </w:rPr>
        <w:t>Our compensation committee is comprised solely of directors who (i) meet the independence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Section 303A of the NYSE Listed Company Manual and the provisions of Section 952 of the Dodd-Frank Act and any rules or regulations promulgated thereunder and (ii) qualify as “Non-Employee Directors” under Rule 16b-3 of the Exchange Act.</w:t>
      </w:r>
    </w:p>
    <w:p>
      <w:pPr>
        <w:spacing w:after="0" w:line="17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2020 Management Incentive Plan. The compensation awards approved by the compensation committee are part of the annual budget approved by the Board of Directors, which is typically approved at the same time. When appropriate, the compensation committee recommends compensation or benefit policies or plans (or amendments to existing policies or plans) and amendments to employment agreements with our executive officers to the full Board of Directors.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9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Consultant. </w:t>
      </w:r>
      <w:r>
        <w:rPr>
          <w:rFonts w:ascii="Times New Roman" w:cs="Times New Roman" w:eastAsia="Times New Roman" w:hAnsi="Times New Roman"/>
          <w:sz w:val="18"/>
          <w:szCs w:val="18"/>
          <w:color w:val="auto"/>
        </w:rPr>
        <w:t>The compensation committee has the authority to directly engage independent consultants. In late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evaluated several independent consultants and engaged Lyons Benenson &amp; Co. (“LB&amp;Co.”) to perform a full compensation review and analysis for the fiscal year ended December 31, 2022 (“Fiscal 2022”). As part of their review, LB&amp;Co. provided advice on the compensation strategy and program design, compared the Company’s compensation programs with those of other companies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reviewed and recommended an updated peer group. LB&amp;Co. was again retained to review and make recommendations concerning compensation for Fiscal 2023. As discussed below in the section titled “</w:t>
      </w:r>
      <w:r>
        <w:rPr>
          <w:rFonts w:ascii="Times New Roman" w:cs="Times New Roman" w:eastAsia="Times New Roman" w:hAnsi="Times New Roman"/>
          <w:sz w:val="18"/>
          <w:szCs w:val="18"/>
          <w:i w:val="1"/>
          <w:iCs w:val="1"/>
          <w:color w:val="auto"/>
        </w:rPr>
        <w:t>Go-Forward Compensation Arrangements—Compensation Consultant and Peer Group</w:t>
      </w:r>
      <w:r>
        <w:rPr>
          <w:rFonts w:ascii="Times New Roman" w:cs="Times New Roman" w:eastAsia="Times New Roman" w:hAnsi="Times New Roman"/>
          <w:sz w:val="18"/>
          <w:szCs w:val="18"/>
          <w:color w:val="auto"/>
        </w:rPr>
        <w:t>,” the compensation committee more recently retained Frederic W. Cook &amp; Co., Inc. (“FW Cook”) to advise the Company on compensation as the Company prepared for a public offering.</w:t>
      </w:r>
    </w:p>
    <w:p>
      <w:pPr>
        <w:spacing w:after="0" w:line="17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Benchmarks. </w:t>
      </w:r>
      <w:r>
        <w:rPr>
          <w:rFonts w:ascii="Times New Roman" w:cs="Times New Roman" w:eastAsia="Times New Roman" w:hAnsi="Times New Roman"/>
          <w:sz w:val="18"/>
          <w:szCs w:val="18"/>
          <w:color w:val="auto"/>
        </w:rPr>
        <w:t>We compete with other companies for executive talent. In doing so, we consider prevailing executive compensation trends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NEOs of the groups described above.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Industry Peer Group Used to Benchmark 2021 - 2023 Executive Compensation</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Bristow Group Inc. (VTOL)</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Dril-Quip, Inc. (DRQ)</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Forum Energy Technologies, Inc. (FET)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Great Lakes Dredge &amp; Dock Corporation (GLDD)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Helix Energy Solutions Group, Inc. (HLX)</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Kirby Corporation (KEX)</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Newpark Resources, Inc. (NR)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Oceaneering International, Inc. (OII)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Oil States International, Inc. (OIS)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SEACOR Marine Holdings Inc. (SMHI)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TETRA Technologies, Inc. (TTI)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Tidewater Inc. (TDW)</w:t>
      </w:r>
    </w:p>
    <w:p>
      <w:pPr>
        <w:spacing w:after="0" w:line="2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Role of Executive Management in the Compensation Process. </w:t>
      </w:r>
      <w:r>
        <w:rPr>
          <w:rFonts w:ascii="Times New Roman" w:cs="Times New Roman" w:eastAsia="Times New Roman" w:hAnsi="Times New Roman"/>
          <w:sz w:val="18"/>
          <w:szCs w:val="18"/>
          <w:color w:val="auto"/>
        </w:rPr>
        <w:t>The compensation committee works with executive management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Incentive Cash Compensation Metrics. </w:t>
      </w:r>
      <w:r>
        <w:rPr>
          <w:rFonts w:ascii="Times New Roman" w:cs="Times New Roman" w:eastAsia="Times New Roman" w:hAnsi="Times New Roman"/>
          <w:sz w:val="18"/>
          <w:szCs w:val="18"/>
          <w:color w:val="auto"/>
        </w:rPr>
        <w:t>The Company’s performance measures for incentive cash compensation generally consist of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relative safety performance and a discretionary component tied to the Company’s achievement of certain strategic objectives set by management and the Board of Directors.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of Directors. This approach historically resulted in Adjusted EBITDA targets that were designed to incentivize management to perform at demanding levels. The Company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w:t>
      </w:r>
    </w:p>
    <w:p>
      <w:pPr>
        <w:spacing w:after="0" w:line="19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executive compensation program, which was set by our compensation committee, consists of the following components:</w:t>
      </w:r>
    </w:p>
    <w:p>
      <w:pPr>
        <w:spacing w:after="0" w:line="131" w:lineRule="exact"/>
        <w:rPr>
          <w:sz w:val="20"/>
          <w:szCs w:val="20"/>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time- or performance-based restricted stock units or options;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225"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Mix</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 which remained unchanged for Fiscal 2023.</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NEOs in Fiscal 2023, Fiscal 2022 and the fiscal year ended December 31, 2021 (“Fiscal 2021”) are set forth in the Summary Compensation Table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94" w:lineRule="exact"/>
        <w:rPr>
          <w:sz w:val="20"/>
          <w:szCs w:val="20"/>
          <w:color w:val="auto"/>
        </w:rPr>
      </w:pPr>
    </w:p>
    <w:p>
      <w:pPr>
        <w:ind w:left="980" w:hanging="432"/>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Target Bonus, if threshold levels of performance for that fiscal year are achieved;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Target Bonus, if target levels of performance for that fiscal year are achieved;</w:t>
      </w:r>
    </w:p>
    <w:p>
      <w:pPr>
        <w:spacing w:after="0" w:line="130" w:lineRule="exact"/>
        <w:rPr>
          <w:rFonts w:ascii="Times New Roman" w:cs="Times New Roman" w:eastAsia="Times New Roman" w:hAnsi="Times New Roman"/>
          <w:sz w:val="18"/>
          <w:szCs w:val="18"/>
          <w:color w:val="auto"/>
        </w:rPr>
      </w:pPr>
    </w:p>
    <w:p>
      <w:pPr>
        <w:ind w:left="5480" w:right="2920" w:hanging="4932"/>
        <w:spacing w:after="0" w:line="454" w:lineRule="auto"/>
        <w:tabs>
          <w:tab w:leader="none" w:pos="9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Target Bonus, if maximum levels of performance for that fiscal year are achieved; and 143</w:t>
      </w:r>
    </w:p>
    <w:p>
      <w:pPr>
        <w:sectPr>
          <w:pgSz w:w="11900" w:h="16838" w:orient="portrait"/>
          <w:cols w:equalWidth="0" w:num="1">
            <w:col w:w="11040"/>
          </w:cols>
          <w:pgMar w:left="320" w:top="455" w:right="5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80" w:hanging="432"/>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Target Bonus determined in accordance with the plan established by the compensation committee as described below, if achieved performance for the fiscal year is in between threshold, target and maximum levels of performance.</w:t>
      </w:r>
    </w:p>
    <w:p>
      <w:pPr>
        <w:spacing w:after="0" w:line="162"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 (weighted 10%). In Fiscal 2022 and Fiscal 2023, in an effort to motivate management to continue to make decisions that advance the Company’s strategic objectives, the compensation committee reduced the Adjusted EBITDA weighting to 80%, maintained the TRIR weighting at 10% and introduced a 10% weighted Strategic Plan component based upon the Board of Directors’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TRIR target uses annual industry safety benchmarks of IADC, ISOA and IMCA. Previously, we included the safety benchmark of OMSA; however, OMSA has discontinued publicizing its benchmark, so we no longer use OMSA as one of our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Fiscal 2023,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Goal</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Threshold Goal</w:t>
            </w:r>
          </w:p>
        </w:tc>
        <w:tc>
          <w:tcPr>
            <w:tcW w:w="1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Goal</w:t>
            </w: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Payout</w:t>
            </w:r>
          </w:p>
        </w:tc>
        <w:tc>
          <w:tcPr>
            <w:tcW w:w="1920" w:type="dxa"/>
            <w:vAlign w:val="bottom"/>
            <w:gridSpan w:val="2"/>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0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98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 of 50%</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 of 100%</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200% of Base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0" w:type="dxa"/>
            <w:vAlign w:val="bottom"/>
          </w:tcPr>
          <w:p>
            <w:pPr>
              <w:spacing w:after="0"/>
              <w:rPr>
                <w:sz w:val="1"/>
                <w:szCs w:val="1"/>
                <w:color w:val="auto"/>
              </w:rPr>
            </w:pPr>
          </w:p>
        </w:tc>
      </w:tr>
      <w:tr>
        <w:trPr>
          <w:trHeight w:val="108"/>
        </w:trPr>
        <w:tc>
          <w:tcPr>
            <w:tcW w:w="8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Adjusted</w:t>
            </w:r>
          </w:p>
        </w:tc>
        <w:tc>
          <w:tcPr>
            <w:tcW w:w="220" w:type="dxa"/>
            <w:vAlign w:val="bottom"/>
          </w:tcPr>
          <w:p>
            <w:pPr>
              <w:spacing w:after="0"/>
              <w:rPr>
                <w:sz w:val="9"/>
                <w:szCs w:val="9"/>
                <w:color w:val="auto"/>
              </w:rPr>
            </w:pPr>
          </w:p>
        </w:tc>
        <w:tc>
          <w:tcPr>
            <w:tcW w:w="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50% of the Adjusted EBITDA</w:t>
            </w:r>
          </w:p>
        </w:tc>
        <w:tc>
          <w:tcPr>
            <w:tcW w:w="100" w:type="dxa"/>
            <w:vAlign w:val="bottom"/>
          </w:tcPr>
          <w:p>
            <w:pPr>
              <w:spacing w:after="0"/>
              <w:rPr>
                <w:sz w:val="9"/>
                <w:szCs w:val="9"/>
                <w:color w:val="auto"/>
              </w:rPr>
            </w:pPr>
          </w:p>
        </w:tc>
        <w:tc>
          <w:tcPr>
            <w:tcW w:w="9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40% of Base</w:t>
            </w:r>
          </w:p>
        </w:tc>
        <w:tc>
          <w:tcPr>
            <w:tcW w:w="100" w:type="dxa"/>
            <w:vAlign w:val="bottom"/>
          </w:tcPr>
          <w:p>
            <w:pPr>
              <w:spacing w:after="0"/>
              <w:rPr>
                <w:sz w:val="9"/>
                <w:szCs w:val="9"/>
                <w:color w:val="auto"/>
              </w:rPr>
            </w:pPr>
          </w:p>
        </w:tc>
        <w:tc>
          <w:tcPr>
            <w:tcW w:w="18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100% of the Adjusted EBITDA</w:t>
            </w:r>
          </w:p>
        </w:tc>
        <w:tc>
          <w:tcPr>
            <w:tcW w:w="120" w:type="dxa"/>
            <w:vAlign w:val="bottom"/>
          </w:tcPr>
          <w:p>
            <w:pPr>
              <w:spacing w:after="0"/>
              <w:rPr>
                <w:sz w:val="9"/>
                <w:szCs w:val="9"/>
                <w:color w:val="auto"/>
              </w:rPr>
            </w:pPr>
          </w:p>
        </w:tc>
        <w:tc>
          <w:tcPr>
            <w:tcW w:w="8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80% of Base</w:t>
            </w:r>
          </w:p>
        </w:tc>
        <w:tc>
          <w:tcPr>
            <w:tcW w:w="100" w:type="dxa"/>
            <w:vAlign w:val="bottom"/>
          </w:tcPr>
          <w:p>
            <w:pPr>
              <w:spacing w:after="0"/>
              <w:rPr>
                <w:sz w:val="9"/>
                <w:szCs w:val="9"/>
                <w:color w:val="auto"/>
              </w:rPr>
            </w:pPr>
          </w:p>
        </w:tc>
        <w:tc>
          <w:tcPr>
            <w:tcW w:w="18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200% of the Adjusted EBITDA</w:t>
            </w:r>
          </w:p>
        </w:tc>
        <w:tc>
          <w:tcPr>
            <w:tcW w:w="40" w:type="dxa"/>
            <w:vAlign w:val="bottom"/>
          </w:tcPr>
          <w:p>
            <w:pPr>
              <w:spacing w:after="0"/>
              <w:rPr>
                <w:sz w:val="9"/>
                <w:szCs w:val="9"/>
                <w:color w:val="auto"/>
              </w:rPr>
            </w:pPr>
          </w:p>
        </w:tc>
        <w:tc>
          <w:tcPr>
            <w:tcW w:w="9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160% of Base</w:t>
            </w:r>
          </w:p>
        </w:tc>
        <w:tc>
          <w:tcPr>
            <w:tcW w:w="0" w:type="dxa"/>
            <w:vAlign w:val="bottom"/>
          </w:tcPr>
          <w:p>
            <w:pPr>
              <w:spacing w:after="0"/>
              <w:rPr>
                <w:sz w:val="1"/>
                <w:szCs w:val="1"/>
                <w:color w:val="auto"/>
              </w:rPr>
            </w:pPr>
          </w:p>
        </w:tc>
      </w:tr>
      <w:tr>
        <w:trPr>
          <w:trHeight w:val="19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Salary</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Target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Salary</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Target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6"/>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TRIR less than the lowest average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5% of Base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TRIR less than the lowest of</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 of Base</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TRIR at least 10% less than the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of Base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all three annual safety</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any one of the three annual</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Company’s three best annual</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benchmarks for any year falling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safety benchmarks for any year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TRIRs achieved in the last ten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within the most recent three years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falling within the most recent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years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compiled by IADC, ISOA and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three years compiled by IADC,</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IMCA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ISOA and IMCA.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 discussion concerning our use of TRIR in connection with compensation-related matters is found in the section captioned “Compensation Committee Procedures.”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For Fiscal 2023, the compensation committee decided that the Company’s Adjusted EBITDA for purposes of the cash incentive compensation calculations would exclude incremental EBITDA from growth capital, asset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sales and any mergers and acquisitions that increased gross debt or resulted in more equity being issued, which would be addressed through alternative compensatory measures, including, but not limited to, special, event-driven bonuses and/or the Strategic Plan component. With these adjustments, for Fiscal 2023, the Company’s Adjusted EBITDA was $222.8 million, which would have entitled each of the NEOs to receive a cash incentive compensation payout (in respect of the Adjusted EBITDA vesting criteria and based on the Applicable Percentage) equal to 58% of base salary (i.e., 73% of Base Salary x the Applicable Percentage of 80%). At the end of Fiscal 2023, in determining the final payout under the Adjusted EBITDA component, the compensation committee exercised its discretion to make additional adjustments to the Company’s Adjusted EBITDA for purpose of the cash incentive compensation, consistent with the compensation committee’s historical approach of making adjustments only in certain limited situations, including adjustments related to items that were unanticipated at the time when the Adjusted EBITDA target was originally set. These adjustments were primarily in respect of certain beneficial, un-budgeted vessel activity in Fiscal 2023. Specifically, in Fiscal 2023, as a result of a change in external market conditions, management accelerated the un-budgeted regulatory drydocking of six vessels to Fiscal 2023 from Fiscal 2024 and effected the un-budgeted reactivation of a vessel, in each case, for the benefit of the Company despite such action having an adverse effect on each NEO’s cash incentive compensation due to not being anticipated or budgeted for Fiscal 2023 when the Adjusted EBITDA target was originally set. As such, the compensation committee recalculated the Adjusted EBITDA target as though such expenditures had been budgeted for Fiscal 2023. In addition, the compensation committee considered the effect of certain unforeseen challenges that the Company faced in Mexico at the end of Fiscal 2023, which materially impacted contracted revenue, as being beyond management’s control, thus justifying an additional adjustment to the Adjusted EBITDA target. Following these adjustments, each of the NEOs was entitled to receive a cash incentive compensation payout (in respect of the Adjusted EBITDA vesting criteria and based on the Applicable Percentage) equal to 79% of base salary (i.e., 99% of Base Salary x the Applicable Percentage of 80%).</w:t>
      </w:r>
    </w:p>
    <w:p>
      <w:pPr>
        <w:spacing w:after="0" w:line="17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TRIR was 0.09, which entitled each of the NEOs to receive cash incentive compensation (in respect of the TRIR vesting criteria and based on the Applicable Percentage) equal to 19% of base salary (i.e., 190% of Base Salary x the Applicable Percentage of 10%).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Strategic Plan component of cash incentive compensation, comprising 10% of the aggregate potential cash incentive compensation that can be earned, is awarded based upon the Board of Directors’ year-end assessment of various qualitative and quantitative factors that it deems relevant, in its sole discretion, to determine progress made by the Company toward achieving objectives set forth in the Company’s Fiscal 2021-2023 Strategic Plan. For Fiscal 2023 performance, the compensation committee considered the continued progress toward the Company’s goals of right-sizing the fleet, the Company’s continued successful capitalization on oilfield recovery, the Company’s continued progress toward diversification of its core revenue stream, the successful activation of the ECO fleet and the significant time, effort and resources devoted to various projects aimed at increasing the Company’s scale and asset base necessary to position the Company for a public offering. Based on these factors, the compensation committee elected to award each NEO cash incentive compensation (in respect of the Strategic Plan component and based on the Applicable Percentage) equal to 20% of base salary (i.e., 200% of Base Salary x the Applicable Percentage of 10%), resulting in a combined weighted-average cash incentive compensation payout equal to 118% of base salary to each NEO for Fiscal 2023.</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extraordinary circumstances, the compensation committee can award event-driven or accomplishment-specific bonuses to the NEOs, which would be independent of the cash incentive compensation derived under the formulaic approach. In Fiscal 2023, the Company successfully resolved our litigation with Gulf Island (the “GIFI litigation”), which was a key accomplishment of management in Fiscal 2023 that benefited the Company. The compensation committee awarded a one-time accomplishment-specific bonus of $500,000 that was shared among the NEOs for the successful resolution of the GIFI litigation (the “One-Time GIFI Litigation Bonus”).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Combined, the formulaic and accomplishment-specific bonuses resulted in an aggregate bonus payout equal to 139% of the collective NEO base salaries.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Compensation</w:t>
      </w:r>
    </w:p>
    <w:p>
      <w:pPr>
        <w:spacing w:after="0" w:line="12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We believe that the interests of our stockholders are best served when a meaningful portion of executive and management compensation is tied to equity ownership. On September 4, 2020, upon emergence from 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granted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of Directors, the compensation committee is authorized, among other things, (i) to select the executive officers to whom equity awards will be granted;</w:t>
      </w:r>
    </w:p>
    <w:p>
      <w:pPr>
        <w:spacing w:after="0" w:line="1" w:lineRule="exact"/>
        <w:rPr>
          <w:sz w:val="20"/>
          <w:szCs w:val="20"/>
          <w:color w:val="auto"/>
        </w:rPr>
      </w:pPr>
    </w:p>
    <w:p>
      <w:pPr>
        <w:jc w:val="both"/>
        <w:ind w:left="120" w:hanging="4"/>
        <w:spacing w:after="0" w:line="290" w:lineRule="auto"/>
        <w:tabs>
          <w:tab w:leader="none" w:pos="38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5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March of 2023, we granted RSUs to each of our NEOs. We did not grant any PSUs to any of our NEOs in Fiscal 2023. The RSUs are subject to time-based vesting conditions only. One-half of the RSU award vested and was settled immediately on the grant date, and the remainder vested and became settleable (or will vest and become settleable, as applicable) in three equal tranches on February 15th of each of 2024, 2025 and 2026,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RSU granted to our NEOs has a right to be credited with dividends paid in respect of one share of our common stock (“Dividend Equivalents”). Dividend Equivalents credited to an NEO’s respective account and attributable to any particular RSU (and earnings thereon, if applicable) will be distributed to such NEO upon settlement of such RSU, as applicable, and if such RSU is forfeited, such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our common stock, shares of our common stock. No dividends have been declared by the Company.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Fiscal 2023, we granted time-based RSUs to our NEOs as set forth below.</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2023 RSUs</w:t>
            </w:r>
          </w:p>
        </w:tc>
      </w:tr>
      <w:tr>
        <w:trPr>
          <w:trHeight w:val="203"/>
        </w:trPr>
        <w:tc>
          <w:tcPr>
            <w:tcW w:w="2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3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112,826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4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47,012</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4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47,011</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4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47,011</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4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47,012</w:t>
            </w:r>
          </w:p>
        </w:tc>
      </w:tr>
      <w:tr>
        <w:trPr>
          <w:trHeight w:val="365"/>
        </w:trPr>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6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146</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Benefits and Perquisites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provide our NEOs and our other employees with certain perquisites and other personal benefits as part of providing a competitive executive compensation program and for employee retention. We do not gross-up our 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8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0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000" w:type="dxa"/>
            <w:vAlign w:val="bottom"/>
            <w:gridSpan w:val="2"/>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Certain Managers</w:t>
            </w:r>
          </w:p>
        </w:tc>
        <w:tc>
          <w:tcPr>
            <w:tcW w:w="2200" w:type="dxa"/>
            <w:vAlign w:val="bottom"/>
            <w:gridSpan w:val="2"/>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Full-Time Employees</w:t>
            </w:r>
          </w:p>
        </w:tc>
        <w:tc>
          <w:tcPr>
            <w:tcW w:w="0" w:type="dxa"/>
            <w:vAlign w:val="bottom"/>
          </w:tcPr>
          <w:p>
            <w:pPr>
              <w:spacing w:after="0"/>
              <w:rPr>
                <w:sz w:val="1"/>
                <w:szCs w:val="1"/>
                <w:color w:val="auto"/>
              </w:rPr>
            </w:pPr>
          </w:p>
        </w:tc>
      </w:tr>
      <w:tr>
        <w:trPr>
          <w:trHeight w:val="160"/>
        </w:trPr>
        <w:tc>
          <w:tcPr>
            <w:tcW w:w="314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(including NEOs)</w:t>
            </w:r>
          </w:p>
        </w:tc>
        <w:tc>
          <w:tcPr>
            <w:tcW w:w="200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Medical Insurance</w:t>
            </w:r>
            <w:r>
              <w:rPr>
                <w:rFonts w:ascii="Times New Roman" w:cs="Times New Roman" w:eastAsia="Times New Roman" w:hAnsi="Times New Roman"/>
                <w:sz w:val="23"/>
                <w:szCs w:val="23"/>
                <w:b w:val="1"/>
                <w:bCs w:val="1"/>
                <w:color w:val="auto"/>
                <w:vertAlign w:val="superscript"/>
              </w:rPr>
              <w:t>(1)</w:t>
            </w: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Dental Insurance</w:t>
            </w:r>
            <w:r>
              <w:rPr>
                <w:rFonts w:ascii="Times New Roman" w:cs="Times New Roman" w:eastAsia="Times New Roman" w:hAnsi="Times New Roman"/>
                <w:sz w:val="25"/>
                <w:szCs w:val="25"/>
                <w:b w:val="1"/>
                <w:bCs w:val="1"/>
                <w:color w:val="auto"/>
                <w:vertAlign w:val="superscript"/>
              </w:rPr>
              <w:t>(1)</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Vision Insurance</w:t>
            </w:r>
            <w:r>
              <w:rPr>
                <w:rFonts w:ascii="Times New Roman" w:cs="Times New Roman" w:eastAsia="Times New Roman" w:hAnsi="Times New Roman"/>
                <w:sz w:val="25"/>
                <w:szCs w:val="25"/>
                <w:b w:val="1"/>
                <w:bCs w:val="1"/>
                <w:color w:val="auto"/>
                <w:vertAlign w:val="superscript"/>
              </w:rPr>
              <w:t>(1)</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Assistance Plan</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Life and Disability Insurance</w:t>
            </w:r>
            <w:r>
              <w:rPr>
                <w:rFonts w:ascii="Times New Roman" w:cs="Times New Roman" w:eastAsia="Times New Roman" w:hAnsi="Times New Roman"/>
                <w:sz w:val="25"/>
                <w:szCs w:val="25"/>
                <w:b w:val="1"/>
                <w:bCs w:val="1"/>
                <w:color w:val="auto"/>
                <w:vertAlign w:val="superscript"/>
              </w:rPr>
              <w:t>(2)</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Flexible Spending Accounts</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60" w:hanging="424"/>
        <w:spacing w:after="0" w:line="26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each of our NEOs had a supplemental medical insurance policy that pays for all of the NEO’s eligible out-of-pocket medical, dental and vision expenses.</w:t>
      </w:r>
    </w:p>
    <w:p>
      <w:pPr>
        <w:ind w:left="540" w:right="40" w:hanging="424"/>
        <w:spacing w:after="0" w:line="252"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Perquisite</w:t>
            </w:r>
          </w:p>
        </w:tc>
        <w:tc>
          <w:tcPr>
            <w:tcW w:w="4420" w:type="dxa"/>
            <w:vAlign w:val="bottom"/>
            <w:vMerge w:val="restart"/>
          </w:tcPr>
          <w:p>
            <w:pPr>
              <w:spacing w:after="0"/>
              <w:rPr>
                <w:sz w:val="13"/>
                <w:szCs w:val="13"/>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8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Certain Managers</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Certain Full-Time Employees</w:t>
            </w:r>
          </w:p>
        </w:tc>
        <w:tc>
          <w:tcPr>
            <w:tcW w:w="0" w:type="dxa"/>
            <w:vAlign w:val="bottom"/>
          </w:tcPr>
          <w:p>
            <w:pPr>
              <w:spacing w:after="0"/>
              <w:rPr>
                <w:sz w:val="1"/>
                <w:szCs w:val="1"/>
                <w:color w:val="auto"/>
              </w:rPr>
            </w:pPr>
          </w:p>
        </w:tc>
      </w:tr>
      <w:tr>
        <w:trPr>
          <w:trHeight w:val="180"/>
        </w:trPr>
        <w:tc>
          <w:tcPr>
            <w:tcW w:w="11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(including NEOs)</w:t>
            </w:r>
          </w:p>
        </w:tc>
        <w:tc>
          <w:tcPr>
            <w:tcW w:w="1820" w:type="dxa"/>
            <w:vAlign w:val="bottom"/>
            <w:gridSpan w:val="2"/>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Company Vehicle</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Not offered</w:t>
            </w:r>
          </w:p>
        </w:tc>
        <w:tc>
          <w:tcPr>
            <w:tcW w:w="6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Allowance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X</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Company Aircraft</w:t>
            </w:r>
          </w:p>
        </w:tc>
        <w:tc>
          <w:tcPr>
            <w:tcW w:w="1820" w:type="dxa"/>
            <w:vAlign w:val="bottom"/>
            <w:gridSpan w:val="2"/>
            <w:shd w:val="clear" w:color="auto" w:fill="CCEEFF"/>
          </w:tcPr>
          <w:p>
            <w:pPr>
              <w:jc w:val="center"/>
              <w:ind w:right="680"/>
              <w:spacing w:after="0" w:line="216" w:lineRule="exact"/>
              <w:rPr>
                <w:sz w:val="20"/>
                <w:szCs w:val="20"/>
                <w:color w:val="auto"/>
              </w:rPr>
            </w:pPr>
            <w:r>
              <w:rPr>
                <w:rFonts w:ascii="Times New Roman" w:cs="Times New Roman" w:eastAsia="Times New Roman" w:hAnsi="Times New Roman"/>
                <w:sz w:val="25"/>
                <w:szCs w:val="25"/>
                <w:color w:val="auto"/>
                <w:vertAlign w:val="subscript"/>
              </w:rPr>
              <w:t>X</w:t>
            </w:r>
            <w:r>
              <w:rPr>
                <w:rFonts w:ascii="Times New Roman" w:cs="Times New Roman" w:eastAsia="Times New Roman" w:hAnsi="Times New Roman"/>
                <w:sz w:val="11"/>
                <w:szCs w:val="11"/>
                <w:color w:val="auto"/>
              </w:rPr>
              <w:t>(1)</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Medical Insurance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Club Memberships</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Dwellings for Personal Use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Services</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Executive Retirement Program (SERP)</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Matching Contribution</w:t>
            </w:r>
          </w:p>
        </w:tc>
        <w:tc>
          <w:tcPr>
            <w:tcW w:w="1820" w:type="dxa"/>
            <w:vAlign w:val="bottom"/>
            <w:gridSpan w:val="2"/>
            <w:shd w:val="clear" w:color="auto" w:fill="CCEEFF"/>
          </w:tcPr>
          <w:p>
            <w:pPr>
              <w:jc w:val="center"/>
              <w:ind w:right="680"/>
              <w:spacing w:after="0" w:line="216" w:lineRule="exact"/>
              <w:rPr>
                <w:sz w:val="20"/>
                <w:szCs w:val="20"/>
                <w:color w:val="auto"/>
              </w:rPr>
            </w:pPr>
            <w:r>
              <w:rPr>
                <w:rFonts w:ascii="Times New Roman" w:cs="Times New Roman" w:eastAsia="Times New Roman" w:hAnsi="Times New Roman"/>
                <w:sz w:val="17"/>
                <w:szCs w:val="17"/>
                <w:color w:val="auto"/>
                <w:w w:val="99"/>
              </w:rPr>
              <w:t>Not offered</w:t>
            </w:r>
            <w:r>
              <w:rPr>
                <w:rFonts w:ascii="Times New Roman" w:cs="Times New Roman" w:eastAsia="Times New Roman" w:hAnsi="Times New Roman"/>
                <w:sz w:val="25"/>
                <w:szCs w:val="25"/>
                <w:color w:val="auto"/>
                <w:w w:val="99"/>
                <w:vertAlign w:val="superscript"/>
              </w:rPr>
              <w:t>(2)</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58"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adopt a corporate aircraft use policy establishing parameters for executive use of corporate aircraft and related tax and SEC perquisite disclosure implications. Among other things, the Company intends that, under the policy, personal use of private aircraft by the Company’s Chief Executive Officer will be limited to a certain dollar value or number of hours and any excess personal use must be approved by the Company’s Lead Independent Director. Under the policy, any use of corporate aircraft for purposes that are not integrally and directly related to the performance of an executive’s job duties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520"/>
        <w:spacing w:after="0" w:line="257" w:lineRule="auto"/>
        <w:rPr>
          <w:sz w:val="20"/>
          <w:szCs w:val="20"/>
          <w:color w:val="auto"/>
        </w:rPr>
      </w:pPr>
      <w:r>
        <w:rPr>
          <w:rFonts w:ascii="Times New Roman" w:cs="Times New Roman" w:eastAsia="Times New Roman" w:hAnsi="Times New Roman"/>
          <w:sz w:val="18"/>
          <w:szCs w:val="18"/>
          <w:color w:val="auto"/>
        </w:rPr>
        <w:t>(including but not limited to personal use), will be appropriately disclosed as a perquisite in accordance with SEC regulations and guidance. Additional information with respect to the Chief Executive Officer’s corporate aircraft use is provided in the footnotes to the Summary Compensation Table.</w:t>
      </w:r>
    </w:p>
    <w:p>
      <w:pPr>
        <w:spacing w:after="0" w:line="1" w:lineRule="exact"/>
        <w:rPr>
          <w:sz w:val="20"/>
          <w:szCs w:val="20"/>
          <w:color w:val="auto"/>
        </w:rPr>
      </w:pPr>
    </w:p>
    <w:p>
      <w:pPr>
        <w:ind w:left="540" w:right="280" w:hanging="424"/>
        <w:spacing w:after="0" w:line="26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Deferred Compensation Plan was adopted by the Board of Directors in 2007. However, no matching provision has been authorized under the Deferred Compensation Plan, and, to date, no NEO has availed himself of participation therein.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Severance Benefits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 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162(m)</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409A Considerations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280G</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“Grants of Plan-Based Awards Table for the 2023 Fiscal Year,” each NEO’s EA provides for a “best-net” cutback.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 Year-End Actions Affecting Compensation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of Directors in its final approval of the Company’s annual budget.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annual compensation awarded to or earned by our NEOs for Fiscal 2023, Fiscal 2022 and Fiscal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20" w:type="dxa"/>
            <w:vAlign w:val="bottom"/>
            <w:gridSpan w:val="2"/>
            <w:vMerge w:val="continue"/>
          </w:tcPr>
          <w:p>
            <w:pPr>
              <w:spacing w:after="0"/>
              <w:rPr>
                <w:sz w:val="12"/>
                <w:szCs w:val="12"/>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34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100,000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6,054,243</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885,000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66,242</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7,855,485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President &amp; Chief Executive Officer</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3,868,245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1,455,000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69,916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6,143,162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637,500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1,275,000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40,007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1,952,507</w:t>
            </w:r>
          </w:p>
        </w:tc>
        <w:tc>
          <w:tcPr>
            <w:tcW w:w="0" w:type="dxa"/>
            <w:vAlign w:val="bottom"/>
          </w:tcPr>
          <w:p>
            <w:pPr>
              <w:spacing w:after="0"/>
              <w:rPr>
                <w:sz w:val="1"/>
                <w:szCs w:val="1"/>
                <w:color w:val="auto"/>
              </w:rPr>
            </w:pPr>
          </w:p>
        </w:tc>
      </w:tr>
      <w:tr>
        <w:trPr>
          <w:trHeight w:val="30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2,522,664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52,173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3,546,837</w:t>
            </w:r>
          </w:p>
        </w:tc>
        <w:tc>
          <w:tcPr>
            <w:tcW w:w="0" w:type="dxa"/>
            <w:vAlign w:val="bottom"/>
          </w:tcPr>
          <w:p>
            <w:pPr>
              <w:spacing w:after="0"/>
              <w:rPr>
                <w:sz w:val="1"/>
                <w:szCs w:val="1"/>
                <w:color w:val="auto"/>
              </w:rPr>
            </w:pPr>
          </w:p>
        </w:tc>
      </w:tr>
      <w:tr>
        <w:trPr>
          <w:trHeight w:val="218"/>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EVP &amp; Chief Financial Officer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46,445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2,834,207</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30,786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1,110,786</w:t>
            </w:r>
          </w:p>
        </w:tc>
        <w:tc>
          <w:tcPr>
            <w:tcW w:w="0" w:type="dxa"/>
            <w:vAlign w:val="bottom"/>
          </w:tcPr>
          <w:p>
            <w:pPr>
              <w:spacing w:after="0"/>
              <w:rPr>
                <w:sz w:val="1"/>
                <w:szCs w:val="1"/>
                <w:color w:val="auto"/>
              </w:rPr>
            </w:pPr>
          </w:p>
        </w:tc>
      </w:tr>
      <w:tr>
        <w:trPr>
          <w:trHeight w:val="46"/>
        </w:trPr>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9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2,522,610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50,518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3,545,128</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EVP, General Counsel, Chief Compliance Officer &amp;</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44,751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2,832,513</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34,065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949,065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S. Cook</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2,522,610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53,935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3,548,545</w:t>
            </w:r>
          </w:p>
        </w:tc>
        <w:tc>
          <w:tcPr>
            <w:tcW w:w="0" w:type="dxa"/>
            <w:vAlign w:val="bottom"/>
          </w:tcPr>
          <w:p>
            <w:pPr>
              <w:spacing w:after="0"/>
              <w:rPr>
                <w:sz w:val="1"/>
                <w:szCs w:val="1"/>
                <w:color w:val="auto"/>
              </w:rPr>
            </w:pPr>
          </w:p>
        </w:tc>
      </w:tr>
      <w:tr>
        <w:trPr>
          <w:trHeight w:val="218"/>
        </w:trPr>
        <w:tc>
          <w:tcPr>
            <w:tcW w:w="3960" w:type="dxa"/>
            <w:vAlign w:val="bottom"/>
            <w:gridSpan w:val="3"/>
          </w:tcPr>
          <w:p>
            <w:pPr>
              <w:ind w:left="180"/>
              <w:spacing w:after="0" w:line="217" w:lineRule="exact"/>
              <w:rPr>
                <w:sz w:val="20"/>
                <w:szCs w:val="20"/>
                <w:color w:val="auto"/>
              </w:rPr>
            </w:pPr>
            <w:r>
              <w:rPr>
                <w:rFonts w:ascii="Times New Roman" w:cs="Times New Roman" w:eastAsia="Times New Roman" w:hAnsi="Times New Roman"/>
                <w:sz w:val="17"/>
                <w:szCs w:val="17"/>
                <w:i w:val="1"/>
                <w:iCs w:val="1"/>
                <w:color w:val="auto"/>
              </w:rPr>
              <w:t>EVP &amp; Chief Commercial Officer</w:t>
            </w:r>
            <w:r>
              <w:rPr>
                <w:rFonts w:ascii="Times New Roman" w:cs="Times New Roman" w:eastAsia="Times New Roman" w:hAnsi="Times New Roman"/>
                <w:sz w:val="25"/>
                <w:szCs w:val="25"/>
                <w:i w:val="1"/>
                <w:iCs w:val="1"/>
                <w:color w:val="auto"/>
                <w:vertAlign w:val="superscript"/>
              </w:rPr>
              <w:t>(6)</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44,106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2,831,868</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32,694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992,694</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9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2,522,664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52,073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3,546,737</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EVP—Military, Engineering, Repair &amp;</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44,623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2,832,385</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Maintenance</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32,029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992,029</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actual base salaries earned by our NEOs for Fiscal 2023, Fiscal 2022 and Fiscal 2021.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One-Time GIFI Litigation Bonus, which is described above in the section titled “Pay Mix—Bonus.”</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values (computed in accordance with FASB ASC Topic 718) of the RSU and PSU awards granted to the NEOs in Fiscal 2023 and Fiscal 2022. See Note 13 to our Annual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5"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bonuses paid to our NEOs for Fiscal 2023, Fiscal 2022 and Fiscal 2021 performance, pursuant to the terms of the annual cash incentive compensation opportunities set forth in their respective employment agreements and the Company’s cash incentive compensation program in effect for Fiscal 2023, Fiscal 2022 and Fiscal 2021, respectively. The Company’s cash incentive compensation program is described above in the section titled “Pay Mix—Bonus.”</w:t>
      </w:r>
    </w:p>
    <w:p>
      <w:pPr>
        <w:spacing w:after="0" w:line="2"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following amounts paid to our NEOs for Fiscal 2023: (i) employer-paid automobile lease, fuel and insurance expenses, which total $9,716, $19,447, $17,792, $21,208 and $18,939 for each of Messrs. Hornbeck, Harp, Giberga, Cook and Annessa, respectively, (ii) employer-paid term life insurance policy expenses for each NEO, (iii) employer-paid supplemental health insurance policy expenses in the amount of $17,904 for Mr. Annessa and $17,496 for each of the other NEOs, (iv) 401(k) matching contributions, which total $14,850 for each of our NEOs and (v) use of the Company’s aircraft for Mr. Hornbeck of $23,800. For the aircraft use, the value shown is the incremental cost to the Company for such use, which is calculated based on a contracted hourly rate billed to the Company per hour of operation. Fixed costs that do not change based on usage are not included. We do not provide tax gross-ups related to the use of the Company’s aircraft.</w:t>
      </w:r>
    </w:p>
    <w:p>
      <w:pPr>
        <w:spacing w:after="0" w:line="1" w:lineRule="exact"/>
        <w:rPr>
          <w:rFonts w:ascii="Times New Roman" w:cs="Times New Roman" w:eastAsia="Times New Roman" w:hAnsi="Times New Roman"/>
          <w:sz w:val="17"/>
          <w:szCs w:val="17"/>
          <w:color w:val="auto"/>
        </w:rPr>
      </w:pPr>
    </w:p>
    <w:p>
      <w:pPr>
        <w:ind w:left="540" w:right="300" w:hanging="424"/>
        <w:spacing w:after="0" w:line="26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Mr. Cook’s title was changed from EVP, Chief Commercial Officer &amp; Chief Information Officer to EVP &amp; Chief Commercial Officer.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for the 2023 Fiscal Year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non-equity incentive plan awards and equity incentive plan awards granted to our NEOs during Fiscal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numbers have been rounded to the nearest whole dollar or unit.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7"/>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r>
              <w:rPr>
                <w:rFonts w:ascii="Times New Roman" w:cs="Times New Roman" w:eastAsia="Times New Roman" w:hAnsi="Times New Roman"/>
                <w:sz w:val="10"/>
                <w:szCs w:val="10"/>
                <w:b w:val="1"/>
                <w:bCs w:val="1"/>
                <w:color w:val="auto"/>
              </w:rPr>
              <w:t>(1)</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(3)</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right"/>
              <w:ind w:right="19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4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3/20/2023</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ind w:left="77"/>
              <w:spacing w:after="0" w:line="203" w:lineRule="exact"/>
              <w:rPr>
                <w:sz w:val="20"/>
                <w:szCs w:val="20"/>
                <w:color w:val="auto"/>
              </w:rPr>
            </w:pPr>
            <w:r>
              <w:rPr>
                <w:rFonts w:ascii="Times New Roman" w:cs="Times New Roman" w:eastAsia="Times New Roman" w:hAnsi="Times New Roman"/>
                <w:sz w:val="18"/>
                <w:szCs w:val="18"/>
                <w:color w:val="auto"/>
                <w:w w:val="99"/>
              </w:rPr>
              <w:t>750,000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112,826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6,054,243</w:t>
            </w:r>
          </w:p>
        </w:tc>
        <w:tc>
          <w:tcPr>
            <w:tcW w:w="0" w:type="dxa"/>
            <w:vAlign w:val="bottom"/>
          </w:tcPr>
          <w:p>
            <w:pPr>
              <w:spacing w:after="0"/>
              <w:rPr>
                <w:sz w:val="1"/>
                <w:szCs w:val="1"/>
                <w:color w:val="auto"/>
              </w:rPr>
            </w:pPr>
          </w:p>
        </w:tc>
      </w:tr>
      <w:tr>
        <w:trPr>
          <w:trHeight w:val="30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2,522,664</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2,522,610</w:t>
            </w:r>
          </w:p>
        </w:tc>
        <w:tc>
          <w:tcPr>
            <w:tcW w:w="0" w:type="dxa"/>
            <w:vAlign w:val="bottom"/>
          </w:tcPr>
          <w:p>
            <w:pPr>
              <w:spacing w:after="0"/>
              <w:rPr>
                <w:sz w:val="1"/>
                <w:szCs w:val="1"/>
                <w:color w:val="auto"/>
              </w:rPr>
            </w:pPr>
          </w:p>
        </w:tc>
      </w:tr>
      <w:tr>
        <w:trPr>
          <w:trHeight w:val="30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2,522,610</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47,012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5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respect of Fiscal 2023 pursuant to these criteria is reflected in the “Summary Compensation Table” under the heading “Non-Equity Incentive Plan Compensation.”</w:t>
      </w:r>
    </w:p>
    <w:p>
      <w:pPr>
        <w:spacing w:after="0" w:line="2"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RSUs granted to our NEOs pursuant to the 2020 Management Incentive Plan in Fiscal 2023. All RSUs granted in Fiscal 2023 were subject to time-vesting conditions only.</w:t>
      </w:r>
    </w:p>
    <w:p>
      <w:pPr>
        <w:ind w:left="540" w:right="360" w:hanging="424"/>
        <w:spacing w:after="0" w:line="25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RSUs granted in Fiscal 2023, the total dollar amounts in this column equal the product of (i) the number of RSUs indicated in the “All Other Stock Awards” column, multiplied by (ii) the fair value of our common stock as of the grant date ($53.66 per share), determined in accordance with FASB ASC Topic 718.</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1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Description to the Summary Compensation Table and the Grants of Plan-Based Awards Table for the 2023 Fiscal Year </w:t>
      </w:r>
      <w:r>
        <w:rPr>
          <w:rFonts w:ascii="Times New Roman" w:cs="Times New Roman" w:eastAsia="Times New Roman" w:hAnsi="Times New Roman"/>
          <w:sz w:val="18"/>
          <w:szCs w:val="18"/>
          <w:b w:val="1"/>
          <w:bCs w:val="1"/>
          <w:i w:val="1"/>
          <w:iCs w:val="1"/>
          <w:color w:val="auto"/>
        </w:rPr>
        <w:t>Amended and Restated Employment Agreements</w:t>
      </w: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end of Fiscal 2023, Mr. Hornbeck’s annualized base salary was $750,000, and each of the other NEOs had an annualized base salary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$400,000, and each of the NEOs (including Mr. Hornbeck) had a target annual cash incentive compensation opportunity equal to 100% of his annualized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 salary. As previously noted, the various components of our executive compensation program are related but distinct and are designed to emphasize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 for performance,” with a significant portion of total compensation reflecting a risk aspect tied to achieving our long-term and short-term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strategic goals. For Fiscal 2023, each NEO’s annual base salary represents approximately 11.3% or less of the NEO’s total compensation, and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NEO’s annual cash incentive compensation represents approximately 16.1% or less of the NEO’s total compensation.</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of Equity Incentive Awards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Fiscal 2023 and under the 2020 Management Incentive Plan (as described above), Mr. Hornbeck was granted 112,826 RSUs. Each of Messrs. Harp and Annessa were granted 47,012 RSUs and each of Messrs. Giberga and Cook were granted 47,011 RSUs. These equity incentive awards are described in more detail above in the section titled “Long-Term Equity-Based Compensation.”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the stock option and stock award holdings of our NEOs as of the end of Fiscal 2023. This table includes unexercised stock options and unvested RSUs and PSUs. The vesting dates for each award are shown in the accompanying footnotes. The market value of the stock awards was determined using a price per share of $67.23, which is the fair market value of a share of our common stock as of December 31, 2023, as determined based on the independent valuation report prepared on our behalf, dated January 31, 2024.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1060" w:type="dxa"/>
            <w:vAlign w:val="bottom"/>
            <w:gridSpan w:val="3"/>
          </w:tcPr>
          <w:p>
            <w:pPr>
              <w:jc w:val="center"/>
              <w:ind w:left="119"/>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3"/>
                <w:szCs w:val="13"/>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125,388</w:t>
            </w:r>
          </w:p>
        </w:tc>
        <w:tc>
          <w:tcPr>
            <w:tcW w:w="2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10.00</w:t>
            </w:r>
          </w:p>
        </w:tc>
        <w:tc>
          <w:tcPr>
            <w:tcW w:w="2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9/4/2030</w:t>
            </w:r>
          </w:p>
        </w:tc>
        <w:tc>
          <w:tcPr>
            <w:tcW w:w="160" w:type="dxa"/>
            <w:vAlign w:val="bottom"/>
            <w:vMerge w:val="continue"/>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37,510</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2,521,797</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56,413</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3,792,646</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33,758</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2,269,550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23,506</w:t>
            </w:r>
            <w:r>
              <w:rPr>
                <w:rFonts w:ascii="Times New Roman" w:cs="Times New Roman" w:eastAsia="Times New Roman" w:hAnsi="Times New Roman"/>
                <w:sz w:val="26"/>
                <w:szCs w:val="26"/>
                <w:color w:val="auto"/>
                <w:vertAlign w:val="superscript"/>
              </w:rPr>
              <w:t>(3)</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3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23,506</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23,505</w:t>
            </w:r>
            <w:r>
              <w:rPr>
                <w:rFonts w:ascii="Times New Roman" w:cs="Times New Roman" w:eastAsia="Times New Roman" w:hAnsi="Times New Roman"/>
                <w:sz w:val="26"/>
                <w:szCs w:val="26"/>
                <w:b w:val="1"/>
                <w:bCs w:val="1"/>
                <w:color w:val="auto"/>
                <w:vertAlign w:val="superscript"/>
              </w:rPr>
              <w:t>(3)</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1,580,241</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3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23,506</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b w:val="1"/>
                <w:bCs w:val="1"/>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5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2020, each of our NEOs received an award of stock options that is comprised of three equal tranches, with each tranche subject to both time-vesting and performance-vesting conditions. The stock options time-vested ratably on each of the first three anniversaries of June 19, 2020, subject to the NEO’s continued employment through the applicable vesting date. The stock options performance-vest based on the achievement of specified total enterprise value (“TEV”) levels, such that the NEO will only performance-vest if and when (i) a “change of control” (as defined in the 2020 Management Incentive Plan), an initial public offering or September 4, 2027 occurs and (ii) the implied TEV as of such time equals or exceeds the specified TEV threshold for such tranche.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3"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2022, each of our NEOs received an award of RSUs, all of which are subject to time-based vesting conditions. The first one-third tranche vested and was settled on February 15, 2023. The remainder of the award vested and became settleable (or will vest and become settleable, as applicable) in equal tranches on February 15th of 2024 and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described in greater detail in the sections titled “Grants of Plan-Based Awards for the 2023 Fiscal Year” and “Long-Term Equity Based Compensation,” on March 23, 2023, each of our NEOs received an award of RSUs, all of which are subject to time-based vesting conditions only. The first one-half of the award vested and was settled immediately on the grant date. The remainder of the award vested and became settleable (or will vest and become settleable, as applicable) in three equal tranches on February 15th of each of 2024, 2025 and 2026,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3"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2022, each of our NEOs received an award of PSUs subject to both time-based and performance-based vesting conditions and the amounts reported assume the maximum number of PSUs would vest.</w:t>
      </w:r>
    </w:p>
    <w:p>
      <w:pPr>
        <w:ind w:left="540" w:right="40" w:hanging="424"/>
        <w:spacing w:after="0" w:line="26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(i) the number of shares of our common stock underlying the unvested portion of the RSU or PSU award, as applicable, by (ii) the fair market value of our common stock as of December 31, 2023, which was $67.23.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the 2023 Fiscal Year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an aggregate basis, about our NEOs’ stock awards that vested during Fiscal 2023. None of our NEOs exercised stock options in Fiscal 2023.</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740" w:type="dxa"/>
            <w:vAlign w:val="bottom"/>
            <w:vMerge w:val="restart"/>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145,899</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8,246,966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60,791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3,436,225</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5"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(i) the RSUs that were granted to each NEO on March 23, 2023, of which 50% vested and was settled on the grant date, (ii) the RSUs that were granted to each NEO on June 9, 2022, of which 33.33% vested and was settled on February 15, 2023 and (iii) the RSUs that were granted to each NEO on September 4, 2020, of which 33.33% vested on June 19, 2023. For further information regarding such RSUs that vested during Fiscal 2023 for each of the NEOs, see the below section titled “Non-Qualified Deferred Compensation.”</w:t>
      </w:r>
    </w:p>
    <w:p>
      <w:pPr>
        <w:spacing w:after="0" w:line="2" w:lineRule="exact"/>
        <w:rPr>
          <w:rFonts w:ascii="Times New Roman" w:cs="Times New Roman" w:eastAsia="Times New Roman" w:hAnsi="Times New Roman"/>
          <w:sz w:val="18"/>
          <w:szCs w:val="18"/>
          <w:color w:val="auto"/>
        </w:rPr>
      </w:pPr>
    </w:p>
    <w:p>
      <w:pPr>
        <w:ind w:left="540" w:right="200" w:hanging="424"/>
        <w:spacing w:after="0" w:line="253"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was calculated by multiplying (i) the number of RSUs that vested in February 2023 and March 2023 by the fair market value of a share of our common stock as of March 23, 2023 (i.e., $53.66) and (ii) the number of RSUs that vested in June of 2023 by the fair market value of a share of our common stock as of June 30, 2023 (i.e., $59.57). None of the RSUs granted on September 4, 2020 will settle until the earlier to occur of a “change of control” and September 4, 2027.</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an aggregate basis, about our NEOs’ vested RSUs for which settlement was deferred during Fiscal 2023, Fiscal 2022 and Fiscal 2021.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6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4,755,312</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14,265,870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dollar value of the vested RSUs for which the settlement during Fiscal 2023 was deferred pursuant to the terms of the 2020 Management Incentive Plan. In the case of each NEO, these RSUs were granted on September 4, 2020 and vested on June 19, 2023, but settlement was subsequently deferred (i.e., 70,732 RSUs of Mr. Hornbeck were deferred, and 29,472 RSUs of each other NEO were deferred). For each NEO, the reported amount was calculated by multiplying (i) the number of RSUs that vested and were deferred during Fiscal 2023, by (ii) the fair market value of a share of our common stock as of December 31, 2023 (i.e., $67.23).</w:t>
      </w:r>
    </w:p>
    <w:p>
      <w:pPr>
        <w:spacing w:after="0" w:line="88"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balance was calculated by multiplying (i) the aggregate number of RSUs that vested and was deferred during Fiscal 2023, Fiscal 2022 and Fiscal 2021, by (ii) the fair market value of a share of our common stock as of December 31, 2023 (i.e., $67.23).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a Change of Control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section, we describe payments and benefits that may be made to our NEOs upon the occurrence of certain terminations of employment and/or a change of control, assuming that such event occurred on the last day of Fiscal 2023. We note that this offering would not result in any payments or benefits to our NEOs or acceleration of equity awards to our NEOs, but upon this offering, the performance vesting of the outstanding performance-based stock options and PSUs held by our NEOs will be measured based on our achievement of specified TEV levels.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of Employment due to Death or Disability</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Termination of Employment without Cause or for Good Reason</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 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w:t>
      </w:r>
    </w:p>
    <w:p>
      <w:pPr>
        <w:spacing w:after="0" w:line="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6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of Directors; provided, that, such actions or inactions by the NEO cause the Company Group a substantial detriment or could reasonably be expected to cause a substantial detriment to the Company Group as determined by our Board of Directors in good faith; (iii) willful failure to take actions permitted by law and necessary to implement policies of our Board of Directors that our Board of Directors has communicated to the NEO in writing; provided, that, such policies that are reflected in minutes of our Board of Directors meeting attended in its entirety by the NEO shall be deemed communicated to the NEO to the extent the NEO received a copy of such minutes from the secretary or the general counsel of the Company promptly following approval by our Board of Directors; (iv) continued failure to attend to the NEO’s material duties as an executive officer of the Company Group following the NEO’s receipt of written notice from our Board of Directors of such failure; provided, that, such failure by the NEO causes the Company Group a substantial detriment or could reasonably be expected to cause a substantial detriment to the Company Group as determined by our Board of Directors in good faith; (v) commission of an act of fraud or material act of dishonesty or misappropriation involving the Company Group; (vi) willful violation of law or gross negligence that is substantially detrimental to the Company; (vii) material breach or material violation of the EA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our Board of Directors in good faith; or (viii) habitual use of illicit drugs or habitual abuse of alcohol that, in the reasonable good faith opinion of our Board of Directors, renders the NEO unfit to serve as an officer of the Company Group. If any determination of habitual use or substantial dependence under clause (viii) is disputed by the NEO, the Company and the NEO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in the EA to the contrary notwithstanding, the NEO shall not be terminated for “cause” under the EA, unless (A) written notice</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Change of Control</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a “change of control,” (i) 100% of the NEO’s then-unvested RSUs will accelerate and vest; (ii) the time-vesting condition of the NEO’s then-unvested stock options will be deemed fully satisfied; and (iii) the NEO’s then-unvested PSUs will vest only if the applicable performance hurdles are achieved in connection with such change of control. Upon a “Qualifying Termination” (as described above) in connection with a change of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2023; (ii) each NEO’s compensation rates were the same as in effect on December 31, 2023; and (iii) the market value of the stock awards is based on the closing market price of our common stock as of December 31, 2023, which was $67.23.</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6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Occurrence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Cause or for</w:t>
            </w:r>
          </w:p>
        </w:tc>
        <w:tc>
          <w:tcPr>
            <w:tcW w:w="128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Officer</w:t>
            </w:r>
          </w:p>
        </w:tc>
        <w:tc>
          <w:tcPr>
            <w:tcW w:w="12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Good</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a Change</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Reason ($)</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Death ($)</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3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of Control</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Todd M. Hornbeck</w:t>
            </w:r>
          </w:p>
        </w:tc>
        <w:tc>
          <w:tcPr>
            <w:tcW w:w="2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Severance</w:t>
            </w: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2,525,092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13,413,977</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750,000</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187,143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350,508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75,961</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7,212,234</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1,100,508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825,961</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13,413,977</w:t>
            </w:r>
          </w:p>
        </w:tc>
        <w:tc>
          <w:tcPr>
            <w:tcW w:w="0" w:type="dxa"/>
            <w:vAlign w:val="bottom"/>
          </w:tcPr>
          <w:p>
            <w:pPr>
              <w:spacing w:after="0"/>
              <w:rPr>
                <w:sz w:val="1"/>
                <w:szCs w:val="1"/>
                <w:color w:val="auto"/>
              </w:rPr>
            </w:pPr>
          </w:p>
        </w:tc>
      </w:tr>
      <w:tr>
        <w:trPr>
          <w:trHeight w:val="30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O. Harp, Jr.</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159,053</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338,724</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80,631</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3,211,135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738,724</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480,631</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Samuel A. Giberga</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155,470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338,881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78,839</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3,207,553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738,881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478,839</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30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S. Cook</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147,355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338,811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74,782</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3,199,438</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738,811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474,782</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6,566,617</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Carl G. Annessa</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146,931</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329,913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74,569</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3,199,013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729,913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474,569</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57"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1"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 Vesting amounts set forth do not include the value of RSUs that had previously vested, but such vested RSUs would be settled upon a change of control. The value of RSUs previously vested are as follows: $16,088,625 for Mr. Hornbeck and $6,703,625 for each of the other NEOs. All equity awards, including RSUs, were granted from the reserve under the 2020 Management Incentive Plan (“MIP Reserve”), which initially allocated 2,198,044 shares of common stock of the Company for issuance thereunder, of which 2,063,111 and 135,033 of such total shares were reserved for MIP participants and non-employee directors, respectively, and would have been paid to the MIP participants upon a change of control. The Stock Award Vesting amounts assume none of the remaining MIP Reserve would be granted to any of our NEOs at the time of a change of control.</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annual compensation awarded to or earned by certain of our non-employee directors for Fiscal 2023. Todd M. Hornbeck (our Chairman, President and Chief Executive Officer), Scott Graves, Jacob Mercer, Aaron Rosen and Larry Hornbeck (our Chairman Emeritus) did not receive any compensation for serving on our Board of Directors.</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440" w:type="dxa"/>
            <w:vAlign w:val="bottom"/>
            <w:vMerge w:val="restart"/>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40" w:type="dxa"/>
            <w:vAlign w:val="bottom"/>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Kurt M. Cellar</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103,635</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295,899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 Behrens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66,125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224,744</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Piyush “Bobby” Jindal</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241,619</w:t>
            </w:r>
            <w:r>
              <w:rPr>
                <w:rFonts w:ascii="Times New Roman" w:cs="Times New Roman" w:eastAsia="Times New Roman" w:hAnsi="Times New Roman"/>
                <w:sz w:val="25"/>
                <w:szCs w:val="25"/>
                <w:b w:val="1"/>
                <w:bCs w:val="1"/>
                <w:color w:val="auto"/>
                <w:vertAlign w:val="superscript"/>
              </w:rPr>
              <w:t>(4)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Richardson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224,119</w:t>
            </w:r>
            <w:r>
              <w:rPr>
                <w:rFonts w:ascii="Times New Roman" w:cs="Times New Roman" w:eastAsia="Times New Roman" w:hAnsi="Times New Roman"/>
                <w:sz w:val="25"/>
                <w:szCs w:val="25"/>
                <w:b w:val="1"/>
                <w:bCs w:val="1"/>
                <w:color w:val="auto"/>
                <w:vertAlign w:val="superscript"/>
              </w:rPr>
              <w:t>(5)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 Donelson Miller</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66,135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224,754</w:t>
            </w:r>
            <w:r>
              <w:rPr>
                <w:rFonts w:ascii="Times New Roman" w:cs="Times New Roman" w:eastAsia="Times New Roman" w:hAnsi="Times New Roman"/>
                <w:sz w:val="25"/>
                <w:szCs w:val="25"/>
                <w:b w:val="1"/>
                <w:bCs w:val="1"/>
                <w:color w:val="auto"/>
                <w:vertAlign w:val="superscript"/>
              </w:rPr>
              <w:t>(6)</w:t>
            </w:r>
          </w:p>
        </w:tc>
        <w:tc>
          <w:tcPr>
            <w:tcW w:w="0" w:type="dxa"/>
            <w:vAlign w:val="bottom"/>
          </w:tcPr>
          <w:p>
            <w:pPr>
              <w:spacing w:after="0"/>
              <w:rPr>
                <w:sz w:val="1"/>
                <w:szCs w:val="1"/>
                <w:color w:val="auto"/>
              </w:rPr>
            </w:pPr>
          </w:p>
        </w:tc>
      </w:tr>
      <w:tr>
        <w:trPr>
          <w:trHeight w:val="35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63,625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222,244</w:t>
            </w:r>
            <w:r>
              <w:rPr>
                <w:rFonts w:ascii="Times New Roman" w:cs="Times New Roman" w:eastAsia="Times New Roman" w:hAnsi="Times New Roman"/>
                <w:sz w:val="26"/>
                <w:szCs w:val="26"/>
                <w:b w:val="1"/>
                <w:bCs w:val="1"/>
                <w:color w:val="auto"/>
                <w:w w:val="99"/>
                <w:vertAlign w:val="superscript"/>
              </w:rPr>
              <w:t>(7)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40" w:right="40" w:hanging="424"/>
        <w:spacing w:after="0" w:line="253"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 On March 23, 2023, equity awards were issued to our directors. One-half of these awards vested and was settled on the grant date. The remaining one-half vested and became settleable on February 15, 2024. For the RSUs granted in Fiscal 2023, the total dollar amounts in this column equal the product of (i) the number of RSUs granted multiplied by (ii) the fair value of our common stock as of the grant date ($53.66 per share), determined in accordance with FASB ASC Topic 718.</w:t>
      </w:r>
    </w:p>
    <w:p>
      <w:pPr>
        <w:spacing w:after="0" w:line="5"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Cellar, this amount represents the sum of the annual cash retainers due for his service as: (i) a non-employee director ($50,500), (ii) the chairperson of the audit committee ($20,000), (iii) co-chairperson of the M&amp;A/Finance committee ($8,135), (iv) the lead independent director ($25,000) and (v) the value of 3,583 RSUs granted in Fiscal 2023 ($192,264).</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Behrens, this amount represents the sum of the annual cash retainers due for his service as: (i) a non-employee director ($50,500), (ii) a member of the audit committee ($10,000), (iii) a member of the M&amp;A/Finance committee ($5,625) and (iv) the value of 2,956 RSUs granted in Fiscal 2023 ($158,619), 35% of which Mr. Behrens elected to have settled in cash.</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Jindal, this amount represents the sum of the annual cash retainers due for his service as: (i) a non-employee director ($50,500), (ii) the chairperson of the compensation committee ($15,000), (iii) a member of the audit committee ($10,000), (iv) a member of the business diversification/government contracting committee ($7,500) and (v) the value of 2,956 RSUs granted in Fiscal 2023 ($158,619).</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Richardson, this amount represents the sum of the annual cash retainers due for his service as: (i) a non-employee director ($50,500), (ii) the chairperson of the business diversification/government contracting committee ($15,000) and (iii) the value of 2,956 RSUs granted in Fiscal 2023 ($158,619), 35% of which Mr. Richardson elected to have settled in cash.</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this amount represents the sum of the annual cash retainers due for his service as: (i) a non-employee director ($50,500), (ii) a member of the compensation committee ($7,500), (iii) co-chairperson of the M&amp;A/Finance committee ($8,135) and (iv) the value of 2,956 RSUs granted in Fiscal 2023 ($158,619).</w:t>
      </w:r>
    </w:p>
    <w:p>
      <w:pPr>
        <w:spacing w:after="0" w:line="1" w:lineRule="exact"/>
        <w:rPr>
          <w:rFonts w:ascii="Times New Roman" w:cs="Times New Roman" w:eastAsia="Times New Roman" w:hAnsi="Times New Roman"/>
          <w:sz w:val="18"/>
          <w:szCs w:val="18"/>
          <w:color w:val="auto"/>
        </w:rPr>
      </w:pPr>
    </w:p>
    <w:p>
      <w:pPr>
        <w:jc w:val="both"/>
        <w:ind w:left="540" w:right="40" w:hanging="424"/>
        <w:spacing w:after="0" w:line="255"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Kerrigan, this amount represents the sum of the annual cash retainers due for her service as: (i) a non-employee director ($50,500), (ii) a member of the compensation committee ($5,625), (iii) a member of the business diversification/government contracting committee ($7,500) and (iv) the value of 2,956 RSUs granted in Fiscal 2023 ($158,619).</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320" w:top="455" w:right="5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Go-Forward Compensation Arrangements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expect to (1) adopt a new omnibus incentive plan (the “Omnibus Plan”), (2) grant non-qualified stock options (“NQSOs”) and RSUs under the Omnibus Plan to certain of our employees, including our NEOs, (3) amend and restate the EAs with our NEOs, and (4) adopt a new non-employee director compensation policy. Each of these expected actions, as well as our compensation committee’s retention of a compensation consultant to advise with respect to this offering and these actions, are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 and Peer Group</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anticipation of a public offering, in late 2023, the compensation committee retained an outside compensation consultant, FW Cook, to review and make recommendations concerning compensation in connection with a public offering and for the fiscal year ending 2024. In December 2023, at the compensation committee’s request, FW Cook reviewed our public company Industry Peer Group and recommended removing Forum Energy Technologies, Inc. and Oil States International, Inc. and adding Cactus, Inc., Diamond Offshore Drilling, Inc. and Valaris Limited. The compensation committee approved this new peer group, which was used to benchmark executive compensation for the fiscal year ending 2024 and in connection with this offering, and consists of the following:</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Industry Peer Group Used to Benchmark 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for Fiscal Year 2024 and in Connection with this Offering</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Bristow Group Inc. (VTOL)</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Cactus, Inc. (WHD)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Diamond Offshore Drilling, Inc. (DO)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Dril-Quip, Inc. (DRQ)</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Great Lakes Dredge &amp; Dock Corporation (GLDD)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Helix Energy Solutions Group, Inc. (HLX)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Kirby Corporation (KEX)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Newpark Resources, Inc. (NR)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Oceaneering International, Inc. (OII)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SEACOR Marine Holdings Inc. (SMHI)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TETRA Technologies, Inc. (TTI)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Tidewater Inc. (TDW)</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Valaris Limited (VAL)</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Omnibus Incentive Plan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order to incentivize our employees, consultants and non-employee directors following the completion of this offering, we anticipate that our Board of Directors will adopt the Omnibus Plan for employees, consultants and non-employee directors prior to the completion of this offering. Our NEOs will be eligible to participate in the Omnibus Plan, which we expect will become effective upon the consummation of this offering. We anticipate that the Omnibus Plan will provide for the grant of stock options (in the form of either NQSOs or incentive stock options (“ISOs”)), stock appreciation rights (“SARs”), restricted stock, RSUs, performance awards, other stock-based awards, cash awards and substitute awards intended to align the interests of participants with those of our stockholders.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Securities Offered</w:t>
      </w:r>
      <w:r>
        <w:rPr>
          <w:rFonts w:ascii="Times New Roman" w:cs="Times New Roman" w:eastAsia="Times New Roman" w:hAnsi="Times New Roman"/>
          <w:sz w:val="18"/>
          <w:szCs w:val="18"/>
          <w:color w:val="auto"/>
        </w:rPr>
        <w:t>. Subject to adjustment in the event of certain transactions or changes of capitalization in accordance with the Omnibus Plan,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of         shares of common stock have been initially reserved for issuance pursuant to awards under the Omnibus Plan. The total number of shares of common stock reserved for issuance under the Omnibus Plan will be increased on January 1 of each calendar year beginning in 2025, and ending and including January 1, 2034, by the lesser of (i) 2.5% of the total number of shares of common stock outstanding on each December 31 of the immediately preceding calendar year or (ii) such smaller number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shares of common stock determined by our Board of Directors. No more than         shares of common stock under the Omnibus Plan may be issued pursuant to ISOs. Shares of common stock subject to an award under the Omnibus Plan will again be made available for issuance or delivery if such shares of common stock are (i) delivered, withheld or surrendered in payment of the exercise or purchase price of an award, (ii) delivered, withheld, or surrendered to satisfy any tax withholding obligation or (iii) subject to an award that expires or is canceled, forfeited, or terminated without issuance of the full number of shares of common stock to which the award related.</w:t>
      </w:r>
    </w:p>
    <w:p>
      <w:pPr>
        <w:spacing w:after="0" w:line="18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The Omnibus Plan will be administered by the compensation committee of our Board of Directors. The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have broad discretion to administer the Omnibus Plan, including the power to determine the eligible individuals to whom awards will be granted, the number and type of awards to be granted and the terms and conditions of awards. The compensation committee may also accelerate the vesting or exercise of any award and make all other determinations and take all other actions necessary or advisable for the administration of the Omnibus Plan.</w:t>
      </w:r>
    </w:p>
    <w:p>
      <w:pPr>
        <w:spacing w:after="0" w:line="164"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and consultants of the Company and its affiliates, and non-employee directors of the Company are eligible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Omnibus Plan.</w:t>
      </w:r>
    </w:p>
    <w:p>
      <w:pPr>
        <w:spacing w:after="0" w:line="158"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Non-Employee Director Compensation Limits</w:t>
      </w:r>
      <w:r>
        <w:rPr>
          <w:rFonts w:ascii="Times New Roman" w:cs="Times New Roman" w:eastAsia="Times New Roman" w:hAnsi="Times New Roman"/>
          <w:sz w:val="17"/>
          <w:szCs w:val="17"/>
          <w:color w:val="auto"/>
        </w:rPr>
        <w:t>. Under the Omnibus Plan, in a calendar year, a non-employee director may not be granted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individual’s service on our Board of Directors that, taken together with any cash fees paid to such non-employee director during such calendar year for such individual’s service on our Board of Directors, have a value in excess of $750,000 (calculating the value of any such awards based on the grant date fair value of such awards for financial reporting purposes); provided, that (i) the compensation committee may make exceptions to this limit, except that the non-employee director receiving such additional compensation may not participate in the decision to award such compensation or in other contemporaneous decisions involving compensation for non-employee directors and (ii) for any calendar year in which a non-employee director</w:t>
      </w:r>
    </w:p>
    <w:p>
      <w:pPr>
        <w:spacing w:after="0" w:line="2" w:lineRule="exact"/>
        <w:rPr>
          <w:sz w:val="20"/>
          <w:szCs w:val="20"/>
          <w:color w:val="auto"/>
        </w:rPr>
      </w:pPr>
    </w:p>
    <w:p>
      <w:pPr>
        <w:jc w:val="both"/>
        <w:ind w:left="120" w:hanging="4"/>
        <w:spacing w:after="0" w:line="253" w:lineRule="auto"/>
        <w:tabs>
          <w:tab w:leader="none" w:pos="3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commences service on our Board of Directors, (b) serves on a special committee of our Board of Directors, or (c) serves as lead director or non-executive chair of our Board of Directors, such limit shall be increased to $1,000,000. This limit does not apply to awards or other compensation, if any, provided to a non-employee director during any period in which the individual was an employee or otherwise providing services to the Company or its affiliates in another capacity.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We may grant options to eligible persons, except that ISOs may only be granted to persons who are our employees or employees of one of our subsidiaries, in accordance with Section 422 of the Code. The exercise price of an option cannot be less than 100% of the fair market value of a share of common stock on the date on which the option is granted and the option must not be exercisable for longer than 10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w:t>
      </w:r>
    </w:p>
    <w:p>
      <w:pPr>
        <w:spacing w:after="0" w:line="187"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A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10 years. SARs may be granted in connection with, or independent of, other awards. The compensation committee will have the discretion to determine other terms and conditions of a SAR award.</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A restricted stock award is a grant of shares of common stock subject to restrictions on transferability and risk of forfeiture imposed by the compensation committee. Unless otherwise determined by the compensation committee and specified in the applicable award agreement, the holder of a restricted stock award will have rights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5"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as a stockholder, including the right to vote the shares of common stock subject to the restricted stock award or to receive dividends on the shares of common stock subject to the restricted stock award during the restriction period. The compensation committee may determine on what terms and conditions the participant will be entitled to dividends payable on the shares of restricted stock.</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An RSU is a right to receive cash, shares of common stock or a combination of cash and shares of common stock at the end of a specified period equal to the fair market value of one share of common stock on the date of vesting. RSUs may be subject to restrictions, including a risk of forfeiture, imposed by the compensation committee. The compensation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equivalents may be paid currently or credited to an account, settled in cash or shares, and may be subject to the same restrictions as the RSUs with respect to which the dividend equivalents are granted.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 performance award is an award that vests and/or becomes exercisable or distributable subject to the achievement of certain performance goals during a specified performance period, as established by the compensation committee. Performance awards may be granted alone or in addition to other awards under the Omnibus Plan, and may be paid in cash, shares of common stock, other property or any combination thereof, in the sole discretion of the compensation committee.</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Share-Based Awards</w:t>
      </w:r>
      <w:r>
        <w:rPr>
          <w:rFonts w:ascii="Times New Roman" w:cs="Times New Roman" w:eastAsia="Times New Roman" w:hAnsi="Times New Roman"/>
          <w:sz w:val="18"/>
          <w:szCs w:val="18"/>
          <w:color w:val="auto"/>
        </w:rPr>
        <w:t>. Other share-based awards are awards denominated or payable in, valued in whole or in part by reference to, or otherwise based on or related to, the value of shares of common stock.</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Cash awards may be granted on a free-standing basis or as an element of, a supplement to, or in lieu of any other award and will be subject to such terms and conditions, including vesting conditions as determined by the compensation committee.</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may be granted under the Omnibus Plan in substitution for similar awards held for individuals who become participants as a result of a merger, consolidation or acquisition of another entity by or with the Company or one of our affiliates.</w:t>
      </w:r>
    </w:p>
    <w:p>
      <w:pPr>
        <w:spacing w:after="0" w:line="16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If any change is made to our capitalization, such as a stock split, stock combination, stock dividend, exchange of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recapitalization, merger or otherwise, which results in an increase or decrease in the number of our outstanding shares of common stock, appropriate adjustments will be made by the compensation committee to (i) the shares of common stock subject to an outstanding award under the Omnibus Plan and (ii) the respective exercise price of such award. The compensation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185"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amounts, or benefits received or outstanding under the Omnibus Plan will be subject to clawback, cancellation,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rescission, payback, reduction, or other similar action in accordance with any Company clawback or similar policy or any applicable law related to such actions.</w:t>
      </w:r>
    </w:p>
    <w:p>
      <w:pPr>
        <w:spacing w:after="0" w:line="17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Our Board of Directors or the compensation committee may amend, in whole or in part, any or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Omnibus Plan, or suspend or terminate it entirely, retroactively or otherwise, provided that the rights of a participant with respect to awards granted prior to such amendment, suspension, or termination may not be materially impaired without the consent of such participant. Without stockholder approval, no amendment may be made that would (i) increase the aggregate number of shares of common stock that may be issued under the Omnibus Plan or (ii) change the classification of individuals eligible to receive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awards under the Omnibus Plan. The Omnibus Plan will remain in effect for a period of ten years (unless earlier terminated by our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Grants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expect to grant NQSOs and RSUs under the Omnibus Plan to certain of our employees, including our NEOs, with respect to a total of approximately         shares of our common stock (calculated using the midpoint of the estimated offering price range shown on the cover page of this prospectus).</w:t>
      </w:r>
    </w:p>
    <w:p>
      <w:pPr>
        <w:spacing w:after="0" w:line="176"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It is anticipated that the awards granted to our employees, including our NEOs, will be comprised (i) 50% of NQSOs and (ii) 50% of RSUs, each of which will vest ratably over a five-year period, in each case, subject to the employee’s continued employment through the applicable vesting date.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&amp; Restated 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to enter into amended and restated employment agreements (each, an “A&amp;R EA”) with each of our NEOs that will become effective upon the consummation of this offering. We expect that the terms of each A&amp;R EA will be materially the same as the NEOs’ current EAs, except for the amended terms described below.</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Initial Term. </w:t>
      </w:r>
      <w:r>
        <w:rPr>
          <w:rFonts w:ascii="Times New Roman" w:cs="Times New Roman" w:eastAsia="Times New Roman" w:hAnsi="Times New Roman"/>
          <w:sz w:val="18"/>
          <w:szCs w:val="18"/>
          <w:color w:val="auto"/>
        </w:rPr>
        <w:t>The initial term will end on December 31, 2027.</w:t>
      </w:r>
    </w:p>
    <w:p>
      <w:pPr>
        <w:spacing w:after="0" w:line="11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CEO Board Service</w:t>
      </w:r>
      <w:r>
        <w:rPr>
          <w:rFonts w:ascii="Times New Roman" w:cs="Times New Roman" w:eastAsia="Times New Roman" w:hAnsi="Times New Roman"/>
          <w:sz w:val="18"/>
          <w:szCs w:val="18"/>
          <w:color w:val="auto"/>
        </w:rPr>
        <w:t>. For Mr. Hornbeck only, so long as he serves as our Chief Executive Officer, he will continue to serve as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his seat is first scheduled for election, following which we will nominate him for election as a member of our Board of Directors at each shareholders’ meeting occurring during the term of his employment and use best efforts to have him elected. Mr. Hornbeck will also serve as Chairman of our Board of Directors through the second anniversary of the consummation of this offering (or, if earlier, his resignation or removal as either our Chief Executive Officer or a member of our Board of Directors).</w:t>
      </w:r>
    </w:p>
    <w:p>
      <w:pPr>
        <w:spacing w:after="0" w:line="18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Pro-Rata Bonus Upon Qualifying Termination</w:t>
      </w:r>
      <w:r>
        <w:rPr>
          <w:rFonts w:ascii="Times New Roman" w:cs="Times New Roman" w:eastAsia="Times New Roman" w:hAnsi="Times New Roman"/>
          <w:sz w:val="18"/>
          <w:szCs w:val="18"/>
          <w:color w:val="auto"/>
        </w:rPr>
        <w:t>. Each NEO will receive a pro-rata bonus upon a Qualifying Termination regardless of when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fiscal year the Qualifying Termination occurs.</w:t>
      </w:r>
    </w:p>
    <w:p>
      <w:pPr>
        <w:spacing w:after="0" w:line="158"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Severance Multiplier for CIC Qualifying Termination</w:t>
      </w:r>
      <w:r>
        <w:rPr>
          <w:rFonts w:ascii="Times New Roman" w:cs="Times New Roman" w:eastAsia="Times New Roman" w:hAnsi="Times New Roman"/>
          <w:sz w:val="18"/>
          <w:szCs w:val="18"/>
          <w:color w:val="auto"/>
        </w:rPr>
        <w:t>. The severance multiplier for a Qualifying Termination in connection with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will be fixed at 2.5x for Mr. Hornbeck and 2.0x for each of our other NEOs.</w:t>
      </w:r>
    </w:p>
    <w:p>
      <w:pPr>
        <w:spacing w:after="0" w:line="158"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Automobile Benefits for CIC Qualifying Termination</w:t>
      </w:r>
      <w:r>
        <w:rPr>
          <w:rFonts w:ascii="Times New Roman" w:cs="Times New Roman" w:eastAsia="Times New Roman" w:hAnsi="Times New Roman"/>
          <w:sz w:val="18"/>
          <w:szCs w:val="18"/>
          <w:color w:val="auto"/>
        </w:rPr>
        <w:t>. For Mr. Hornbeck only, upon a Qualifying Termination in connection with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he will be eligible to continue to receive automobile benefits until the earlier of (i) his death and (ii) the 30-month anniversary of such termination.</w:t>
      </w:r>
    </w:p>
    <w:p>
      <w:pPr>
        <w:spacing w:after="0" w:line="17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Lapse of Transfer Restrictions on MIP Options and PSUs</w:t>
      </w:r>
      <w:r>
        <w:rPr>
          <w:rFonts w:ascii="Times New Roman" w:cs="Times New Roman" w:eastAsia="Times New Roman" w:hAnsi="Times New Roman"/>
          <w:sz w:val="18"/>
          <w:szCs w:val="18"/>
          <w:color w:val="auto"/>
        </w:rPr>
        <w:t>. Notwithstanding the terms of the 2020 Management Incentive Plan or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transfer restriction agreements thereunder (the “MIP Documents”), any transfer restrictions in the MIP Documents with respect to shares of our common stock issued in respect of options or PSUs granted under the 2020 Management Incentive Plan will terminate in accordance with the following schedule (to the extent not earlier terminated in accordance with their terms): (i) upon the consummation of this offering, the transfer restrictions will terminate with respect to 50% of each NEOs’ outstanding stock options and PSUs that, in each case, are or become vested as of such time, (ii) upon the one-year anniversary of the consummation of this offering, the transfer restrictions will terminate with respect to 100% of each NEOs’ outstanding stock options and PSUs that, in each case, are or become vested as of such time, and (iii) upon the applicable vesting date for each NEO’s outstanding stock options and PSUs that vest following the one-year anniversary of the consummation of this offering, the transfer restrictions will terminate immediately upon such applicable vesting date. For clarity, the lapse of the transfer restrictions in the MIP</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Documents will not affect the transfer restrictions that the NEOs will become subject to pursuant to any lock-up agreements that they enter into with the underwriters.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expect to adopt a non-employee director compensation policy to govern compensation paid to our non-employee directors. The non-employee director compensation policy will be designed to provide competitive compensation necessary to attract and retain high quality non-employee directors. We expect to continue to pay a combination of cash retainers and equity awards to each of our non-employee directors (other than those designated, nominated or appointed by or on behalf of our principal stockholders or those serving in an emeritus position, in each case, unless otherwise determined by our Board of Directors) for his or her services on our Board of Directors. We also expect to provide each non-employee director with reimbursement for reasonable travel and miscellaneous expenses incurred in attending meetings and activities of our Board of Directors and its committees.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as of July 31, 2024, after giving effect to the stock split, that, upon the consummation of this offering, and assuming the underwriters do not exercise their option to purchase additional common stock, will be owned by:</w:t>
      </w:r>
    </w:p>
    <w:p>
      <w:pPr>
        <w:spacing w:after="0" w:line="45" w:lineRule="exact"/>
        <w:rPr>
          <w:sz w:val="20"/>
          <w:szCs w:val="20"/>
          <w:color w:val="auto"/>
        </w:rPr>
      </w:pPr>
    </w:p>
    <w:p>
      <w:pPr>
        <w:ind w:left="980" w:hanging="432"/>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outstanding voting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table below excludes any purchases that may be made in this offering through our directed share program or otherwise in this offering. See “Underwriting (Conflicts of Interest) — Directed Share Program.”</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the footnotes below, the address of each beneficial owner is c/o Hornbeck Offshore Services, Inc., 103 Northpark Boulevard, Suite 300, Covington, Louisiana 70433.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80" w:type="dxa"/>
            <w:vAlign w:val="bottom"/>
            <w:tcBorders>
              <w:bottom w:val="single" w:sz="8" w:color="auto"/>
            </w:tcBorders>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5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8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Total</w:t>
            </w:r>
            <w:r>
              <w:rPr>
                <w:rFonts w:ascii="Times New Roman" w:cs="Times New Roman" w:eastAsia="Times New Roman" w:hAnsi="Times New Roman"/>
                <w:sz w:val="10"/>
                <w:szCs w:val="10"/>
                <w:b w:val="1"/>
                <w:bCs w:val="1"/>
                <w:color w:val="auto"/>
              </w:rPr>
              <w:t>(1)</w:t>
            </w: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Total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Funds, investment vehicles or accounts managed or advised by Ares or its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affiliates</w:t>
            </w:r>
            <w:r>
              <w:rPr>
                <w:rFonts w:ascii="Times New Roman" w:cs="Times New Roman" w:eastAsia="Times New Roman" w:hAnsi="Times New Roman"/>
                <w:sz w:val="26"/>
                <w:szCs w:val="26"/>
                <w:color w:val="auto"/>
                <w:vertAlign w:val="superscript"/>
              </w:rPr>
              <w:t>(2)</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41.85%</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Whitebox</w:t>
            </w:r>
            <w:r>
              <w:rPr>
                <w:rFonts w:ascii="Times New Roman" w:cs="Times New Roman" w:eastAsia="Times New Roman" w:hAnsi="Times New Roman"/>
                <w:sz w:val="25"/>
                <w:szCs w:val="25"/>
                <w:color w:val="auto"/>
                <w:vertAlign w:val="superscript"/>
              </w:rPr>
              <w:t>(3)</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22.39%</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Highbridge</w:t>
            </w:r>
            <w:r>
              <w:rPr>
                <w:rFonts w:ascii="Times New Roman" w:cs="Times New Roman" w:eastAsia="Times New Roman" w:hAnsi="Times New Roman"/>
                <w:sz w:val="25"/>
                <w:szCs w:val="25"/>
                <w:color w:val="auto"/>
                <w:vertAlign w:val="superscript"/>
              </w:rPr>
              <w:t>(4)</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10.61%</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Merced</w:t>
            </w:r>
            <w:r>
              <w:rPr>
                <w:rFonts w:ascii="Times New Roman" w:cs="Times New Roman" w:eastAsia="Times New Roman" w:hAnsi="Times New Roman"/>
                <w:sz w:val="25"/>
                <w:szCs w:val="25"/>
                <w:color w:val="auto"/>
                <w:vertAlign w:val="superscript"/>
              </w:rPr>
              <w:t>(5)</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7.03%</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Named Executive Officers, Directors and Director Nominees</w:t>
            </w:r>
            <w:r>
              <w:rPr>
                <w:rFonts w:ascii="Times New Roman" w:cs="Times New Roman" w:eastAsia="Times New Roman" w:hAnsi="Times New Roman"/>
                <w:sz w:val="25"/>
                <w:szCs w:val="25"/>
                <w:b w:val="1"/>
                <w:bCs w:val="1"/>
                <w:color w:val="auto"/>
                <w:vertAlign w:val="superscript"/>
              </w:rPr>
              <w:t>(6)</w:t>
            </w:r>
            <w:r>
              <w:rPr>
                <w:rFonts w:ascii="Times New Roman" w:cs="Times New Roman" w:eastAsia="Times New Roman" w:hAnsi="Times New Roman"/>
                <w:sz w:val="17"/>
                <w:szCs w:val="17"/>
                <w:b w:val="1"/>
                <w:bCs w:val="1"/>
                <w:color w:val="auto"/>
              </w:rPr>
              <w:t>:</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Todd M. Hornbeck</w:t>
            </w:r>
            <w:r>
              <w:rPr>
                <w:rFonts w:ascii="Times New Roman" w:cs="Times New Roman" w:eastAsia="Times New Roman" w:hAnsi="Times New Roman"/>
                <w:sz w:val="25"/>
                <w:szCs w:val="25"/>
                <w:color w:val="auto"/>
                <w:vertAlign w:val="superscript"/>
              </w:rPr>
              <w:t>(7)</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3.04%</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Carl G. Annessa</w:t>
            </w:r>
            <w:r>
              <w:rPr>
                <w:rFonts w:ascii="Times New Roman" w:cs="Times New Roman" w:eastAsia="Times New Roman" w:hAnsi="Times New Roman"/>
                <w:sz w:val="25"/>
                <w:szCs w:val="25"/>
                <w:color w:val="auto"/>
                <w:vertAlign w:val="superscript"/>
              </w:rPr>
              <w:t>(8)</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O. Harp, Jr.</w:t>
            </w:r>
            <w:r>
              <w:rPr>
                <w:rFonts w:ascii="Times New Roman" w:cs="Times New Roman" w:eastAsia="Times New Roman" w:hAnsi="Times New Roman"/>
                <w:sz w:val="25"/>
                <w:szCs w:val="25"/>
                <w:color w:val="auto"/>
                <w:vertAlign w:val="superscript"/>
              </w:rPr>
              <w:t>(9)</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Samuel A. Giberga</w:t>
            </w:r>
            <w:r>
              <w:rPr>
                <w:rFonts w:ascii="Times New Roman" w:cs="Times New Roman" w:eastAsia="Times New Roman" w:hAnsi="Times New Roman"/>
                <w:sz w:val="25"/>
                <w:szCs w:val="25"/>
                <w:color w:val="auto"/>
                <w:vertAlign w:val="superscript"/>
              </w:rPr>
              <w:t>(10)</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S. Cook</w:t>
            </w:r>
            <w:r>
              <w:rPr>
                <w:rFonts w:ascii="Times New Roman" w:cs="Times New Roman" w:eastAsia="Times New Roman" w:hAnsi="Times New Roman"/>
                <w:sz w:val="25"/>
                <w:szCs w:val="25"/>
                <w:color w:val="auto"/>
                <w:vertAlign w:val="superscript"/>
              </w:rPr>
              <w:t>(11)</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Kurt M. Cellar</w:t>
            </w:r>
            <w:r>
              <w:rPr>
                <w:rFonts w:ascii="Times New Roman" w:cs="Times New Roman" w:eastAsia="Times New Roman" w:hAnsi="Times New Roman"/>
                <w:sz w:val="25"/>
                <w:szCs w:val="25"/>
                <w:color w:val="auto"/>
                <w:vertAlign w:val="superscript"/>
              </w:rPr>
              <w:t>(12)</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Evan Behrens</w:t>
            </w:r>
            <w:r>
              <w:rPr>
                <w:rFonts w:ascii="Times New Roman" w:cs="Times New Roman" w:eastAsia="Times New Roman" w:hAnsi="Times New Roman"/>
                <w:sz w:val="25"/>
                <w:szCs w:val="25"/>
                <w:color w:val="auto"/>
                <w:vertAlign w:val="superscript"/>
              </w:rPr>
              <w:t>(13)</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Bobby Jindal</w:t>
            </w:r>
            <w:r>
              <w:rPr>
                <w:rFonts w:ascii="Times New Roman" w:cs="Times New Roman" w:eastAsia="Times New Roman" w:hAnsi="Times New Roman"/>
                <w:sz w:val="25"/>
                <w:szCs w:val="25"/>
                <w:color w:val="auto"/>
                <w:vertAlign w:val="superscript"/>
              </w:rPr>
              <w:t>(14)</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11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 Don Miller</w:t>
            </w:r>
            <w:r>
              <w:rPr>
                <w:rFonts w:ascii="Times New Roman" w:cs="Times New Roman" w:eastAsia="Times New Roman" w:hAnsi="Times New Roman"/>
                <w:sz w:val="25"/>
                <w:szCs w:val="25"/>
                <w:color w:val="auto"/>
                <w:vertAlign w:val="superscript"/>
              </w:rPr>
              <w:t>(15)</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Aaron Rosen</w:t>
            </w:r>
          </w:p>
        </w:tc>
        <w:tc>
          <w:tcPr>
            <w:tcW w:w="11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1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4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r>
              <w:rPr>
                <w:rFonts w:ascii="Times New Roman" w:cs="Times New Roman" w:eastAsia="Times New Roman" w:hAnsi="Times New Roman"/>
                <w:sz w:val="26"/>
                <w:szCs w:val="26"/>
                <w:color w:val="auto"/>
                <w:vertAlign w:val="superscript"/>
              </w:rPr>
              <w:t>(16)</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7.84%</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1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164</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hanging="544"/>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660" w:right="40" w:hanging="544"/>
        <w:spacing w:after="0" w:line="250"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underlying all Jones Act Warrants and Creditor Warrants owned by such person. The warrants are immediately exercisable but are subject to certain citizenship rules and limitations on exercise, sale, transfer or other disposition.</w:t>
      </w:r>
    </w:p>
    <w:tbl>
      <w:tblPr>
        <w:tblLayout w:type="fixed"/>
        <w:tblInd w:w="120" w:type="dxa"/>
        <w:tblCellMar>
          <w:top w:w="0" w:type="dxa"/>
          <w:left w:w="0" w:type="dxa"/>
          <w:bottom w:w="0" w:type="dxa"/>
          <w:right w:w="0" w:type="dxa"/>
        </w:tblCellMar>
      </w:tblPr>
      <w:tr>
        <w:trPr>
          <w:trHeight w:val="198"/>
        </w:trPr>
        <w:tc>
          <w:tcPr>
            <w:tcW w:w="380" w:type="dxa"/>
            <w:vAlign w:val="bottom"/>
          </w:tcPr>
          <w:p>
            <w:pPr>
              <w:jc w:val="right"/>
              <w:ind w:right="90"/>
              <w:spacing w:after="0" w:line="199" w:lineRule="exact"/>
              <w:rPr>
                <w:sz w:val="20"/>
                <w:szCs w:val="20"/>
                <w:color w:val="auto"/>
              </w:rPr>
            </w:pPr>
            <w:r>
              <w:rPr>
                <w:rFonts w:ascii="Times New Roman" w:cs="Times New Roman" w:eastAsia="Times New Roman" w:hAnsi="Times New Roman"/>
                <w:sz w:val="18"/>
                <w:szCs w:val="18"/>
                <w:color w:val="auto"/>
                <w:w w:val="85"/>
              </w:rPr>
              <w:t>(2)</w:t>
            </w:r>
          </w:p>
        </w:tc>
        <w:tc>
          <w:tcPr>
            <w:tcW w:w="1840" w:type="dxa"/>
            <w:vAlign w:val="bottom"/>
            <w:gridSpan w:val="3"/>
          </w:tcPr>
          <w:p>
            <w:pPr>
              <w:ind w:left="160"/>
              <w:spacing w:after="0" w:line="199" w:lineRule="exact"/>
              <w:rPr>
                <w:sz w:val="20"/>
                <w:szCs w:val="20"/>
                <w:color w:val="auto"/>
              </w:rPr>
            </w:pPr>
            <w:r>
              <w:rPr>
                <w:rFonts w:ascii="Times New Roman" w:cs="Times New Roman" w:eastAsia="Times New Roman" w:hAnsi="Times New Roman"/>
                <w:sz w:val="18"/>
                <w:szCs w:val="18"/>
                <w:color w:val="auto"/>
              </w:rPr>
              <w:t xml:space="preserve">Includes: (a) (i)        </w:t>
            </w:r>
          </w:p>
        </w:tc>
        <w:tc>
          <w:tcPr>
            <w:tcW w:w="5540" w:type="dxa"/>
            <w:vAlign w:val="bottom"/>
            <w:gridSpan w:val="3"/>
          </w:tcPr>
          <w:p>
            <w:pPr>
              <w:ind w:left="60"/>
              <w:spacing w:after="0" w:line="199" w:lineRule="exact"/>
              <w:rPr>
                <w:sz w:val="20"/>
                <w:szCs w:val="20"/>
                <w:color w:val="auto"/>
              </w:rPr>
            </w:pPr>
            <w:r>
              <w:rPr>
                <w:rFonts w:ascii="Times New Roman" w:cs="Times New Roman" w:eastAsia="Times New Roman" w:hAnsi="Times New Roman"/>
                <w:sz w:val="18"/>
                <w:szCs w:val="18"/>
                <w:color w:val="auto"/>
                <w:w w:val="98"/>
              </w:rPr>
              <w:t>shares of common stock held of record by ASSF IV HOS AIV 1, L.P., (ii)  </w:t>
            </w:r>
          </w:p>
        </w:tc>
        <w:tc>
          <w:tcPr>
            <w:tcW w:w="2620" w:type="dxa"/>
            <w:vAlign w:val="bottom"/>
            <w:gridSpan w:val="3"/>
          </w:tcPr>
          <w:p>
            <w:pPr>
              <w:ind w:left="60"/>
              <w:spacing w:after="0" w:line="199" w:lineRule="exact"/>
              <w:rPr>
                <w:sz w:val="20"/>
                <w:szCs w:val="20"/>
                <w:color w:val="auto"/>
              </w:rPr>
            </w:pPr>
            <w:r>
              <w:rPr>
                <w:rFonts w:ascii="Times New Roman" w:cs="Times New Roman" w:eastAsia="Times New Roman" w:hAnsi="Times New Roman"/>
                <w:sz w:val="18"/>
                <w:szCs w:val="18"/>
                <w:color w:val="auto"/>
                <w:w w:val="94"/>
              </w:rPr>
              <w:t>      shares of common stock and  </w:t>
            </w:r>
          </w:p>
        </w:tc>
        <w:tc>
          <w:tcPr>
            <w:tcW w:w="62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80" w:type="dxa"/>
            <w:vAlign w:val="bottom"/>
          </w:tcPr>
          <w:p>
            <w:pPr>
              <w:spacing w:after="0"/>
              <w:rPr>
                <w:sz w:val="18"/>
                <w:szCs w:val="18"/>
                <w:color w:val="auto"/>
              </w:rPr>
            </w:pPr>
          </w:p>
        </w:tc>
        <w:tc>
          <w:tcPr>
            <w:tcW w:w="958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 xml:space="preserve">shares of common stock issuable upon the exercise of Jones Act Warrants held of record by ASSF IV HOS AIV 2, L.P., (iii)        </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shares of</w:t>
            </w:r>
          </w:p>
        </w:tc>
      </w:tr>
      <w:tr>
        <w:trPr>
          <w:trHeight w:val="216"/>
        </w:trPr>
        <w:tc>
          <w:tcPr>
            <w:tcW w:w="380" w:type="dxa"/>
            <w:vAlign w:val="bottom"/>
          </w:tcPr>
          <w:p>
            <w:pPr>
              <w:spacing w:after="0"/>
              <w:rPr>
                <w:sz w:val="18"/>
                <w:szCs w:val="18"/>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common stock and     </w:t>
            </w:r>
          </w:p>
        </w:tc>
        <w:tc>
          <w:tcPr>
            <w:tcW w:w="878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color w:val="auto"/>
                <w:w w:val="99"/>
              </w:rPr>
              <w:t>   shares of common stock issuable upon the exercise of Jones Act Warrants held of record by ASSF IV AIV B, L.P.</w:t>
            </w:r>
          </w:p>
        </w:tc>
      </w:tr>
      <w:tr>
        <w:trPr>
          <w:trHeight w:val="216"/>
        </w:trPr>
        <w:tc>
          <w:tcPr>
            <w:tcW w:w="3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and (iv)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5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shares of common stock issuable upon the exercise of Jones Act Warrants and  </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shares</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of common stock issuable upon the exercise of Creditor Warrants held of record by ASSF IV AIV B Holdings III, L.P. (the entities referred to in</w:t>
            </w:r>
          </w:p>
        </w:tc>
      </w:tr>
      <w:tr>
        <w:trPr>
          <w:trHeight w:val="216"/>
        </w:trPr>
        <w:tc>
          <w:tcPr>
            <w:tcW w:w="38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7"/>
              </w:rPr>
              <w:t>clause (a) collectively, the “Ares SSF Holders”); (b) (i)  </w:t>
            </w:r>
          </w:p>
        </w:tc>
        <w:tc>
          <w:tcPr>
            <w:tcW w:w="57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7"/>
              </w:rPr>
              <w:t>      shares of common stock held of record by ASOF HOS AIV 1, L.P., (ii)  </w:t>
            </w: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shares of common stock and          shares of common stock issuable upon the exercise of Jones Act Warrants held of record by ASOF HOS</w:t>
            </w:r>
          </w:p>
        </w:tc>
      </w:tr>
      <w:tr>
        <w:trPr>
          <w:trHeight w:val="216"/>
        </w:trPr>
        <w:tc>
          <w:tcPr>
            <w:tcW w:w="380" w:type="dxa"/>
            <w:vAlign w:val="bottom"/>
          </w:tcPr>
          <w:p>
            <w:pPr>
              <w:spacing w:after="0"/>
              <w:rPr>
                <w:sz w:val="18"/>
                <w:szCs w:val="18"/>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AIV 2, L.P., (iii)        </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63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shares of common stock issuable upon the exercise of Jones Act Warrants and        </w:t>
            </w:r>
          </w:p>
        </w:tc>
      </w:tr>
      <w:tr>
        <w:trPr>
          <w:trHeight w:val="216"/>
        </w:trPr>
        <w:tc>
          <w:tcPr>
            <w:tcW w:w="380" w:type="dxa"/>
            <w:vAlign w:val="bottom"/>
          </w:tcPr>
          <w:p>
            <w:pPr>
              <w:spacing w:after="0"/>
              <w:rPr>
                <w:sz w:val="18"/>
                <w:szCs w:val="18"/>
                <w:color w:val="auto"/>
              </w:rPr>
            </w:pPr>
          </w:p>
        </w:tc>
        <w:tc>
          <w:tcPr>
            <w:tcW w:w="914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 xml:space="preserve">shares of common stock issuable upon the exercise of Creditor Warrants held of record by ASOF Holdings I, L.P., (iv)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shares of common</w:t>
            </w:r>
          </w:p>
        </w:tc>
      </w:tr>
      <w:tr>
        <w:trPr>
          <w:trHeight w:val="216"/>
        </w:trPr>
        <w:tc>
          <w:tcPr>
            <w:tcW w:w="3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3"/>
              </w:rPr>
              <w:t>stock and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942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w w:val="99"/>
              </w:rPr>
              <w:t>   shares of common stock issuable upon the exercise of Jones Act Warrants held of record by and ASOF II Holdings I, L.P. and</w:t>
            </w:r>
          </w:p>
        </w:tc>
      </w:tr>
      <w:tr>
        <w:trPr>
          <w:trHeight w:val="216"/>
        </w:trPr>
        <w:tc>
          <w:tcPr>
            <w:tcW w:w="3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(v)        </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shares of common stock and        </w:t>
            </w:r>
          </w:p>
        </w:tc>
        <w:tc>
          <w:tcPr>
            <w:tcW w:w="698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w w:val="99"/>
              </w:rPr>
              <w:t>shares of common stock issuable upon the exercise of Jones Act Warrants held of record by</w:t>
            </w:r>
          </w:p>
        </w:tc>
      </w:tr>
      <w:tr>
        <w:trPr>
          <w:trHeight w:val="216"/>
        </w:trPr>
        <w:tc>
          <w:tcPr>
            <w:tcW w:w="380" w:type="dxa"/>
            <w:vAlign w:val="bottom"/>
          </w:tcPr>
          <w:p>
            <w:pPr>
              <w:spacing w:after="0"/>
              <w:rPr>
                <w:sz w:val="18"/>
                <w:szCs w:val="18"/>
                <w:color w:val="auto"/>
              </w:rPr>
            </w:pPr>
          </w:p>
        </w:tc>
        <w:tc>
          <w:tcPr>
            <w:tcW w:w="914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 xml:space="preserve">ASOF II A (DE) Holdings I, L.P. (the entities referred to in clause (b) collectively, the “Ares SOF Holders”); and (c)        </w:t>
            </w: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shares of common</w:t>
            </w:r>
          </w:p>
        </w:tc>
      </w:tr>
      <w:tr>
        <w:trPr>
          <w:trHeight w:val="216"/>
        </w:trPr>
        <w:tc>
          <w:tcPr>
            <w:tcW w:w="3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stock,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shares of common stock issuable upon the exercise of Jones Act Warrants and        </w:t>
            </w:r>
          </w:p>
        </w:tc>
        <w:tc>
          <w:tcPr>
            <w:tcW w:w="3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shares of common stock issuable upon the</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exercise of Creditor Warrants held of record by two accounts managed or subadvised by Ares Management LLC with respect to which the Ares</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Entities (as defined below) may be deemed to have shared voting or dispositive power with the owner of such account (the “Managed Accounts”</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and, such shares, the “Managed Shares”). The Ares SSF Holders, the Ares SOF Holders and the Managed Accounts are collectively referred to</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as the “Holders”). The Ares Entities disclaim beneficial ownership of the Managed Shares for purposes of Section 16 and this registration</w:t>
            </w:r>
          </w:p>
        </w:tc>
      </w:tr>
      <w:tr>
        <w:trPr>
          <w:trHeight w:val="216"/>
        </w:trPr>
        <w:tc>
          <w:tcPr>
            <w:tcW w:w="380" w:type="dxa"/>
            <w:vAlign w:val="bottom"/>
          </w:tcPr>
          <w:p>
            <w:pPr>
              <w:spacing w:after="0"/>
              <w:rPr>
                <w:sz w:val="18"/>
                <w:szCs w:val="18"/>
                <w:color w:val="auto"/>
              </w:rPr>
            </w:pPr>
          </w:p>
        </w:tc>
        <w:tc>
          <w:tcPr>
            <w:tcW w:w="106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statement shall not be deemed an admission that any of the Ares Entities are the beneficial owner of the Managed Shares for purposes of Section</w:t>
            </w:r>
          </w:p>
        </w:tc>
      </w:tr>
      <w:tr>
        <w:trPr>
          <w:trHeight w:val="234"/>
        </w:trPr>
        <w:tc>
          <w:tcPr>
            <w:tcW w:w="380" w:type="dxa"/>
            <w:vAlign w:val="bottom"/>
          </w:tcPr>
          <w:p>
            <w:pPr>
              <w:spacing w:after="0"/>
              <w:rPr>
                <w:sz w:val="20"/>
                <w:szCs w:val="20"/>
                <w:color w:val="auto"/>
              </w:rPr>
            </w:pPr>
          </w:p>
        </w:tc>
        <w:tc>
          <w:tcPr>
            <w:tcW w:w="3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16 or for any other purpose.</w:t>
            </w:r>
          </w:p>
        </w:tc>
        <w:tc>
          <w:tcPr>
            <w:tcW w:w="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103" w:lineRule="exact"/>
        <w:rPr>
          <w:sz w:val="20"/>
          <w:szCs w:val="20"/>
          <w:color w:val="auto"/>
        </w:rPr>
      </w:pPr>
    </w:p>
    <w:p>
      <w:pPr>
        <w:ind w:left="660" w:right="20" w:hanging="544"/>
        <w:spacing w:after="0" w:line="254"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Managed Accounts.</w:t>
      </w:r>
    </w:p>
    <w:p>
      <w:pPr>
        <w:spacing w:after="0" w:line="97" w:lineRule="exact"/>
        <w:rPr>
          <w:rFonts w:ascii="Times New Roman" w:cs="Times New Roman" w:eastAsia="Times New Roman" w:hAnsi="Times New Roman"/>
          <w:sz w:val="18"/>
          <w:szCs w:val="18"/>
          <w:color w:val="auto"/>
        </w:rPr>
      </w:pPr>
    </w:p>
    <w:p>
      <w:pPr>
        <w:ind w:left="660" w:right="340" w:hanging="544"/>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each of the Ares Entities may be deemed to share beneficial ownership of the securities held of record by the Holders, but each disclaims any such beneficial ownership of securities not held of record by them.</w:t>
      </w:r>
    </w:p>
    <w:p>
      <w:pPr>
        <w:spacing w:after="0" w:line="67" w:lineRule="exact"/>
        <w:rPr>
          <w:rFonts w:ascii="Times New Roman" w:cs="Times New Roman" w:eastAsia="Times New Roman" w:hAnsi="Times New Roman"/>
          <w:sz w:val="18"/>
          <w:szCs w:val="18"/>
          <w:color w:val="auto"/>
        </w:rPr>
      </w:pPr>
    </w:p>
    <w:p>
      <w:pPr>
        <w:ind w:left="660" w:right="120" w:hanging="544"/>
        <w:spacing w:after="0" w:line="26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Partners is managed by a board of managers, which is composed of Michael J Arougheti, Ryan Berry,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529"/>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2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shares issuable upon the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exercise of Jones Act Warrants and          shares issuable upon exercise of Creditor Warrants. Whitebox is the investment manager of its</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affiliated entities (each, a “Whitebox Entity” and collectively, the “Whitebox Entities”) that own shares of our common stock and has voting and</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disposition control over the shares of common stock owned by the Whitebox Entities. Whitebox Advisors LLC is owned by the following</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members: Robert Vogel, Jacob Mercer, Nick Stukas, Brian Lutz, Paul Roos, Simon Waxley and Blue Owl GP Stakes II (A), LP, a non-voting</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member, and such individuals and entity disclaim beneficial ownership of the securities described in the table above held by the Whitebox</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Entities, except to the extent of his or its direct or indirect economic interest in Whitebox Advisors LLC or the selling shareholders. The address</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of the business office of each Whitebox Entity and Whitebox Advisors LLC is 3033 Excelsior Blvd., Suite 500, Minneapolis, MN 55416.</w:t>
            </w:r>
          </w:p>
        </w:tc>
      </w:tr>
      <w:tr>
        <w:trPr>
          <w:trHeight w:val="216"/>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 issuable upon the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exercise of Jones Act Warrants. Highbridge Capital Management, LLC is the trading manager of certain entities (collectively, the “Highbridge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Entities”) that own shares. The Highbridge Entities disclaim beneficial ownership over these shares. The address of Highbridge Capital</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Management, LLC is 277 Park Avenue, 23rd Floor, New York, NY 10172, and the address of the Highbridge Entities is c/o Maples Corporate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Services Limited, #309 Ugland House, South Church Street, George Town, Grand Cayman KY1-1104, Cayman Islands.</w:t>
            </w:r>
          </w:p>
        </w:tc>
      </w:tr>
      <w:tr>
        <w:trPr>
          <w:trHeight w:val="23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shares issuable upon</w:t>
            </w:r>
          </w:p>
        </w:tc>
      </w:tr>
    </w:tbl>
    <w:p>
      <w:pPr>
        <w:ind w:left="660" w:right="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Creditor Warrants. Merced Capital, L.P. (“Merced”) is the general partner of and/or investment adviser to certain entities (collectively, the “Merced Entities”) that directly hold shares of our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w:t>
      </w:r>
    </w:p>
    <w:p>
      <w:pPr>
        <w:spacing w:after="0" w:line="3" w:lineRule="exact"/>
        <w:rPr>
          <w:sz w:val="20"/>
          <w:szCs w:val="20"/>
          <w:color w:val="auto"/>
        </w:rPr>
      </w:pPr>
    </w:p>
    <w:p>
      <w:pPr>
        <w:ind w:left="660" w:hanging="544"/>
        <w:spacing w:after="0"/>
        <w:tabs>
          <w:tab w:leader="none" w:pos="6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w:t>
            </w:r>
          </w:p>
        </w:tc>
      </w:tr>
      <w:tr>
        <w:trPr>
          <w:trHeight w:val="216"/>
        </w:trPr>
        <w:tc>
          <w:tcPr>
            <w:tcW w:w="420" w:type="dxa"/>
            <w:vAlign w:val="bottom"/>
          </w:tcPr>
          <w:p>
            <w:pPr>
              <w:spacing w:after="0"/>
              <w:rPr>
                <w:sz w:val="18"/>
                <w:szCs w:val="18"/>
                <w:color w:val="auto"/>
              </w:rPr>
            </w:pPr>
          </w:p>
        </w:tc>
        <w:tc>
          <w:tcPr>
            <w:tcW w:w="105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(as defined in the 2020 Management Incentive Plan) or an initial public offering if certain performance criteria are met.</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34"/>
        </w:trPr>
        <w:tc>
          <w:tcPr>
            <w:tcW w:w="420" w:type="dxa"/>
            <w:vAlign w:val="bottom"/>
          </w:tcPr>
          <w:p>
            <w:pPr>
              <w:spacing w:after="0"/>
              <w:rPr>
                <w:sz w:val="20"/>
                <w:szCs w:val="20"/>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182" w:name="page183"/>
    <w:bookmarkEnd w:id="1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29"/>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120" w:type="dxa"/>
            <w:vAlign w:val="bottom"/>
          </w:tcPr>
          <w:p>
            <w:pPr>
              <w:spacing w:after="0"/>
              <w:rPr>
                <w:sz w:val="18"/>
                <w:szCs w:val="18"/>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shares of common stock under</w:t>
            </w:r>
          </w:p>
        </w:tc>
      </w:tr>
      <w:tr>
        <w:trPr>
          <w:trHeight w:val="216"/>
        </w:trPr>
        <w:tc>
          <w:tcPr>
            <w:tcW w:w="540" w:type="dxa"/>
            <w:vAlign w:val="bottom"/>
          </w:tcPr>
          <w:p>
            <w:pPr>
              <w:spacing w:after="0"/>
              <w:rPr>
                <w:sz w:val="18"/>
                <w:szCs w:val="18"/>
                <w:color w:val="auto"/>
              </w:rPr>
            </w:pPr>
          </w:p>
        </w:tc>
        <w:tc>
          <w:tcPr>
            <w:tcW w:w="105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vested but unsettled RSUs and          shares of common stock under stock options or PSUs that may vest in the event of a change of control or</w:t>
            </w:r>
          </w:p>
        </w:tc>
      </w:tr>
      <w:tr>
        <w:trPr>
          <w:trHeight w:val="234"/>
        </w:trPr>
        <w:tc>
          <w:tcPr>
            <w:tcW w:w="54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4"/>
        </w:trPr>
        <w:tc>
          <w:tcPr>
            <w:tcW w:w="540" w:type="dxa"/>
            <w:vAlign w:val="bottom"/>
          </w:tcPr>
          <w:p>
            <w:pPr>
              <w:spacing w:after="0"/>
              <w:rPr>
                <w:sz w:val="24"/>
                <w:szCs w:val="24"/>
                <w:color w:val="auto"/>
              </w:rPr>
            </w:pPr>
          </w:p>
        </w:tc>
        <w:tc>
          <w:tcPr>
            <w:tcW w:w="5400" w:type="dxa"/>
            <w:vAlign w:val="bottom"/>
            <w:gridSpan w:val="2"/>
          </w:tcPr>
          <w:p>
            <w:pPr>
              <w:ind w:left="494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040"/>
          </w:cols>
          <w:pgMar w:left="320" w:top="446" w:right="5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the past 27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The Company has determined that the use of the Ranch in the past and going forward has been and is beneficial to the Company’s business. On September 4, 2020,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agreements govern the Company’s use of the Ranch and related facilities. The Facilities Use Agreement will remain in effect until December 31, 2024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2022, the operating budget set by the Board was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 For 2024, the operating budget was set at $450,000, inclusive of an annual use fee of $150,000.</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2006, Larry D. Hornbeck transferred ownership of the land on which the Ranch is located to a family limited partnership in which trusts on behalf of the children of Todd M. Hornbeck and Troy A. Hornbeck are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partners. The general partner of the family limited partnership is controlled by Todd M. Hornbeck and</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8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written notice of termination.</w:t>
      </w:r>
    </w:p>
    <w:p>
      <w:pPr>
        <w:spacing w:after="0" w:line="183"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Ms. Kerrigan assumed an officer role with an existing Hornbeck customer. For the six months ended June 30, 2024 and the year ended December 31, 2023, the Company generated $45.8 and $111.9 million of revenues from contracts with such customer, respectively, which accounted for approximately 14.9% and 20% of the Company’s total revenues, respectively. The Company had outstanding accounts receivable from this customer totaling $10.7 million and $8.0 million as of June 30, 2024 and December 31,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Third and Fourth Amended and Restated License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Third A&amp;R License Agreement, the Company is required to make an annual payment to HFR of $1.0 million for use of the Hornbeck Brands. An additional fee is due upon the Company achieving certain EBITDA thresholds. The Company made payments of $2.0 million and $1.0 million to HFR in 2023 and 2022, respectively, for licensing fees associated with the use of the Hornbeck Brands. Upon closing of this offering, the Company will have entered into a Fourth Amended and Restated Trade Name and Trademark License Agreement (the “Fourth A&amp;R License Agreement”) that eliminates the ongoing annual $1 million fee and EBITDA bonus in exchange for a single one-time payment of $10 million paid to HFR. The license will be for ten years and renewable for an additional ten years for a payment of $10 million (adjusted for inflation over the first ten-year term). For additional details and risks associated with the Fourth A&amp;R License Agreement, see “Risk Factors—We do not own the Hornbeck Brands, but may use the Hornbeck Brands pursuant to the terms of a license granted by HFR, and our business may be materially harmed if we breach our license agreement or it is terminated.”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Securityholders’ Agreement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Pursuant to the A&amp;R Securityholders Agreement, we will agree to take all necessary action (subject to applicable law) to cause the election of each director designated by Ares, Highbridge or Whitebox in their capacities as Appointing Persons in accordance with the terms of our amended and restated certificate of incorporation. The A&amp;R Securityholders’ Agreement also provides that we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The A&amp;R Securityholders Agreement will also provide our principal stockholders with certain information rights, including certain limited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access to our books, records and accounts and the ability to share such information with our principal stockholders, for so long as such holder owns at least   % of our Fully Diluted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closing of this offering, we will enter into a registration rights agreement (the “Registration Rights Agreement”) with our principal stockholders granting them certain registration rights. Specifically, we will agree to register the sale of shares of our common stock owned by, or issuable upon</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exercise of the Jones Act Warrants and Creditor Warrants owned by, such principal stockholders under certain circumstances, and to provide such principal stockholders with certain customary demand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Participants in the directed share program will not be subject to the terms of any lock-up agreement with respect to any shares purchased through the directed share program, except in the case of shares purchased by any of our directors or officers, and our existing significant stockholders.       will administer our directed share program. We have agreed to indemnify       in connection with the directed share program, including for the failure of any participant to pay for its shares. Other than the underwriting discount set forth on the cover page of this prospectus, the underwriters will not be entitled to any commission with respect to shares of our common stock sold pursuant to the directed share program. See “Underwriting (Conflicts of Interest)—Directed Share Program.”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60"/>
          </w:cols>
          <w:pgMar w:left="320" w:top="455" w:right="5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 AND WARRANTS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our amended and restated bylaws, the A&amp;R Securityholders Agreement, each of which will be in effect upon the consummation of this offering, the Jones Act Warrant Agreement (as defined below) and the Creditor Warrant Agreement (as defined below), all of which are filed as exhibits 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our authorized capital stock of will consist of         shares of common stock, par value $0.00001 per share, of which         shares will be issued and outstanding, and         shares of preferred stock, par value $0.00001 per share, of which no shares will be issued and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Following this offering, we will have one outstanding class of stock, our common stock, and all voting rights will be vested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73"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will be entitled to receive dividends, if any, in the amounts and at the times declared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w:t>
      </w:r>
    </w:p>
    <w:p>
      <w:pPr>
        <w:spacing w:after="0" w:line="158"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winding-up, the assets legally available for distribution to our stockholders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7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Assessment and Redemption</w:t>
      </w:r>
      <w:r>
        <w:rPr>
          <w:rFonts w:ascii="Times New Roman" w:cs="Times New Roman" w:eastAsia="Times New Roman" w:hAnsi="Times New Roman"/>
          <w:sz w:val="18"/>
          <w:szCs w:val="18"/>
          <w:color w:val="auto"/>
        </w:rPr>
        <w:t>. All shares of common stock that will be outstanding at the time of the completion of the offering will be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fully paid and nonassessable. There will be no provision for any voluntary redemption of common stock.</w:t>
      </w:r>
    </w:p>
    <w:p>
      <w:pPr>
        <w:spacing w:after="0" w:line="158"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Upon the completion of this offering, holders of our common stock will not have any preemptive right to subscribe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issue of its common stock or to any security convertible into such stock.</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Limitations on Ownership by Non-U.S. Citizens</w:t>
      </w:r>
      <w:r>
        <w:rPr>
          <w:rFonts w:ascii="Times New Roman" w:cs="Times New Roman" w:eastAsia="Times New Roman" w:hAnsi="Times New Roman"/>
          <w:sz w:val="18"/>
          <w:szCs w:val="18"/>
          <w:color w:val="auto"/>
        </w:rPr>
        <w:t>. We own and operate U.S.-flag vessels in the U.S. coastwise trade. Accordingly, we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our outstanding common stock by non-U.S. citizens in the aggregate to not more than 24%. Our amended and restated certificate of incorporation further prohibits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incorporation further provides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further provides that we may require beneficial owners of its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following this offering, we will have two series of outstanding warrants: (i) warrants issued to certain creditors of the Company in settlement of certain prepetition liabilities in connection with the consummation of the Chapter 11 Cases (the “Creditor Warrants”) and (ii) warrants issued to certain non-U.S. citizens in settlement of certain prepetition liabilities in connection with the consummation of the Chapter 11 Cases (the “Jones Act Warrants” and together with the Creditor Warrants, the “Warrants”).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Creditor Warrants have seven-year terms and are exercisable through September 4, 2027. Each Creditor Warrant represents the right to purchase one share of common stock, par value $0.00001 per share, at an exercise price of $27.83 per share ($        per share after giving effect to the stock split),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Following this offering and after giving effect to the stock split, there will be outstanding Creditor Warrants to purchase up to         shares of common stock.</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Following this offering and after giving effect to the stock split, assuming no issuance or exercise of additional Jones Act Warrants, there will be outstanding Jones Act Warrants to purchase up to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is authorized to issue up to         shares of our preferred stock in one or more series, to establish from time to 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Limitations on Liability of Directors and Officers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permitted by the DGCL, our amended and restated certificate of incorporation contains provisions that eliminate the personal liability of our directors and officers to us and our stockholders to the fullest extent permitted by the DGCL. However, these provisions do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we will indemnify and advance expenses to, and hold harmless, each of our directors and officers, to the fullest extent permitted by applicable law, who was or is a party or is threatened to be made a party to any threatened, pending or completed action, suit or proceeding, whether civil, criminal, administrative or investigative, by reason of the fact that he or she, or a person for whom he or she is the legal representative, is or was a director or officer of Hornbeck or, while holding such office or serving in such position, is or was serving at the request of us as a director, officer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us to procure a judgment in its favor) actually and reasonably incurred by such person. Our amended and restated certificate of incorporation further provides that we shall only be required to indemnify a person potentially eligible for indemnification (as specified above) in connection with a proceeding commenced by such person if the commencement of such proceeding (or part thereof) by the person was authorized by the Board of Directors.</w:t>
      </w:r>
    </w:p>
    <w:p>
      <w:pPr>
        <w:spacing w:after="0" w:line="19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7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203 of the DGCL</w:t>
      </w:r>
      <w:r>
        <w:rPr>
          <w:rFonts w:ascii="Times New Roman" w:cs="Times New Roman" w:eastAsia="Times New Roman" w:hAnsi="Times New Roman"/>
          <w:sz w:val="18"/>
          <w:szCs w:val="18"/>
          <w:color w:val="auto"/>
        </w:rPr>
        <w:t>. We have opted out of Section 203 of the DGCL. This statute prevents certain Delaware corporations,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Board of Directors to issue authorized but unissued shares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the Board of Directors with the authority to determine and fix the powers, preferences, rights, qualifications, limitations and restrictions of shares of preferred stock issued by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Rights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following the completion of this offering, the Ares principal stockholders will have the right to nominate to our Board of Directors (i) two nominees for so long as the Ares principal stockholders beneficially own   % or greater of our Fully Diluted Securities and (ii) one nominee for so long as the Ares principal stockholders beneficially own   % or greater, but less than   %, of our Fully Diluted Securities.         and         will be the initial director nominees of the Ares principal stockholders. The Highbridge principal stockholders will have the right to nominate to our Board of Directors one nominee for so long as the Highbridge principal stockholders beneficially own   % or greater of our Fully Diluted Securities. will be the initial director nominee of the Highbridge principal stockholders. The Whitebox principal stockholders will have the right to nominate to our Board of Directors one nominee for so long as the Whitebox principal stockholders</w:t>
      </w:r>
    </w:p>
    <w:p>
      <w:pPr>
        <w:spacing w:after="0" w:line="2"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beneficially own   % or greater of our Fully Diluted Securities.         will be the initial director nominee of the Whitebox principal stockholders. Further, for so long as any Appointing Person beneficially owns   % or greater of our Fully Diluted Securities, subject to applicable law and NYSE</w:t>
      </w:r>
    </w:p>
    <w:p>
      <w:pPr>
        <w:spacing w:after="0" w:line="1" w:lineRule="exact"/>
        <w:rPr>
          <w:sz w:val="20"/>
          <w:szCs w:val="20"/>
          <w:color w:val="auto"/>
        </w:rPr>
      </w:pPr>
    </w:p>
    <w:p>
      <w:pPr>
        <w:ind w:left="120" w:right="680"/>
        <w:spacing w:after="0" w:line="260" w:lineRule="auto"/>
        <w:rPr>
          <w:sz w:val="20"/>
          <w:szCs w:val="20"/>
          <w:color w:val="auto"/>
        </w:rPr>
      </w:pPr>
      <w:r>
        <w:rPr>
          <w:rFonts w:ascii="Times New Roman" w:cs="Times New Roman" w:eastAsia="Times New Roman" w:hAnsi="Times New Roman"/>
          <w:sz w:val="18"/>
          <w:szCs w:val="18"/>
          <w:color w:val="auto"/>
        </w:rPr>
        <w:t>rules, such Appointing Person shall have the right to designate one director to serve on each of the compensation and the nominating, corporate governance and sustainability committees of our Board of Directors.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ind w:left="560"/>
        <w:spacing w:after="0"/>
        <w:tabs>
          <w:tab w:leader="none" w:pos="10320" w:val="left"/>
        </w:tabs>
        <w:rPr>
          <w:sz w:val="20"/>
          <w:szCs w:val="20"/>
          <w:color w:val="auto"/>
        </w:rPr>
      </w:pPr>
      <w:r>
        <w:rPr>
          <w:rFonts w:ascii="Times New Roman" w:cs="Times New Roman" w:eastAsia="Times New Roman" w:hAnsi="Times New Roman"/>
          <w:sz w:val="18"/>
          <w:szCs w:val="18"/>
          <w:color w:val="auto"/>
        </w:rPr>
        <w:t>Subject to certain exceptions, for so long as the principal stockholders who retain director nomination rights collectively own at least  </w:t>
        <w:tab/>
        <w:t>%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Fully Diluted Securities, the following actions will require the prior written consent of Ares and at least one of Highbridge or Whitebox:</w:t>
      </w:r>
    </w:p>
    <w:p>
      <w:pPr>
        <w:spacing w:after="0" w:line="112" w:lineRule="exact"/>
        <w:rPr>
          <w:sz w:val="20"/>
          <w:szCs w:val="20"/>
          <w:color w:val="auto"/>
        </w:rPr>
      </w:pPr>
    </w:p>
    <w:p>
      <w:pPr>
        <w:ind w:left="980" w:right="20" w:hanging="432"/>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all or substantially all of our assets, taken as a whole, to another entity, or undertaking any transaction that would constitute a “Change of Control” as defined in the Company’s debt agreements;</w:t>
      </w:r>
    </w:p>
    <w:p>
      <w:pPr>
        <w:spacing w:after="0" w:line="67"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disposing of assets, in a single transaction or a series of related transactions, or entering into joint ventures, investments into an unrelated party or contracts, in each case with a value in excess of the greater of (i) thirty percent of the total assets of the Company and its subsidiaries consolidated as of the end of the most recently completed fiscal year and (ii) $300 million;</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indebtedness in a single transaction or a series of related transactions in an aggregate principal amount that both (i) causes the</w:t>
      </w:r>
    </w:p>
    <w:p>
      <w:pPr>
        <w:spacing w:after="0" w:line="27" w:lineRule="exact"/>
        <w:rPr>
          <w:sz w:val="20"/>
          <w:szCs w:val="20"/>
          <w:color w:val="auto"/>
        </w:rPr>
      </w:pPr>
    </w:p>
    <w:p>
      <w:pPr>
        <w:ind w:left="980"/>
        <w:spacing w:after="0"/>
        <w:tabs>
          <w:tab w:leader="none" w:pos="6100" w:val="left"/>
          <w:tab w:leader="none" w:pos="6280" w:val="left"/>
          <w:tab w:leader="none" w:pos="6460" w:val="left"/>
          <w:tab w:leader="none" w:pos="6680" w:val="left"/>
        </w:tabs>
        <w:rPr>
          <w:sz w:val="20"/>
          <w:szCs w:val="20"/>
          <w:color w:val="auto"/>
        </w:rPr>
      </w:pPr>
      <w:r>
        <w:rPr>
          <w:rFonts w:ascii="Times New Roman" w:cs="Times New Roman" w:eastAsia="Times New Roman" w:hAnsi="Times New Roman"/>
          <w:sz w:val="18"/>
          <w:szCs w:val="18"/>
          <w:color w:val="auto"/>
        </w:rPr>
        <w:t xml:space="preserve">Company’s ratio of debt to EBITDA to exceed 3:1 and (ii) exceeds $ </w:t>
        <w:tab/>
        <w:t> </w:t>
        <w:tab/>
        <w:t> </w:t>
        <w:tab/>
        <w:t> </w:t>
        <w:tab/>
        <w:t>million;</w:t>
      </w:r>
    </w:p>
    <w:p>
      <w:pPr>
        <w:spacing w:after="0" w:line="112" w:lineRule="exact"/>
        <w:rPr>
          <w:sz w:val="20"/>
          <w:szCs w:val="20"/>
          <w:color w:val="auto"/>
        </w:rPr>
      </w:pPr>
    </w:p>
    <w:p>
      <w:pPr>
        <w:ind w:left="980" w:right="920" w:hanging="432"/>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equity of the Company or any of its subsidiaries other than pursuant to an equity compensation plan approved by the stockholders or a majority of the directors nominated by the Appointing Persons;</w:t>
      </w:r>
    </w:p>
    <w:p>
      <w:pPr>
        <w:spacing w:after="0" w:line="67" w:lineRule="exact"/>
        <w:rPr>
          <w:rFonts w:ascii="Times New Roman" w:cs="Times New Roman" w:eastAsia="Times New Roman" w:hAnsi="Times New Roman"/>
          <w:sz w:val="18"/>
          <w:szCs w:val="18"/>
          <w:color w:val="auto"/>
        </w:rPr>
      </w:pPr>
    </w:p>
    <w:p>
      <w:pPr>
        <w:ind w:left="980" w:right="180" w:hanging="432"/>
        <w:spacing w:after="0" w:line="26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transactions, agreements, arrangements or payments with any Appointing Person or any other person who, together with its affiliates, owns greater than or equal to 10% of the common stock then outstanding that are material or involve aggregate payments or receipts in excess of $250,000;</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any liquidation, dissolution or voluntary bankruptcy, administration, recapitalization or reorganization;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decreasing the size of the Board of Directors;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agreement to do any of the foregoing.</w:t>
      </w:r>
    </w:p>
    <w:p>
      <w:pPr>
        <w:spacing w:after="0" w:line="225"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For so long as any of the principal stockholders own any Fully Diluted Securities, each of the following actions shall require the prior written consent of such principal stockholder: (i) any amendment, waiver or other modification of the A&amp;R Securityholders Agreement or any other stockholders’ agreement with respect to the shares of common stock to which such principal stockholder is a party; and (ii) any amendment of our amended and restated certificate of incorporation or amended and restated certificate bylaws that adversely affects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personal right of such principal stockholder thereunder in any material respect or disproportionately and adversely affects such principal stockholder thereunder in any material respect.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advance notice procedures for stockholders to nominate candidates for election as directors at our annual and special meetings of stockholders and for stockholders seeking to bring business before its annual meeting of stockholders. Our amended and restated bylaws also specify certain requirements regarding the form and content of a stockholder’s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of the Amended and Restated Certificate of Incorporation or Bylaws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any time after the date that the Appointing Persons cease to collectively own at least 35% of our outstanding common stock (the “Trigger Date”), the amendment of certain customary provisions of our amended and restated certificate of incorporation will require the approval of at least two-thirds of the voting power of our outstanding common stock. Subject to the consent rights described above, the Board of Directors may amend our amended and restated bylaws without stockholder approval, and the stockholders may amend our amended and restated bylaws by the affirmative vote of a majority of the voting power of our outstanding common stock; provided, however, that after the Trigger Date, the stockholders may amend our amended and restated bylaws only upon the affirmative vote of two-thirds of the voting power of our outstanding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Size of the Board of Directors and Vacancies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Board of Directors consist of not less than     members and not more than     members, and shall initially consist of     members upon completion of this offering. Subject to the foregoing, the number of members may be fixed a resolution adopted by a majority of the Board of Directors from time to time.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rights granted to the holders of any one or more series of preferred stock then outstanding, and unless otherwise required by law, any vacancies on the Board of Directors, and any newly created directorships resulting from any increase in the authorized number of directors, will be filled only by the affirmative vote of a majority of the directors then in office, even if less than a quorum, or by a sole remaining director, in each case, in the manner permitted by the A&amp;R Securityholders Agreement and our amended and restated certificate of incorporation and subject to the rights of the Appointing Persons set forth in the A&amp;R Securityholders Agreement and our amended and restated certificate of incorporation. Notwithstanding the foregoing, our amended and restated certificate of incorporation provides that if at any time the Chief Executive Officer of the Company is removed, resigns or is otherwise replaced, then such person shall automatically, and without any action by the Board of Directors or the stockholders of the Company, cease to be a director, and such vacancy shall be reserved for and filled by the successor Chief Executive Officer.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Directors may be removed with or without cause by the affirmative vote of at least a majority of the voting power of our outstanding common stock. Each Appointing Person will have the right to remove without cause any director that is an employee of such Appointing Person and that was designated by such Appointing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Ownership by Non-U.S. Citizens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its outstanding common stock by non-U.S. citizens in the aggregate to not more than 24%. Our amended and restated certificate of incorporation further prohibits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also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registration rights relating to our common stock (or shares of our common stock issuable upon the exercise of our Jones Act Warrants or Creditor Warrants), see “Certain Relationships and Related Party Transactions—Registration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tabs>
          <w:tab w:leader="none" w:pos="4820" w:val="left"/>
          <w:tab w:leader="none" w:pos="5000" w:val="left"/>
          <w:tab w:leader="none" w:pos="5180" w:val="left"/>
          <w:tab w:leader="none" w:pos="5360" w:val="left"/>
        </w:tabs>
        <w:rPr>
          <w:sz w:val="20"/>
          <w:szCs w:val="20"/>
          <w:color w:val="auto"/>
        </w:rPr>
      </w:pPr>
      <w:r>
        <w:rPr>
          <w:rFonts w:ascii="Times New Roman" w:cs="Times New Roman" w:eastAsia="Times New Roman" w:hAnsi="Times New Roman"/>
          <w:sz w:val="18"/>
          <w:szCs w:val="18"/>
          <w:color w:val="auto"/>
        </w:rPr>
        <w:t>The transfer agent and registrar for our common stock is  </w:t>
        <w:tab/>
        <w:t> </w:t>
        <w:tab/>
        <w:t> </w:t>
        <w:tab/>
        <w:t> </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we will have a total of         shares of our common stock outstanding (        shares if the underwriters exercise in full their option to purchase additional shares). Additionally,         shares of our common stock will be issuable upon the exercise of Jones Act Warrants and         shares of our common stock will be issuable upon the exercise of Creditor Warrants, with an exercise price of $0.00001 per share and $        per share, respectively, and options to purchase an aggregate of approximately         shares of our common stock will be outstanding as of the consummation of this offering and         shares of our common</w:t>
      </w:r>
    </w:p>
    <w:p>
      <w:pPr>
        <w:spacing w:after="0" w:line="3"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stock will be reserved for issuance upon settlement of restricted stock units outstanding as of the consummation of this offering. In addition, shares of our common stock will be authorized and reserved for issuance in relation to potential future awards under our 2020 Management Incentive Plan and our 2024 Omnibus Incentive Plan to be adopted in connection with this offering. Of the outstanding shares of common stock,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below.         of the remaining shares of common stock that we will have outstanding upon completion of this offering that were not sold in this offering, as well as the Jones Act Warrants and the Creditor Warrants, were issued under</w:t>
      </w:r>
    </w:p>
    <w:p>
      <w:pPr>
        <w:spacing w:after="0" w:line="4"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(after giving effect to the stock split) held by our principal stockholders and certain of our directors and executive officers after this offering, representing   % of the total outstanding shares of our common stock following this offering, will be “restricted securities” within the meaning of Rule 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1100"/>
          </w:cols>
          <w:pgMar w:left="320" w:top="455" w:right="479" w:bottom="1440" w:gutter="0" w:footer="0" w:header="0"/>
        </w:sectPr>
      </w:pP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offering (or         shares if the underwriters exercise in full their option to purchase additional shares); 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immediately after this</w:t>
      </w:r>
    </w:p>
    <w:p>
      <w:pPr>
        <w:spacing w:after="0" w:line="346" w:lineRule="exact"/>
        <w:rPr>
          <w:sz w:val="20"/>
          <w:szCs w:val="20"/>
          <w:color w:val="auto"/>
        </w:rPr>
      </w:pPr>
    </w:p>
    <w:p>
      <w:pPr>
        <w:sectPr>
          <w:pgSz w:w="11900" w:h="16838" w:orient="portrait"/>
          <w:cols w:equalWidth="0" w:num="3">
            <w:col w:w="620" w:space="360"/>
            <w:col w:w="7840" w:space="100"/>
            <w:col w:w="2180"/>
          </w:cols>
          <w:pgMar w:left="320" w:top="455" w:right="479" w:bottom="1440" w:gutter="0" w:footer="0" w:header="0"/>
          <w:type w:val="continuous"/>
        </w:sectPr>
      </w:pPr>
    </w:p>
    <w:p>
      <w:pPr>
        <w:ind w:left="980" w:right="32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the NYSE during the four calendar weeks preceding the filing of a notice on Form 144 with respect to such sale.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2024 Omnibus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(including any shares purchased by them pursuant to the directed share program), during the period ending 180 days after the date of this prospectus, except with the prior written consent of J.P. Morgan Securities LLC and Barclays Capital Inc. See “Underwriting (Conflicts of Interest)” for a description of these lock-up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registration rights relating to our common stock (or shares of our common stock issuable upon the exercise of our Jones Act Warrants or Creditor Warrants), see “Certain Relationships and Related Party Transactions—Registration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of the shares of common stock subject to outstanding stock options and the shares of common stock subject to issuance under our 2020 Management Incentive Plan and our 2024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2024 Omnibus Incentive Plan will cover         shares.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CONSIDERATIONS FOR NON-U.S. HOLDERS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5" w:lineRule="exact"/>
        <w:rPr>
          <w:sz w:val="20"/>
          <w:szCs w:val="20"/>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(or any entities all of the interests of which are held by a qualified foreign pension fund);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980" w:right="32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other arrangements treated as a partnership or pass-through entity for U.S. federal income tax purposes or holders of interests therein;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980" w:right="64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 or through a tax-qualified retirement plan;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 and</w:t>
      </w:r>
    </w:p>
    <w:p>
      <w:pPr>
        <w:spacing w:after="0" w:line="130" w:lineRule="exact"/>
        <w:rPr>
          <w:rFonts w:ascii="Times New Roman" w:cs="Times New Roman" w:eastAsia="Times New Roman" w:hAnsi="Times New Roman"/>
          <w:sz w:val="18"/>
          <w:szCs w:val="18"/>
          <w:color w:val="auto"/>
        </w:rPr>
      </w:pPr>
    </w:p>
    <w:p>
      <w:pPr>
        <w:ind w:left="980" w:right="4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appreciated financial position, synthetic security, hedge, conversion transaction or other integrated investment or risk reduction transaction.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5"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LAWS OR UNDER THE LAWS OF ANY U.S. STATE OR LOCAL, NON-U.S. OR OTHER TAXING JURISDICTION OR UNDER ANY APPLICABLE INCOME TAX TREATY.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not for U.S. federal income tax purposes a partnership (or a partner therein) or any of the following:</w:t>
      </w:r>
    </w:p>
    <w:p>
      <w:pPr>
        <w:spacing w:after="0" w:line="67" w:lineRule="exact"/>
        <w:rPr>
          <w:sz w:val="20"/>
          <w:szCs w:val="20"/>
          <w:color w:val="auto"/>
        </w:rPr>
      </w:pPr>
    </w:p>
    <w:p>
      <w:pPr>
        <w:ind w:left="980" w:hanging="432"/>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treated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81" w:lineRule="exact"/>
        <w:rPr>
          <w:sz w:val="20"/>
          <w:szCs w:val="20"/>
          <w:color w:val="auto"/>
        </w:rPr>
      </w:pPr>
    </w:p>
    <w:p>
      <w:pPr>
        <w:ind w:left="980" w:right="400" w:hanging="432"/>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7" w:lineRule="exact"/>
        <w:rPr>
          <w:rFonts w:ascii="Times New Roman" w:cs="Times New Roman" w:eastAsia="Times New Roman" w:hAnsi="Times New Roman"/>
          <w:sz w:val="18"/>
          <w:szCs w:val="18"/>
          <w:color w:val="auto"/>
        </w:rPr>
      </w:pPr>
    </w:p>
    <w:p>
      <w:pPr>
        <w:ind w:left="980" w:right="480" w:hanging="432"/>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980" w:right="240" w:hanging="432"/>
        <w:spacing w:after="0" w:line="266"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60" w:lineRule="exact"/>
        <w:rPr>
          <w:sz w:val="20"/>
          <w:szCs w:val="20"/>
          <w:color w:val="auto"/>
        </w:rPr>
      </w:pPr>
    </w:p>
    <w:p>
      <w:pPr>
        <w:ind w:left="120" w:right="9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NON-U.S. HOLDERS SHOULD CONSULT THEIR TAX ADVISORS WITH RESPECT TO THE APPLICATION OF THE FOREGOING RULES TO THEIR PURCHASE, OWNERSHIP AND DISPOSITION OF OUR COMMON STOCK.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and the selling stockholders are offering the shares of common stock described in this prospectus through a number of underwriters. J.P. Morgan Securities LLC and Barclays Capital Inc.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10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DNB Markets, Inc.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 Rice &amp; Company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PEP Advisory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Seaport Global Securities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common stock are not sold at the initial public offering price, the underwriters may change the offering price and the other selling terms.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have options to buy up to         additional shares of common stock from us and up to         additional shares of common stock from the selling stockholders to cover sales of shares by the underwriters which exceed the number of shares specified in the table above. The underwriters have 30 days from the date of this prospectus to exercise these options to purchase additional shares. If any shares are purchased with these options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and the selling stockholders per share of common stock. The underwriting fee is $        per share. The following table shows the per share and total underwriting discounts and commissions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paid to the underwriters assuming both no exercise and full exercise of the underwriters’ option to purchase additional shares.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With full</w:t>
            </w:r>
          </w:p>
        </w:tc>
      </w:tr>
      <w:tr>
        <w:trPr>
          <w:trHeight w:val="148"/>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r>
      <w:tr>
        <w:trPr>
          <w:trHeight w:val="149"/>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r>
      <w:tr>
        <w:trPr>
          <w:trHeight w:val="148"/>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c>
          <w:tcPr>
            <w:tcW w:w="220" w:type="dxa"/>
            <w:vAlign w:val="bottom"/>
          </w:tcPr>
          <w:p>
            <w:pPr>
              <w:spacing w:after="0"/>
              <w:rPr>
                <w:sz w:val="12"/>
                <w:szCs w:val="12"/>
                <w:color w:val="auto"/>
              </w:rPr>
            </w:pPr>
          </w:p>
        </w:tc>
        <w:tc>
          <w:tcPr>
            <w:tcW w:w="2200" w:type="dxa"/>
            <w:vAlign w:val="bottom"/>
            <w:gridSpan w:val="3"/>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r>
      <w:tr>
        <w:trPr>
          <w:trHeight w:val="173"/>
        </w:trPr>
        <w:tc>
          <w:tcPr>
            <w:tcW w:w="13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13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5"/>
        </w:trPr>
        <w:tc>
          <w:tcPr>
            <w:tcW w:w="1078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We and the selling stockholders estimate that the total expenses of this offering, including registration, filing and listing fees, printing fees and</w:t>
            </w:r>
          </w:p>
        </w:tc>
      </w:tr>
      <w:tr>
        <w:trPr>
          <w:trHeight w:val="216"/>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legal and accounting expenses, but excluding the underwriting discounts and commissions, will be approximately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   . We have also agreed to</w:t>
            </w:r>
          </w:p>
        </w:tc>
      </w:tr>
      <w:tr>
        <w:trPr>
          <w:trHeight w:val="23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reimburse the underwriters for certain of their expenses in connection with this offering in an amount up to $       </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w w:val="73"/>
              </w:rPr>
              <w:t>   .</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9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 the foregoing, or (ii) enter into any swap or other arrangement that transfers, in whole or in part, any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Barclays Capital Inc. for a period of one hundred eighty (180) days after the date of this prospectus, other than the shares of our common stock to be sold in this offering.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on our actions, as described above, do not apply to certain transactions, including (i) the offer, issuance, sale and disposition of the shares of our common stock under the underwriting agreement, (ii) the issuance of shares of common stock or securities convertible into or exercisable for shares of our common stock pursuant to the conversion or exchange of convertible or exchangeable securities, warrants or options (including net exercise) or the settlement of RSUs or PSUs (including net settlement), in each case outstanding on the date of the underwriting agreement and described in this prospectus; (iii) grants of stock options, stock awards, restricted stock, RSUs, PSUs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any such recipient who is an executive officer or director of ours enters into a lock-up agreement with the underwriters; (iv) the issuance of up to 10% of the outstanding shares of our common stock, or securities convertible into, exercisable for, or which are otherwise exchangeable for, our common stock, immediately following the closing of this offering, in acquisitions or other similar strategic transactions, provided that such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recipients enter into a lock-up agreement with the underwriters; (v) the facilitation of the establishment of a trading plan pursuant to Rule 10b5-1 under the Exchange Act, provided that such plan does not provide for the transfer of Common Stock during the one hundred eighty (180)-day restricted period;</w:t>
      </w:r>
    </w:p>
    <w:p>
      <w:pPr>
        <w:spacing w:after="0" w:line="1" w:lineRule="exact"/>
        <w:rPr>
          <w:sz w:val="20"/>
          <w:szCs w:val="20"/>
          <w:color w:val="auto"/>
        </w:rPr>
      </w:pPr>
    </w:p>
    <w:p>
      <w:pPr>
        <w:ind w:left="120" w:right="20" w:hanging="4"/>
        <w:spacing w:after="0" w:line="251" w:lineRule="auto"/>
        <w:tabs>
          <w:tab w:leader="none" w:pos="42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submission to the SEC of a draft registration statement under the Securities Act on a confidential basis pursuant to the rules of the SEC, provided that with respect to this clause (viii), (a) no public filing with the SEC or any other public announcement may be made during the one hundred eighty (180)-day restricted period in relation to such registration, (b) J.P. Morgan Securities LLC and Barclays Capital Inc. must have received prior written consent from the Company of such submission with the SEC during the one hundred eighty (180)-day restricted period at least seven (7) business days prior to such submission, and (c) no securities of the Company may be sold, distributed or exchanged prior to the expiration of the one hundred eighty (180)-day restricted period.</w:t>
      </w:r>
    </w:p>
    <w:p>
      <w:pPr>
        <w:spacing w:after="0" w:line="86"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Our directors and executive officers, the selling stockholders and substantially all of our stockholders holding in the aggregate approximately   % of the outstanding shares of our common stock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Barclays Capital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2" w:lineRule="exact"/>
        <w:rPr>
          <w:sz w:val="20"/>
          <w:szCs w:val="20"/>
          <w:color w:val="auto"/>
        </w:rPr>
      </w:pPr>
    </w:p>
    <w:p>
      <w:pPr>
        <w:ind w:left="120" w:right="40" w:hanging="4"/>
        <w:spacing w:after="0" w:line="252" w:lineRule="auto"/>
        <w:tabs>
          <w:tab w:leader="none" w:pos="3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charitable contributions or for bona fide estate planning purposes, (ii) by will or intestacy, (iii) to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vehicle, account, portion of a fund, vehicle or account or other entity controlling, controlled by, managing or managed by or under common control with the lock-up party or its affiliates (including, for the avoidance of doubt, where the lock-up party is a partnership, to its general partner or a successor partnership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fund, vehicle, accounts or portions of funds, vehicles or accounts or any other funds, managed by such partnership) or (B) as part of a distribution to partners, members. stockholders or other equityholders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RSUs, PSUs, options, warrants or other rights to purchase shares of our common stock (including “net” or “cashless” exercise), including for the payment of exercise price and tax and remittance payments, or</w:t>
      </w:r>
    </w:p>
    <w:p>
      <w:pPr>
        <w:spacing w:after="0" w:line="3" w:lineRule="exact"/>
        <w:rPr>
          <w:sz w:val="20"/>
          <w:szCs w:val="20"/>
          <w:color w:val="auto"/>
        </w:rPr>
      </w:pPr>
    </w:p>
    <w:p>
      <w:pPr>
        <w:ind w:left="120" w:hanging="4"/>
        <w:spacing w:after="0" w:line="251" w:lineRule="auto"/>
        <w:tabs>
          <w:tab w:leader="none" w:pos="4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outstanding options, settlement of RSUs or other equity awards granted pursuant to plans described in this prospectus or the exercise of warrants,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(other than for the payment of exercise price and tax remittance payments due as a result of the vesting, settlement, or exercise of restricted stock units, performance stock units, options, warrants or rights); and (e) the sale of our common stock pursuant to the terms of the underwriting agreement.</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and Barclays Capital Inc.,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prior class of common stock was delisted in July 2020, and 4,366,348 shares of our new common stock were issued in connection with the consummation of the Chapter 11 Cases on September 4, 2020. As a result, since July 2020,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5" w:lineRule="exact"/>
        <w:rPr>
          <w:sz w:val="20"/>
          <w:szCs w:val="20"/>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shares of common stock, or that the shares will trade in the public market at or above the initial public offering price.</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consulting, investment banking and other services for us and such affiliates in the ordinary course of their business, for which they have received and may continue to receive customary fees and commissions. In addition, certain of the underwriters and their affiliates are, or may become, lenders under the First Lien Revolving Credit Facility, for which such underwriters and their affiliates have received customary fees.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Highbridge is an indirect subsidiary of J.P. Morgan Chase &amp; Co. and, prior to this offering, beneficially owns more than 10% of our common stock on a fully diluted basis (including both shares of common stock and shares issuable upon the exercise of Jones Act Warrants and Creditor Warrants). Highbridge is a selling stockholder in this offering and, as such, may receive more than 5% of the net proceeds of this offering.</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this relationship, J.P. Morgan Securities LLC is deemed to have a “conflict of interest” under FINRA Rule 5121. Accordingly, this offering is being conducted in accordance with the applicable provisions of 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and will not receive any additional fees for serving in that capacity. We have agreed to indemnify Barclays Capital Inc. against any liabilities arising in connection with its role as a qualified independent underwriter, including liabilities under the Securities Act. Additionally, in accordance with FINRA Rule 5121(c), no sales of</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60"/>
          </w:cols>
          <w:pgMar w:left="320" w:top="455" w:right="5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shares in this offering will be made to any discretionary account over which J.P. Morgan Securities LLC exercises discretion without the prior specific written approval of the account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shares offered by this prospectus for sale, at the initial public offering price, to certain individuals through a directed share program, including our directors, officers, employees and certain other individuals identified by us. The sales will be made at our direction by J.P. Morgan Securities LLC and its affiliates.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We have agreed to indemnify the underwriters against certain liabilities and expenses, including liabilities under the Securities Act, in connection with the sales of the shares reserved for the directed share program.</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Shares purchased through the directed share program will not be subject to a lock-up restriction, except in the case of shares purchased by any of our directors and officers, which shares will be subject to a 180-day lock-up restriction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Jones Act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we own and operate U.S.-flagged vessels in the U.S. coastwise trade, the Jones Act requires that at least 75% of the outstanding shares of each class or series of the capital stock of the Company must be owned and controlled by U.S. citizens.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As a result, we have restricted participation in this offering to U.S. citizens as defined under the Jones Act.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order to ensure compliance with the U.S. citizenship and cabotage laws principally contained in the Jones Act, sales in the offering will be limited so that shares will only be allocated to U.S. citizens (as determined in accordance with the Jones Act). A “U.S. citizen” for purposes of the Jones Act includes the following:</w:t>
      </w:r>
    </w:p>
    <w:p>
      <w:pPr>
        <w:spacing w:after="0" w:line="81" w:lineRule="exact"/>
        <w:rPr>
          <w:sz w:val="20"/>
          <w:szCs w:val="20"/>
          <w:color w:val="auto"/>
        </w:rPr>
      </w:pPr>
    </w:p>
    <w:p>
      <w:pPr>
        <w:ind w:left="980" w:right="220" w:hanging="432"/>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an individual, the investor is deemed a citizen of the United States (for Jones Act purposes) if the investor is native-born, naturalized, or a derivative citizen of the United States, or otherwise qualifies as a United States citizen.</w:t>
      </w:r>
    </w:p>
    <w:p>
      <w:pPr>
        <w:spacing w:after="0" w:line="67" w:lineRule="exact"/>
        <w:rPr>
          <w:rFonts w:ascii="Times New Roman" w:cs="Times New Roman" w:eastAsia="Times New Roman" w:hAnsi="Times New Roman"/>
          <w:sz w:val="18"/>
          <w:szCs w:val="18"/>
          <w:color w:val="auto"/>
        </w:rPr>
      </w:pPr>
    </w:p>
    <w:p>
      <w:pPr>
        <w:ind w:left="980" w:right="60" w:hanging="432"/>
        <w:spacing w:after="0" w:line="258"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 partnership, limited liability company or limited partnership, the entity is deemed a citizen of the United States (for Jones Act purposes) if the investor: (a) is organized under the laws of the United States or a State, (b) each general partner or manager is a citizen of the United States and (c) is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w:t>
      </w:r>
    </w:p>
    <w:p>
      <w:pPr>
        <w:spacing w:after="0" w:line="88" w:lineRule="exact"/>
        <w:rPr>
          <w:rFonts w:ascii="Times New Roman" w:cs="Times New Roman" w:eastAsia="Times New Roman" w:hAnsi="Times New Roman"/>
          <w:sz w:val="18"/>
          <w:szCs w:val="18"/>
          <w:color w:val="auto"/>
        </w:rPr>
      </w:pPr>
    </w:p>
    <w:p>
      <w:pPr>
        <w:ind w:left="980" w:hanging="432"/>
        <w:spacing w:after="0" w:line="256"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 corporation, the investor is deemed a citizen of the United States (for Jones Act purposes) if: (a) the investor is organized under the laws of the United States or a State, (b) each of its president or other chief executive and the chairman of its board of directors is a citizen of the United States, (c) the investor is no more than a minority of the number of its directors necessary to constitute a quorum for the transaction of business are non-citizens of the United States and (d) not less than 75.0% of the shares (beneficially and of record) are owned by citizens of the United States, and free of any voting trust, fiduciary arrangement or other agreement, arrangement or understanding whereby non-citizens may directly or indirectly assert control.</w:t>
      </w:r>
    </w:p>
    <w:p>
      <w:pPr>
        <w:spacing w:after="0" w:line="92" w:lineRule="exact"/>
        <w:rPr>
          <w:rFonts w:ascii="Times New Roman" w:cs="Times New Roman" w:eastAsia="Times New Roman" w:hAnsi="Times New Roman"/>
          <w:sz w:val="18"/>
          <w:szCs w:val="18"/>
          <w:color w:val="auto"/>
        </w:rPr>
      </w:pPr>
    </w:p>
    <w:p>
      <w:pPr>
        <w:ind w:left="980" w:right="200" w:hanging="432"/>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investor is an entity (and not an individual), the requirement that at least 75.0% of the interests and voting power be owned and controlled by U.S. citizens extends up through the various tiers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00" w:right="200"/>
        <w:spacing w:after="0" w:line="282" w:lineRule="auto"/>
        <w:rPr>
          <w:sz w:val="20"/>
          <w:szCs w:val="20"/>
          <w:color w:val="auto"/>
        </w:rPr>
      </w:pPr>
      <w:r>
        <w:rPr>
          <w:rFonts w:ascii="Times New Roman" w:cs="Times New Roman" w:eastAsia="Times New Roman" w:hAnsi="Times New Roman"/>
          <w:sz w:val="18"/>
          <w:szCs w:val="18"/>
          <w:color w:val="auto"/>
        </w:rPr>
        <w:t>to all levels of direct and indirect ownership in the entity. Accordingly, each entity in the chain of ownership, at each tier of ownership, of the underlying entity must meet the definition of citizen of the United States (for Jones Act purposes) applicable to such entity.</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further provides the Board of Directors with authority to take certain actions to protect our Jones Act status. These actions may include: (i) refusing to recognize any transfer (including our original issuance) that would result in ownership by non-U.S. citizens in the aggregate exceeding 24% of our issued and outstanding common stock, (ii) treating any such purported transfer as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or (iii) redeeming any share of our common stock that caused the ownership by non-U.S. citizens to exceed such 24% ownership limitation. For a description of the Jones Act citizenship restrictions and redemption procedures, see “Description of Capital Stock and Warrants—Limitations on Ownership by Non-U.S. Citizens.”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legal matters relating to this offering will be passed upon for the underwriters by Vinson &amp; Elkins LLP, Houston, Texas.</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Hornbeck Offshore Services, Inc. at December 31, 2023 and 2022, and for each of the three years in the period ended December 31, 2023, appearing in this prospectus or the registration statement of which this prospectus forms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consolidated interim financial information of Hornbeck Offshore Services, Inc. as of June 30, 2024 and for the three-month and six-month periods ended June 30, 2024 and June 30, 2023, appearing in this prospectus or the registration statement of which this prospectus forms a part, Ernst &amp; Young LLP reported that they have applied limited procedures in accordance with professional standards for a review of such information. However, their separate report dated August 14, 2024 appearing elsewhere herein states that they did not audit and they do not express an opinion on that interim financial information. Accordingly, the degree of reliance on their report on such information should be restricted in light of the limited nature of the review procedures applied. Ernst &amp; Young LLP is not subject to the liability provisions of Section 11 of the Securities Act for their report on the unaudited interim financial information because that report is not a “report” or a “part” of the registration statement of which this prospectus forms a part prepared or certified by Ernst &amp; Young LLP within the meaning of Sections 7 and 11 of the Securities Act.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9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9700" w:type="dxa"/>
            <w:vAlign w:val="bottom"/>
            <w:gridSpan w:val="14"/>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1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Review Report of Independent Registered Public Accounting Firm, August 14, 2024</w:t>
            </w:r>
          </w:p>
        </w:tc>
        <w:tc>
          <w:tcPr>
            <w:tcW w:w="3600" w:type="dxa"/>
            <w:vAlign w:val="bottom"/>
            <w:gridSpan w:val="9"/>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June 30, 2024 and December 31, 2023</w:t>
            </w:r>
          </w:p>
        </w:tc>
        <w:tc>
          <w:tcPr>
            <w:tcW w:w="436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Three and Six Months ended June 30, 2024 and 2023</w:t>
            </w:r>
          </w:p>
        </w:tc>
        <w:tc>
          <w:tcPr>
            <w:tcW w:w="248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Six Months ended June 30, 2024 and 2023</w:t>
            </w:r>
          </w:p>
        </w:tc>
        <w:tc>
          <w:tcPr>
            <w:tcW w:w="15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Three and Six Months ended June 30, 2024 and 2023</w:t>
            </w:r>
          </w:p>
        </w:tc>
        <w:tc>
          <w:tcPr>
            <w:tcW w:w="9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June 30, 2024 and 2023</w:t>
            </w:r>
          </w:p>
        </w:tc>
        <w:tc>
          <w:tcPr>
            <w:tcW w:w="320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9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02"/>
        </w:trPr>
        <w:tc>
          <w:tcPr>
            <w:tcW w:w="34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300" w:type="dxa"/>
            <w:vAlign w:val="bottom"/>
            <w:gridSpan w:val="13"/>
            <w:vMerge w:val="restart"/>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1"/>
        </w:trPr>
        <w:tc>
          <w:tcPr>
            <w:tcW w:w="3400" w:type="dxa"/>
            <w:vAlign w:val="bottom"/>
            <w:vMerge w:val="continue"/>
          </w:tcPr>
          <w:p>
            <w:pPr>
              <w:spacing w:after="0"/>
              <w:rPr>
                <w:sz w:val="15"/>
                <w:szCs w:val="15"/>
                <w:color w:val="auto"/>
              </w:rPr>
            </w:pPr>
          </w:p>
        </w:tc>
        <w:tc>
          <w:tcPr>
            <w:tcW w:w="6300" w:type="dxa"/>
            <w:vAlign w:val="bottom"/>
            <w:gridSpan w:val="13"/>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70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dated March 14, 2024</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F-19</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82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0"/>
        </w:trPr>
        <w:tc>
          <w:tcPr>
            <w:tcW w:w="4640" w:type="dxa"/>
            <w:vAlign w:val="bottom"/>
            <w:gridSpan w:val="2"/>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278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2022 and 2021</w:t>
            </w:r>
          </w:p>
        </w:tc>
        <w:tc>
          <w:tcPr>
            <w:tcW w:w="190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2022 and 2021</w:t>
            </w:r>
          </w:p>
        </w:tc>
        <w:tc>
          <w:tcPr>
            <w:tcW w:w="124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9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74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385"/>
        </w:trPr>
        <w:tc>
          <w:tcPr>
            <w:tcW w:w="340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6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Review 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Hornbeck Offshore Services,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Hornbeck Offshore Services, Inc. and Subsidiaries (the Company) as of June 30, 2024, the related consolidated statements of operations, comprehensive income and changes in stockholders’ equity for the three-month and six-month periods ended June 30, 2024 and 2023, and cash flows for the six-month periods ended June 30, 2024 and 2023,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and in accordance with auditing standards generally accepted in the United States of America (GAAS), the consolidated balance sheet of the Company as of December 31, 2023, and the related consolidated statements of operations, comprehensive income, changes in stockholders’ equity and cash flows for the year then ended, and the related notes (not presented herein); and in our report dated March 14, 2024, we expressed an unqualified audit opinion on those consolidated financial statements. In our opinion, the information set forth in the accompanying consolidated balance sheet as of December 31, 2023, is fairly stated, in all material respects, in relation to the consolidated balance sheet from which it has been derived.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and in accordance with GAAS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and GAAS, the objective of which is the expression of an opinion regarding the financial statements taken as a whole. Accordingly, we do not express such an opinion.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14, 2024</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320" w:top="455" w:right="5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91,078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120,055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$6,273 and $6,307, respectively</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142,738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126,438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272,799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625,270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602,422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62,758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48,336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987,252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946,519</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63,257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76,484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22,224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26,511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taxes payable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349,001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74,779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75,475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453,059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454,811</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585,976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 shares authorized; 5,642 and 5,554 shares issued and outstanding,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211,389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210,776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192,654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148,428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401,276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987,252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946,519</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163,998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135,912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283,207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256,487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21,902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175,980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146,898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306,776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278,389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74,592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181,818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141,501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32,366</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125,489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107,879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248,927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214,982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22,972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2540" w:type="dxa"/>
            <w:vAlign w:val="bottom"/>
            <w:gridSpan w:val="2"/>
          </w:tcPr>
          <w:p>
            <w:pPr>
              <w:jc w:val="right"/>
              <w:ind w:right="1576"/>
              <w:spacing w:after="0"/>
              <w:rPr>
                <w:sz w:val="20"/>
                <w:szCs w:val="20"/>
                <w:color w:val="auto"/>
              </w:rPr>
            </w:pPr>
            <w:r>
              <w:rPr>
                <w:rFonts w:ascii="Times New Roman" w:cs="Times New Roman" w:eastAsia="Times New Roman" w:hAnsi="Times New Roman"/>
                <w:sz w:val="18"/>
                <w:szCs w:val="18"/>
                <w:color w:val="auto"/>
              </w:rPr>
              <w:t>F-4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5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$33,098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$20,384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$44,226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$36,835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income (loss), net</w:t>
            </w:r>
          </w:p>
        </w:tc>
        <w:tc>
          <w:tcPr>
            <w:tcW w:w="4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29,199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21,705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39,370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39,057</w:t>
            </w:r>
          </w:p>
        </w:tc>
        <w:tc>
          <w:tcPr>
            <w:tcW w:w="6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4020" w:type="dxa"/>
            <w:vAlign w:val="bottom"/>
            <w:gridSpan w:val="3"/>
          </w:tcPr>
          <w:p>
            <w:pPr>
              <w:jc w:val="right"/>
              <w:ind w:right="2960"/>
              <w:spacing w:after="0"/>
              <w:rPr>
                <w:sz w:val="20"/>
                <w:szCs w:val="20"/>
                <w:color w:val="auto"/>
              </w:rPr>
            </w:pPr>
            <w:r>
              <w:rPr>
                <w:rFonts w:ascii="Times New Roman" w:cs="Times New Roman" w:eastAsia="Times New Roman" w:hAnsi="Times New Roman"/>
                <w:sz w:val="18"/>
                <w:szCs w:val="18"/>
                <w:color w:val="auto"/>
              </w:rPr>
              <w:t>F-5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April 1, 2024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$212,631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$159,556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1,132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33,098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(3,899)</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2024 </w:t>
            </w:r>
            <w:r>
              <w:rPr>
                <w:rFonts w:ascii="Times New Roman" w:cs="Times New Roman" w:eastAsia="Times New Roman" w:hAnsi="Times New Roman"/>
                <w:sz w:val="25"/>
                <w:szCs w:val="25"/>
                <w:color w:val="auto"/>
                <w:vertAlign w:val="superscript"/>
              </w:rPr>
              <w:t>(2)</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17,019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211,389</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192,654</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January 1, 2024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$210,776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$148,428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2,089</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44,226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(4,856)</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2024 </w:t>
            </w:r>
            <w:r>
              <w:rPr>
                <w:rFonts w:ascii="Times New Roman" w:cs="Times New Roman" w:eastAsia="Times New Roman" w:hAnsi="Times New Roman"/>
                <w:sz w:val="25"/>
                <w:szCs w:val="25"/>
                <w:color w:val="auto"/>
                <w:vertAlign w:val="superscript"/>
              </w:rPr>
              <w:t>(2)</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17,019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211,389</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192,654</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April 1, 2023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$208,927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$ 90,341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837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20,384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524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June 30, 2023 </w:t>
            </w:r>
            <w:r>
              <w:rPr>
                <w:rFonts w:ascii="Times New Roman" w:cs="Times New Roman" w:eastAsia="Times New Roman" w:hAnsi="Times New Roman"/>
                <w:sz w:val="25"/>
                <w:szCs w:val="25"/>
                <w:color w:val="auto"/>
                <w:vertAlign w:val="superscript"/>
              </w:rPr>
              <w:t>(1)</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110,725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3"/>
              </w:rPr>
              <w:t>2,158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F-6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2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3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7"/>
                <w:szCs w:val="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0"/>
                <w:szCs w:val="10"/>
                <w:color w:val="auto"/>
              </w:rPr>
            </w:pPr>
          </w:p>
        </w:tc>
        <w:tc>
          <w:tcPr>
            <w:tcW w:w="82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January 1, 2023 </w:t>
            </w:r>
            <w:r>
              <w:rPr>
                <w:rFonts w:ascii="Times New Roman" w:cs="Times New Roman" w:eastAsia="Times New Roman" w:hAnsi="Times New Roman"/>
                <w:sz w:val="24"/>
                <w:szCs w:val="24"/>
                <w:color w:val="auto"/>
                <w:vertAlign w:val="superscript"/>
              </w:rPr>
              <w:t>(3)</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16,763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$197,006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36,835</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2023 </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16,931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110,725</w:t>
            </w:r>
          </w:p>
        </w:tc>
        <w:tc>
          <w:tcPr>
            <w:tcW w:w="4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320,092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5,554 shares of common stock and 11,377 Jones Act Warrants issued and outstanding.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5,642 shares of common stock and 11,377 Jones Act Warrants issued and outstanding.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5,386 shares of common stock and 11,377 Jones Act Warrants issued and outstanding.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36,835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paid-in-kind 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Mark-to-market adjustment of creditor warrants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(21,295)</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drydocking charges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(15,416)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13,657</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62,349</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improvements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Growth capital expenditures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capital expenditures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(10,277)</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Non-vessel capital expenditures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(49,482)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(43,972)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first-lien term loans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in lieu of shares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withholding taxes on net share settlements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under finance lease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Effects of foreign currency exchange rate changes on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(28,977)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120,820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217,651</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15,502</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2023.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accounting pronouncements that could have a material effect on the Company’s financial statements: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1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4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1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210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ind w:left="120" w:right="220"/>
        <w:spacing w:after="0" w:line="272" w:lineRule="auto"/>
        <w:rPr>
          <w:sz w:val="20"/>
          <w:szCs w:val="20"/>
          <w:color w:val="auto"/>
        </w:rPr>
      </w:pPr>
      <w:r>
        <w:rPr>
          <w:rFonts w:ascii="Times New Roman" w:cs="Times New Roman" w:eastAsia="Times New Roman" w:hAnsi="Times New Roman"/>
          <w:sz w:val="18"/>
          <w:szCs w:val="18"/>
          <w:i w:val="1"/>
          <w:iCs w:val="1"/>
          <w:color w:val="auto"/>
        </w:rPr>
        <w:t>Standards that have been adopted:</w:t>
      </w:r>
    </w:p>
    <w:p>
      <w:pPr>
        <w:spacing w:after="0" w:line="6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i w:val="1"/>
          <w:iCs w:val="1"/>
          <w:color w:val="auto"/>
        </w:rPr>
        <w:t>ASU No. 2023-07, Segment Reporting (Topic 280): Improvements to Reportable Segment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improve reportable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for fiscal years</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adopted the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segment disclosure requirements, primarily related to</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after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reporting</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 In addition, the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15, 2023, and</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requirements under ASU</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amendments enhance interim disclosures, clarify</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2023-07 on January 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circumstances in which an entity can disclose multiple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periods within fiscal</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2024 and will implement the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segment measures of profit or loss, provide new</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beginning</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interim disclosure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disclosure requirements for entities with a single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December 15, 2024.</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requirements in fiscal year</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 and contain other related disclosure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adoption is</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This adoption had no</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Retrospective application is required.</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impact on its</w:t>
            </w:r>
          </w:p>
        </w:tc>
      </w:tr>
      <w:tr>
        <w:trPr>
          <w:trHeight w:val="216"/>
        </w:trPr>
        <w:tc>
          <w:tcPr>
            <w:tcW w:w="4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w:t>
            </w:r>
          </w:p>
        </w:tc>
      </w:tr>
      <w:tr>
        <w:trPr>
          <w:trHeight w:val="234"/>
        </w:trPr>
        <w:tc>
          <w:tcPr>
            <w:tcW w:w="4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w:t>
            </w:r>
          </w:p>
        </w:tc>
      </w:tr>
      <w:tr>
        <w:trPr>
          <w:trHeight w:val="365"/>
        </w:trPr>
        <w:tc>
          <w:tcPr>
            <w:tcW w:w="41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F-9</w:t>
            </w:r>
          </w:p>
        </w:tc>
        <w:tc>
          <w:tcPr>
            <w:tcW w:w="21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2">
            <w:col w:w="2160" w:space="400"/>
            <w:col w:w="8560"/>
          </w:cols>
          <w:pgMar w:left="320" w:top="455" w:right="45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28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Standards that have not been</w:t>
            </w:r>
          </w:p>
        </w:tc>
        <w:tc>
          <w:tcPr>
            <w:tcW w:w="2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adopted:</w:t>
            </w:r>
          </w:p>
        </w:tc>
        <w:tc>
          <w:tcPr>
            <w:tcW w:w="2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ASU No. 2023-05, Business</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This standard requires a joint venture to initially</w:t>
            </w: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January 1, 2025</w:t>
            </w: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Company will adopt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Combinations—Joint Venture</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measure all contributions received upon its formation at</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ASU No. 2023-05 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Formations (Subtopic</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fair value. ASU No. 2023-05 requires prospective</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January 1, 2025 and elect to</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805-60): Recognition and</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application for all newly-formed joint venture entities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apply the standard</w:t>
            </w: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Initial Measurement</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 formation date on or after January 1, 2025. Joint</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prospectively. The Company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ventures formed prior to the adoption date may elect to</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does not believe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apply the guidance retrospectively back to their original</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implementation will have a</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formation date. Early adoption is permitted.</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material impact on its</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consolidated financial</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0" w:lineRule="exact"/>
        <w:rPr>
          <w:sz w:val="20"/>
          <w:szCs w:val="20"/>
          <w:color w:val="auto"/>
        </w:rPr>
      </w:pPr>
      <w:r>
        <w:rPr>
          <w:sz w:val="20"/>
          <w:szCs w:val="20"/>
          <w:color w:val="auto"/>
        </w:rPr>
        <w:br w:type="column"/>
      </w:r>
    </w:p>
    <w:p>
      <w:pPr>
        <w:spacing w:after="0"/>
        <w:tabs>
          <w:tab w:leader="none" w:pos="4280" w:val="left"/>
          <w:tab w:leader="none" w:pos="6460" w:val="left"/>
        </w:tabs>
        <w:rPr>
          <w:sz w:val="20"/>
          <w:szCs w:val="20"/>
          <w:color w:val="auto"/>
        </w:rPr>
      </w:pPr>
      <w:r>
        <w:rPr>
          <w:rFonts w:ascii="Times New Roman" w:cs="Times New Roman" w:eastAsia="Times New Roman" w:hAnsi="Times New Roman"/>
          <w:sz w:val="18"/>
          <w:szCs w:val="18"/>
          <w:color w:val="auto"/>
        </w:rPr>
        <w:t>This standard requires disaggregated information about</w:t>
      </w:r>
      <w:r>
        <w:rPr>
          <w:sz w:val="20"/>
          <w:szCs w:val="20"/>
          <w:color w:val="auto"/>
        </w:rPr>
        <w:tab/>
      </w:r>
      <w:r>
        <w:rPr>
          <w:rFonts w:ascii="Times New Roman" w:cs="Times New Roman" w:eastAsia="Times New Roman" w:hAnsi="Times New Roman"/>
          <w:sz w:val="18"/>
          <w:szCs w:val="18"/>
          <w:color w:val="auto"/>
        </w:rPr>
        <w:t>January 1, 2026</w:t>
      </w:r>
      <w:r>
        <w:rPr>
          <w:sz w:val="20"/>
          <w:szCs w:val="20"/>
          <w:color w:val="auto"/>
        </w:rPr>
        <w:tab/>
      </w:r>
      <w:r>
        <w:rPr>
          <w:rFonts w:ascii="Times New Roman" w:cs="Times New Roman" w:eastAsia="Times New Roman" w:hAnsi="Times New Roman"/>
          <w:sz w:val="18"/>
          <w:szCs w:val="18"/>
          <w:color w:val="auto"/>
        </w:rPr>
        <w:t>The Company will adopt</w:t>
      </w:r>
    </w:p>
    <w:p>
      <w:pPr>
        <w:spacing w:after="0" w:line="27"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a reporting entity’s effective tax rate reconciliation, as</w:t>
      </w:r>
      <w:r>
        <w:rPr>
          <w:sz w:val="20"/>
          <w:szCs w:val="20"/>
          <w:color w:val="auto"/>
        </w:rPr>
        <w:tab/>
      </w:r>
      <w:r>
        <w:rPr>
          <w:rFonts w:ascii="Times New Roman" w:cs="Times New Roman" w:eastAsia="Times New Roman" w:hAnsi="Times New Roman"/>
          <w:sz w:val="17"/>
          <w:szCs w:val="17"/>
          <w:color w:val="auto"/>
        </w:rPr>
        <w:t>ASU No. 2023-09 on</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well as information on income taxes paid. ASU</w:t>
      </w:r>
      <w:r>
        <w:rPr>
          <w:sz w:val="20"/>
          <w:szCs w:val="20"/>
          <w:color w:val="auto"/>
        </w:rPr>
        <w:tab/>
      </w:r>
      <w:r>
        <w:rPr>
          <w:rFonts w:ascii="Times New Roman" w:cs="Times New Roman" w:eastAsia="Times New Roman" w:hAnsi="Times New Roman"/>
          <w:sz w:val="17"/>
          <w:szCs w:val="17"/>
          <w:color w:val="auto"/>
        </w:rPr>
        <w:t>January 1, 2026 and elect to</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No. 2023-09 requires prospective application with the</w:t>
      </w:r>
      <w:r>
        <w:rPr>
          <w:sz w:val="20"/>
          <w:szCs w:val="20"/>
          <w:color w:val="auto"/>
        </w:rPr>
        <w:tab/>
      </w:r>
      <w:r>
        <w:rPr>
          <w:rFonts w:ascii="Times New Roman" w:cs="Times New Roman" w:eastAsia="Times New Roman" w:hAnsi="Times New Roman"/>
          <w:sz w:val="17"/>
          <w:szCs w:val="17"/>
          <w:color w:val="auto"/>
        </w:rPr>
        <w:t>apply the standard</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option to apply the standard retrospectively. Early</w:t>
      </w:r>
      <w:r>
        <w:rPr>
          <w:sz w:val="20"/>
          <w:szCs w:val="20"/>
          <w:color w:val="auto"/>
        </w:rPr>
        <w:tab/>
      </w:r>
      <w:r>
        <w:rPr>
          <w:rFonts w:ascii="Times New Roman" w:cs="Times New Roman" w:eastAsia="Times New Roman" w:hAnsi="Times New Roman"/>
          <w:sz w:val="17"/>
          <w:szCs w:val="17"/>
          <w:color w:val="auto"/>
        </w:rPr>
        <w:t>prospectively. The Company</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adoption is permitted.</w:t>
      </w:r>
      <w:r>
        <w:rPr>
          <w:sz w:val="20"/>
          <w:szCs w:val="20"/>
          <w:color w:val="auto"/>
        </w:rPr>
        <w:tab/>
      </w:r>
      <w:r>
        <w:rPr>
          <w:rFonts w:ascii="Times New Roman" w:cs="Times New Roman" w:eastAsia="Times New Roman" w:hAnsi="Times New Roman"/>
          <w:sz w:val="17"/>
          <w:szCs w:val="17"/>
          <w:color w:val="auto"/>
        </w:rPr>
        <w:t>does not believe that the</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implementation of this</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guidance will have a</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material impact on its</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consolidated financial</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statements.</w:t>
      </w:r>
    </w:p>
    <w:p>
      <w:pPr>
        <w:spacing w:after="0" w:line="200" w:lineRule="exact"/>
        <w:rPr>
          <w:sz w:val="20"/>
          <w:szCs w:val="20"/>
          <w:color w:val="auto"/>
        </w:rPr>
      </w:pPr>
    </w:p>
    <w:p>
      <w:pPr>
        <w:sectPr>
          <w:pgSz w:w="11900" w:h="16838" w:orient="portrait"/>
          <w:cols w:equalWidth="0" w:num="2">
            <w:col w:w="2180" w:space="380"/>
            <w:col w:w="8580"/>
          </w:cols>
          <w:pgMar w:left="320" w:top="455"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in the allowance for credit losses is as follows (in thousands):</w:t>
      </w:r>
    </w:p>
    <w:p>
      <w:pPr>
        <w:spacing w:after="0" w:line="24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w:t>
      </w:r>
    </w:p>
    <w:p>
      <w:pPr>
        <w:ind w:left="80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880" w:type="dxa"/>
        <w:tblCellMar>
          <w:top w:w="0" w:type="dxa"/>
          <w:left w:w="0" w:type="dxa"/>
          <w:bottom w:w="0" w:type="dxa"/>
          <w:right w:w="0" w:type="dxa"/>
        </w:tblCellMar>
      </w:tblPr>
      <w:tr>
        <w:trPr>
          <w:trHeight w:val="142"/>
        </w:trPr>
        <w:tc>
          <w:tcPr>
            <w:tcW w:w="32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w:t>
            </w:r>
          </w:p>
        </w:tc>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$6,207</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$5,830</w:t>
            </w: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3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2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6,273</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6,172</w:t>
            </w:r>
          </w:p>
        </w:tc>
        <w:tc>
          <w:tcPr>
            <w:tcW w:w="6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3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F-10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4"/>
          <w:szCs w:val="14"/>
          <w:b w:val="1"/>
          <w:bCs w:val="1"/>
          <w:color w:val="auto"/>
        </w:rPr>
        <w:t>Six Months</w:t>
      </w:r>
    </w:p>
    <w:p>
      <w:pPr>
        <w:jc w:val="center"/>
        <w:ind w:left="580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880" w:type="dxa"/>
        <w:tblCellMar>
          <w:top w:w="0" w:type="dxa"/>
          <w:left w:w="0" w:type="dxa"/>
          <w:bottom w:w="0" w:type="dxa"/>
          <w:right w:w="0" w:type="dxa"/>
        </w:tblCellMar>
      </w:tblPr>
      <w:tr>
        <w:trPr>
          <w:trHeight w:val="142"/>
        </w:trPr>
        <w:tc>
          <w:tcPr>
            <w:tcW w:w="5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$6,307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$5,786</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(recovery of) credit losses</w:t>
            </w: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6,273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6,172</w:t>
            </w:r>
          </w:p>
        </w:tc>
        <w:tc>
          <w:tcPr>
            <w:tcW w:w="6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Revenues from Contracts with Customers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certain remaining performance obligations representing contracted vessel revenue for which work had not been performed and such contracts had an original expected duration of more than one year. As of June 30, 2024, the aggregate amount of the transaction price allocated to remaining performance obligations for such contracts totaled $110.6 million, of which $44.3 million is expected to be fully recognized in 2024, $47.8 million in 2025 and $18.5 million in 2026. These amounts are a result of multi-year vessel charters that commenced in either 2022, 2023 or 2024.</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we had $12.3 million of deferred revenue included in current liabilities related to unsatisfied performance obligations that will be recognized during the remainder of 2024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recognized revenues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revenues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$ 163,998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$ 135,912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$ 283,207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256,487</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revenues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11,262</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10,609</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22,454</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21,097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Shore-based facility revenues</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377</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r>
      <w:tr>
        <w:trPr>
          <w:trHeight w:val="223"/>
        </w:trPr>
        <w:tc>
          <w:tcPr>
            <w:tcW w:w="5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$ 175,980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$ 146,898</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$ 306,776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278,389</w:t>
            </w: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Revenues by geographic region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were as follows (in thousands):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74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0"/>
                <w:szCs w:val="10"/>
                <w:color w:val="auto"/>
              </w:rPr>
            </w:pPr>
          </w:p>
        </w:tc>
        <w:tc>
          <w:tcPr>
            <w:tcW w:w="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80" w:type="dxa"/>
            <w:vAlign w:val="bottom"/>
          </w:tcPr>
          <w:p>
            <w:pPr>
              <w:spacing w:after="0"/>
              <w:rPr>
                <w:sz w:val="10"/>
                <w:szCs w:val="10"/>
                <w:color w:val="auto"/>
              </w:rPr>
            </w:pP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$127,441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$ 110,762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5"/>
                <w:szCs w:val="25"/>
                <w:color w:val="auto"/>
                <w:vertAlign w:val="superscript"/>
              </w:rPr>
              <w:t>(2)(3)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48,539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36,136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79,606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63,494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175,980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146,898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306,776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278,389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$6.7 million and $24.4 million were attributed to services performed in Mexico, and international revenues of</w:t>
      </w:r>
    </w:p>
    <w:p>
      <w:pPr>
        <w:spacing w:after="0" w:line="9" w:lineRule="exact"/>
        <w:rPr>
          <w:rFonts w:ascii="Times New Roman" w:cs="Times New Roman" w:eastAsia="Times New Roman" w:hAnsi="Times New Roman"/>
          <w:sz w:val="18"/>
          <w:szCs w:val="18"/>
          <w:color w:val="auto"/>
        </w:rPr>
      </w:pPr>
    </w:p>
    <w:p>
      <w:pPr>
        <w:ind w:left="54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million and $10.6 million were attributed to services performed in Brazil for the three months ended June 30, 2024 and 2023, respectively. Revenues attributed to other countries were not individually material for the periods presented.</w:t>
      </w: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$12.8 million and $44.6 million were attributed to services performed in Mexico, and international revenues of</w:t>
      </w:r>
    </w:p>
    <w:p>
      <w:pPr>
        <w:spacing w:after="0" w:line="9" w:lineRule="exact"/>
        <w:rPr>
          <w:rFonts w:ascii="Times New Roman" w:cs="Times New Roman" w:eastAsia="Times New Roman" w:hAnsi="Times New Roman"/>
          <w:sz w:val="18"/>
          <w:szCs w:val="18"/>
          <w:color w:val="auto"/>
        </w:rPr>
      </w:pPr>
    </w:p>
    <w:p>
      <w:pPr>
        <w:ind w:left="54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 million and $17.7 million were attributed to services performed in Brazil for the six months ended June 30, 2024 and 2023, respectively. Revenues attributed to other countries were not individually material for the periods presented.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the following customers represented 10% or more of consolidated revenues: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6540" w:type="dxa"/>
            <w:vAlign w:val="bottom"/>
          </w:tcPr>
          <w:p>
            <w:pPr>
              <w:spacing w:after="0"/>
              <w:rPr>
                <w:sz w:val="15"/>
                <w:szCs w:val="15"/>
                <w:color w:val="auto"/>
              </w:rPr>
            </w:pPr>
          </w:p>
        </w:tc>
        <w:tc>
          <w:tcPr>
            <w:tcW w:w="200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5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2"/>
        </w:trPr>
        <w:tc>
          <w:tcPr>
            <w:tcW w:w="65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ind w:right="453"/>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represented less than 10% of consolidated revenues in such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the Company’s earnings per share (in thousands, except for per share data):</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Weighted-average number of shares of common stock outstanding </w:t>
            </w:r>
            <w:r>
              <w:rPr>
                <w:rFonts w:ascii="Times New Roman" w:cs="Times New Roman" w:eastAsia="Times New Roman" w:hAnsi="Times New Roman"/>
                <w:sz w:val="26"/>
                <w:szCs w:val="26"/>
                <w:color w:val="auto"/>
                <w:vertAlign w:val="superscript"/>
              </w:rPr>
              <w:t>(1)(2)</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Net effect of dilutive stock options, restricted stock units, and Creditor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Warrants</w:t>
            </w:r>
            <w:r>
              <w:rPr>
                <w:rFonts w:ascii="Times New Roman" w:cs="Times New Roman" w:eastAsia="Times New Roman" w:hAnsi="Times New Roman"/>
                <w:sz w:val="12"/>
                <w:szCs w:val="12"/>
                <w:color w:val="auto"/>
              </w:rPr>
              <w:t xml:space="preserve"> (3)(4)(5)</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dilutive shares of common stock outstanding</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1"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included 11,377 Jones Act Warrants in the weighted-average number of shares of common stock outstanding for the three and six months ended June 30, 2024 and 2023, which represents the weighted-average number of Jones Act Warrants existing at each period-end.</w:t>
      </w:r>
    </w:p>
    <w:p>
      <w:pPr>
        <w:jc w:val="both"/>
        <w:ind w:left="540" w:right="360" w:hanging="424"/>
        <w:spacing w:after="0" w:line="265" w:lineRule="auto"/>
        <w:tabs>
          <w:tab w:leader="none" w:pos="5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105 fully vested, equity-settled restricted stock units that will be settled on the earlier of the occurrence of a contractually-designated event and the passage of a certain period of time for the three and six month periods ended June 30, 2024 and 2023, respectively.</w:t>
      </w:r>
    </w:p>
    <w:p>
      <w:pPr>
        <w:ind w:left="540" w:right="60" w:hanging="424"/>
        <w:spacing w:after="0" w:line="253"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171 and 163 unvested restricted stock units and 619 and 619 contingently-exercisable vested restricted stock units in the weighted average calculation for the three and six months ended June 30, 2024, respectively, and 165 and 146 unvested restricted stock units and 615 and 610 contingently-exercisable, vested restricted stock units in the weighted average calculation for the three and six months ended June 30, 2023, respectively.</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00"/>
          </w:cols>
          <w:pgMar w:left="320" w:top="455" w:right="5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5"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 and 493 dilutive unvested stock options granted under the MIP in the weighted-average calculation for the three and six months ended June 30, 2024, respectively, and 469 and 467 dilutive unvested stock options granted under the MIP in the weighted-average calculation for the three and six months ended June 30 2023, respectively. Dilutive unvested stock options issued by the Company are expected to fluctuate from quarter to quarter depending on the Company’s performance compared to a predetermined set of performance criteria.</w:t>
      </w:r>
    </w:p>
    <w:p>
      <w:pPr>
        <w:spacing w:after="0" w:line="2"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 and 940 of in-the-money, liability-classified Creditor Warrants in the weighted-average calculation for the three and six months ended June 30, 2024, respectively, and 834 and 822 of in-the-money, liability-classified Creditor Warrants in the weighted-average calculation for the three and six months ended June 30, 2023, respectively.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Deferred Charges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amounts reported for deferred charges on the consolidated balance sheets as of June 30, 2024 and December 31, 2023, include costs associated with ongoing drydockings. Included in such capital costs are accruals for vendor costs incurred but not yet invoiced and paid. These accrual amounts totaling $12.9 million and $13.5 million as of June 30, 2024 and December 31, 2023, respectively, are excluded from cash flows from operating activities on the consolidated statement of cash flows as non-cash items for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6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$604,002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Non-vessel related property, plant and equipment</w:t>
            </w:r>
          </w:p>
        </w:tc>
        <w:tc>
          <w:tcPr>
            <w:tcW w:w="13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25,492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(83,909)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(65,890)</w:t>
            </w:r>
          </w:p>
        </w:tc>
      </w:tr>
      <w:tr>
        <w:trPr>
          <w:trHeight w:val="230"/>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545,585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464,525</w:t>
            </w:r>
          </w:p>
        </w:tc>
        <w:tc>
          <w:tcPr>
            <w:tcW w:w="10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in progress </w:t>
            </w:r>
            <w:r>
              <w:rPr>
                <w:rFonts w:ascii="Times New Roman" w:cs="Times New Roman" w:eastAsia="Times New Roman" w:hAnsi="Times New Roman"/>
                <w:sz w:val="25"/>
                <w:szCs w:val="25"/>
                <w:color w:val="auto"/>
                <w:vertAlign w:val="superscript"/>
              </w:rPr>
              <w:t>(1)</w:t>
            </w:r>
          </w:p>
        </w:tc>
        <w:tc>
          <w:tcPr>
            <w:tcW w:w="1360" w:type="dxa"/>
            <w:vAlign w:val="bottom"/>
            <w:gridSpan w:val="4"/>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79,685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137,897</w:t>
            </w:r>
          </w:p>
        </w:tc>
      </w:tr>
      <w:tr>
        <w:trPr>
          <w:trHeight w:val="223"/>
        </w:trPr>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625,270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602,422</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82"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 million and $17.6 million of accrued accounts payable as of June 30, 2024 and December 31, 2023, respectively. These amounts were excluded from the consolidated statement of cash flows as non-cash items for the respective periods.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net book value of property, plant and equipment by geographic regions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thousands):</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640" w:type="dxa"/>
            <w:vAlign w:val="bottom"/>
            <w:vMerge w:val="restart"/>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$548,080</w:t>
            </w:r>
          </w:p>
        </w:tc>
        <w:tc>
          <w:tcPr>
            <w:tcW w:w="5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522,347</w:t>
            </w:r>
          </w:p>
        </w:tc>
        <w:tc>
          <w:tcPr>
            <w:tcW w:w="6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5"/>
                <w:szCs w:val="25"/>
                <w:color w:val="auto"/>
                <w:vertAlign w:val="superscript"/>
              </w:rPr>
              <w:t>(2)</w:t>
            </w:r>
          </w:p>
        </w:tc>
        <w:tc>
          <w:tcPr>
            <w:tcW w:w="2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77,190</w:t>
            </w:r>
          </w:p>
        </w:tc>
        <w:tc>
          <w:tcPr>
            <w:tcW w:w="5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80,075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625,270</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602,422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8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5"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6"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$68.8 million and $70.6 million were owned by certain Mexican subsidiaries of the Company as of June 30, 2024 and December 31, 2023, respectively. Property, plant and equipment attributed to other countries were not individually material as of any of the dates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dates indicated below, the Company had the following outstanding long-term debt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178"/>
        </w:trPr>
        <w:tc>
          <w:tcPr>
            <w:tcW w:w="6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Second Lien Term Loans due 2026 (including accumulated paid-in-kind</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7"/>
              </w:rPr>
              <w:t>$349,001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349,001</w:t>
            </w: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June 2023, we elected to stop accruing paid-in-kind interest and began cash paying the interest on the Second Lien Term Loans. Effective September 4, 2023, the Second Lien Term Loans contractually converted to full cash-pay obligations with an annual fixed interest rate of 8.25% based on our prevailing total leverage ratio, which was below 3.00 to 1.00.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Company’s cash interest payments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4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0"/>
                <w:szCs w:val="10"/>
                <w:b w:val="1"/>
                <w:bCs w:val="1"/>
                <w:color w:val="auto"/>
              </w:rPr>
              <w:t>(1)</w:t>
            </w:r>
          </w:p>
        </w:tc>
        <w:tc>
          <w:tcPr>
            <w:tcW w:w="4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 due 2026</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36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March 31, June 30, September 30, December 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360" w:hanging="424"/>
        <w:spacing w:after="0" w:line="266"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Second Lien Term Loans is variable at 8.25% or 10.25% per annum based on the Company’s total leverage ratio on a quarterly basis. The amount reflected in this table is consistent with the current 8.25% interest rate applicable to the Company’s current total leverage ratio.</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certain lenders of the Second Lien Term Loans were considered related parties due to their ownership of Jones Act Warrants and/or shares of common stock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Liability-Classified Warrants</w:t>
      </w:r>
    </w:p>
    <w:p>
      <w:pPr>
        <w:spacing w:after="0" w:line="11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 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w:t>
      </w:r>
    </w:p>
    <w:p>
      <w:pPr>
        <w:spacing w:after="0" w:line="1" w:lineRule="exact"/>
        <w:rPr>
          <w:sz w:val="20"/>
          <w:szCs w:val="20"/>
          <w:color w:val="auto"/>
        </w:rPr>
      </w:pPr>
    </w:p>
    <w:p>
      <w:pPr>
        <w:ind w:left="120" w:right="40" w:hanging="4"/>
        <w:spacing w:after="0" w:line="251" w:lineRule="auto"/>
        <w:tabs>
          <w:tab w:leader="none" w:pos="3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June 30, 2024, every one-dollar change in the estimated fair value per share of the underlying common stock would have an approximate $1.5 million impact on the estimated fair value of the Creditor Warrants.</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5"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were no exercises of Creditor Warrants during the three and six months ended June 30, 2024 and 2023. The estimated fair value of the Creditor Warrants was determined to be $74.8 million, or $46.97 per warrant, as of June 30, 2024, representing an increase in value since their original issuance on September 4, 2020 of approximately $66.6 million, or $41.81 per warrant.</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inputs to the Black-Scholes model utilized for the valuation of the Creditor Warrants at June 30, 2024 and December 31, 2023 were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the underlying common stock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$ 68.39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2"/>
              </w:rPr>
              <w:t>$ 27.83</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 (years)</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June 30, 2024, there were 2.1 million shares reserved for issuance related to granted awards and 0.1 million shares available for future grants to eligible individuals under the MIP.</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financial impact of stock-based compensation expense related to the MIP on the Company’s operating results is reflected in the table below (in thousands, except for per share data):</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2"/>
        </w:trPr>
        <w:tc>
          <w:tcPr>
            <w:tcW w:w="6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2,361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15,363</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1,960</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13,100</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April 2024, the Company issued certain restricted stock unit awards pursuant to the MIP of which 50% immediately vested and settled upon issuance while the remaining 50% vests one year following the grant date. The Company recorded $0.3 million of stock-based compensation expense in 2024 related to the portion of the awards that immediately vested and settled upon issuance.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March 2023, the Company issued certain restricted stock unit awards pursuant to the MIP of which 50% immediately vested and settled upon issuance while the remaining 50% vests ratably over the three-year period following the grant date. The Company recorded $10.6 million of stock-based compensation expense in 2023 related to the portion of the awards that immediately vested and settled upon issuance.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$0.2 million and $0.2 million of stock-based compensation expense related to restricted stock awards redeemable in cash to other accrued liabilities on the consolidated balance sheet during the six months ended June 30, 2024 and 2023,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expense rate for the six months ended June 30, 2024 and 2023 was 6.7% and 14.7%, respectively. The Company’s current income tax expense reflects its current foreign tax liabilities and certain deferred tax liabilities that could not be offset with a reduction in the valuation allowance. The Company’s effective tax rate differs from the federal statutory rate primarily due to foreign taxes and the reversal of valuation allowance for certain deferred tax assets.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is no longer subject to tax audits being initiated by U.S. federal, state, local or foreign taxing authorities for years prior to 2020. The Company has ongoing examinations by various foreign tax authorities, but does not believe that the results of these examinations will have a material adverse effect on the Company’s financial position or results of operations. Please see Note 12 below for further discussion regarding the relevant ongoing foreign tax examinations.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Construction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costs. As of June 30, 2024, the Company had paid $5.3 million to Eastern related to the completion of these two MPSVs.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However, in June 2024, the Company was provided an updated schedule by the Surety and Eastern indicating that they currently expect a six-month shipyard delay for the first of the two MPSVs. An updated delivery schedule has not yet been provided for the second vessel. Following physical delivery by Eastern, the Company expects each vessel to undergo crane and other system installations, which will make the first vessel available for commercial service in the first half of 2026 and the second vessel thereafter. The Company expects to incur an additional $91.2 million in the aggregate for outfitting, overhead and the post-delivery discretionary enhancements, of which $63.6 million solely relates to the purchase and installation of the cranes. As of June 30, 2024, the Company had incurred $0.8 million of such amounts.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$0.8 million and $0.5 million for potential insurance deductibles or losses associated with such claims as of June 30, 2024 and December 31, 2023,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is subject to audit by various Mexican statutory bodies, including the Mexican tax authorities, or SAT. In recent years, SAT has initiated several audits of the Company’s Mexican subsidiaries for tax years between 2014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June 30, 2024, the Company had accrued a liability totaling $2.6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and other ongoing tax audits may materially differ from the current estimates. The Company will continue to update its estimates related to these pending proceedings as new information warrants.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 Importation Tax Assessment</w:t>
      </w:r>
    </w:p>
    <w:p>
      <w:pPr>
        <w:spacing w:after="0" w:line="11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with respect to the vessel’s services contract in Brazil from February 2019 to January 2020. At the time of the </w:t>
      </w:r>
      <w:r>
        <w:rPr>
          <w:rFonts w:ascii="Times New Roman" w:cs="Times New Roman" w:eastAsia="Times New Roman" w:hAnsi="Times New Roman"/>
          <w:sz w:val="18"/>
          <w:szCs w:val="18"/>
          <w:i w:val="1"/>
          <w:iCs w:val="1"/>
          <w:color w:val="auto"/>
        </w:rPr>
        <w:t>HOS Achiever’s</w:t>
      </w:r>
      <w:r>
        <w:rPr>
          <w:rFonts w:ascii="Times New Roman" w:cs="Times New Roman" w:eastAsia="Times New Roman" w:hAnsi="Times New Roman"/>
          <w:sz w:val="18"/>
          <w:szCs w:val="18"/>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not qualify for the applicable exemption. The Company believes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in fact, meet the criteria set forth under the applicable law and intends to defend its position in a Brazilian court. While the final outcome of this assessment is uncertain and could possibly result in the payment and loss of an estimated $6.0 million to $10.0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Reportable Segments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the Company’s Chief Executive Officer evaluates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any particular geographic region or customer market.</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Trade Name and Trademark License Agreement entered into by and between the Company and HFR, LLC, the Company made payments of $1.5 million during each of the six months ended June 30, 2024 and 2023,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June 30, 2024 and December 31, 2023, the Company had accrued amounts payable to HFR, LLC totaling $0.8 million and $1.3 million, respectively.</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a member of the Company’s Board of Directors, assumed an officer role with an existing Hornbeck customer. For the six months ended June 30, 2024 and 2023, the Company generated $45.8 million, or 14.9%, and $59.8 million, or 21.5%, of revenues, respectively, from contracts with such customer. The Company had outstanding accounts receivable from this customer totaling $10.7 million and $8.0 million as of June 30, 2024 and December 31,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14, 2024, which represents the date its financial statements were available to be issued and determined that all materially relevant information known through this date was appropriately addressed within the consolidated financial statements and notes herein except for the following: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On August 13, 2024, the Company entered into a first 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revolving loan commitments under the new First Lien Revolving Credit Facility total $75 million. The First Lien Revolving Credit Facility also has a customary uncommitted incremental facility in an amount up to $50 million, plus additional amounts if consented to by all lenders. As of August 14, 2024, there were no revolving loan amounts outstanding under the First Lien Revolving Credit Facility.</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Hornbeck Offshore Services,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Hornbeck Offshore Services, Inc. and subsidiaries (the Company) as of December 31, 2023 and 2022,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140" w:hanging="4"/>
        <w:spacing w:after="0" w:line="255"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the Creditor Warrants</w:t>
      </w:r>
    </w:p>
    <w:p>
      <w:pPr>
        <w:spacing w:after="0" w:line="119"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described in Note 11 to the consolidated financial statements, the Company issued 1.6 million Creditor Warrants upon</w:t>
      </w:r>
    </w:p>
    <w:p>
      <w:pPr>
        <w:spacing w:after="0" w:line="29" w:lineRule="exact"/>
        <w:rPr>
          <w:sz w:val="20"/>
          <w:szCs w:val="20"/>
          <w:color w:val="auto"/>
        </w:rPr>
      </w:pPr>
    </w:p>
    <w:p>
      <w:pPr>
        <w:ind w:left="2000" w:right="40" w:hanging="1879"/>
        <w:spacing w:after="0" w:line="253" w:lineRule="auto"/>
        <w:tabs>
          <w:tab w:leader="none" w:pos="19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emergence from voluntary reorganization under Chapter 11. The Creditor Warrants estimated fair value was $75.5 million as of December 31, 2023 and was recorded as a non-current liability on the consolidated balance sheets. The Company utilizes a Black-Scholes model to estimate the fair value of the Creditor Warrants, which uses inputs including the current estimated fair value of the underlying common stock, the exercise price, the contractual expiry term, an estimated equity volatility, a term-match risk-free rate and an expected dividend yield.</w:t>
      </w:r>
    </w:p>
    <w:p>
      <w:pPr>
        <w:spacing w:after="0" w:line="92" w:lineRule="exact"/>
        <w:rPr>
          <w:sz w:val="20"/>
          <w:szCs w:val="20"/>
          <w:color w:val="auto"/>
        </w:rPr>
      </w:pPr>
    </w:p>
    <w:p>
      <w:pPr>
        <w:ind w:left="2000" w:right="40"/>
        <w:spacing w:after="0" w:line="261" w:lineRule="auto"/>
        <w:rPr>
          <w:sz w:val="20"/>
          <w:szCs w:val="20"/>
          <w:color w:val="auto"/>
        </w:rPr>
      </w:pPr>
      <w:r>
        <w:rPr>
          <w:rFonts w:ascii="Times New Roman" w:cs="Times New Roman" w:eastAsia="Times New Roman" w:hAnsi="Times New Roman"/>
          <w:sz w:val="18"/>
          <w:szCs w:val="18"/>
          <w:color w:val="auto"/>
        </w:rPr>
        <w:t>Auditing management’s fair value estimate of the Creditor Warrants was complex and highly judgmental due to the estimation required to determine the fair value of the Creditor Warrants. In particular, the current estimated fair value of the underlying common stock involves a high degree of subjectivity including the use of prospective financial information, weighted average cost of capital, and an exit multiple.</w:t>
      </w:r>
    </w:p>
    <w:p>
      <w:pPr>
        <w:spacing w:after="0" w:line="8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estimated fair value of the Creditor Warrants, we performed audit procedures that included, among others,</w:t>
      </w:r>
    </w:p>
    <w:p>
      <w:pPr>
        <w:spacing w:after="0" w:line="29" w:lineRule="exact"/>
        <w:rPr>
          <w:sz w:val="20"/>
          <w:szCs w:val="20"/>
          <w:color w:val="auto"/>
        </w:rPr>
      </w:pPr>
    </w:p>
    <w:p>
      <w:pPr>
        <w:ind w:left="2000" w:hanging="1875"/>
        <w:spacing w:after="0" w:line="252" w:lineRule="auto"/>
        <w:tabs>
          <w:tab w:leader="none" w:pos="198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assessing methodologies and testing the significant assumptions used in estimating the fair value of the underlying common stock, and testing the underlying data used by the Company in its analysis. For example, we compared the prospective financial information used by management in estimating the fair value of the underlying common stock to current industry and economic trends and other relevant factors, such as the Company’s historical financial results. We also assessed the historical accuracy of management’s prospective financial information. We involved our valuation specialists to assist in our evaluation of the methodology applied by the Company and the significant assumptions used in estimating the fair value of the underlying common stock, which is used to estimate the fair value of the Creditor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auditors since 2002.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14,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120,055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217,303</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$6,307 and $5,786, respectively</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126,438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117,621</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4,870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4,190</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7,961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11,500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12,717</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270,824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357,933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602,422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449,249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48,336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26,778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22,905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24,634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946,519</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860,220</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76,484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42,975</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26,511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19,447</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taxes payable</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12,328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1,868</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130,415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88,203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original discount of $0 and $1,090, and deferred financing costs of $0 and $495</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349,001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410,258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75,475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64,558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20,309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5,691</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589,388</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 shares authorized; 5,554 and 5,386 shares issued and outstanding,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210,776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197,006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148,428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73,890</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946,519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860,220</w:t>
            </w:r>
          </w:p>
        </w:tc>
      </w:tr>
      <w:tr>
        <w:trPr>
          <w:trHeight w:val="20"/>
        </w:trPr>
        <w:tc>
          <w:tcPr>
            <w:tcW w:w="8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528,780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406,034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214,680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41,620</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573,449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451,226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305,463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214,788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142,819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40,632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442,212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308,004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205,206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35,794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35,284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103,892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126,719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(12,859)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(38,783)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(13,969)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87,936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14,980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24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$74,538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$80,762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$ 2,987</w:t>
            </w: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income (loss), net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76,691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81,629</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$ 1,770</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2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40" w:type="dxa"/>
            <w:vAlign w:val="bottom"/>
            <w:tcBorders>
              <w:bottom w:val="single" w:sz="8" w:color="auto"/>
            </w:tcBorders>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restart"/>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9"/>
                <w:szCs w:val="9"/>
                <w:color w:val="auto"/>
              </w:rPr>
            </w:pPr>
          </w:p>
        </w:tc>
        <w:tc>
          <w:tcPr>
            <w:tcW w:w="12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286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(1)</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36,081</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36,081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Balance at December 31, 2021 </w:t>
            </w:r>
            <w:r>
              <w:rPr>
                <w:rFonts w:ascii="Times New Roman" w:cs="Times New Roman" w:eastAsia="Times New Roman" w:hAnsi="Times New Roman"/>
                <w:sz w:val="26"/>
                <w:szCs w:val="26"/>
                <w:color w:val="auto"/>
                <w:vertAlign w:val="superscript"/>
              </w:rPr>
              <w:t>(2)</w:t>
            </w:r>
          </w:p>
        </w:tc>
        <w:tc>
          <w:tcPr>
            <w:tcW w:w="5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4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191,676</w:t>
            </w:r>
          </w:p>
        </w:tc>
        <w:tc>
          <w:tcPr>
            <w:tcW w:w="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183,873</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80,762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December 31, 2022 </w:t>
            </w:r>
            <w:r>
              <w:rPr>
                <w:rFonts w:ascii="Times New Roman" w:cs="Times New Roman" w:eastAsia="Times New Roman" w:hAnsi="Times New Roman"/>
                <w:sz w:val="25"/>
                <w:szCs w:val="25"/>
                <w:color w:val="auto"/>
                <w:vertAlign w:val="superscript"/>
              </w:rPr>
              <w:t>(3)</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197,006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18,828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74,538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74,538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December 31, 2023 </w:t>
            </w:r>
            <w:r>
              <w:rPr>
                <w:rFonts w:ascii="Times New Roman" w:cs="Times New Roman" w:eastAsia="Times New Roman" w:hAnsi="Times New Roman"/>
                <w:sz w:val="25"/>
                <w:szCs w:val="25"/>
                <w:color w:val="auto"/>
                <w:vertAlign w:val="superscript"/>
              </w:rPr>
              <w:t>(4)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210,776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148,428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3"/>
              </w:rPr>
              <w:t>2,089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60" w:hanging="424"/>
        <w:spacing w:after="0" w:line="257"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183 shares of common stock and 1,568 Jones Act Warrants issued through a preemptive rights offering and 101 shares of common stock issued under the Stock Purchase Plan, net of issuance costs, in 2021. See Note 12 to these consolidated financial statements for further information regarding the preemptive rights offering and the Stock Purchase Plan.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5,386 shares of common stock and 11,377 Jones Act Warrants issued and outstanding as of December 31,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5,554 shares of common stock and 11,377 Jones Act Warrants issued and outstanding as of December 31, 2023.</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74,538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80,762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2,987</w:t>
            </w:r>
          </w:p>
        </w:tc>
        <w:tc>
          <w:tcPr>
            <w:tcW w:w="0" w:type="dxa"/>
            <w:vAlign w:val="bottom"/>
          </w:tcPr>
          <w:p>
            <w:pPr>
              <w:spacing w:after="0"/>
              <w:rPr>
                <w:sz w:val="1"/>
                <w:szCs w:val="1"/>
                <w:color w:val="auto"/>
              </w:rPr>
            </w:pPr>
          </w:p>
        </w:tc>
      </w:tr>
      <w:tr>
        <w:trPr>
          <w:trHeight w:val="181"/>
        </w:trPr>
        <w:tc>
          <w:tcPr>
            <w:tcW w:w="66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 operating</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activities: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Depreciation</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26,355</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18,601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15,672</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21,496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2,711</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19,097</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3,372</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Deferred tax expense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 of deferred contract-specific costs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Accumulated paid-in-kind interest</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7,763</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30,407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29,250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Mark-to-market adjustment of creditor warrants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Gain on sale of assets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(2,702)</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(21,837)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(2,608)</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Accounts receivable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(8,553)</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(45,467)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(20,186)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Other current and long-term assets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(3,550)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(11,454)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6,877</w:t>
            </w: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(29,828)</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(19,114)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(14,113)</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Accounts payable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15,385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8,303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10,050</w:t>
            </w: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Accrued liabilities and other liabilities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14,540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3,408</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Accrued interest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(3,043)</w:t>
            </w:r>
          </w:p>
        </w:tc>
        <w:tc>
          <w:tcPr>
            <w:tcW w:w="0" w:type="dxa"/>
            <w:vAlign w:val="bottom"/>
          </w:tcPr>
          <w:p>
            <w:pPr>
              <w:spacing w:after="0"/>
              <w:rPr>
                <w:sz w:val="1"/>
                <w:szCs w:val="1"/>
                <w:color w:val="auto"/>
              </w:rPr>
            </w:pPr>
          </w:p>
        </w:tc>
      </w:tr>
      <w:tr>
        <w:trPr>
          <w:trHeight w:val="149"/>
        </w:trPr>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vMerge w:val="restart"/>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146,115</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 of offshore supply vessels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(128,547)</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(116,047)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proceeds from sale of assets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22,925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capital expenditures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(41,609)</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(6,581)</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Non-vessel capital expenditures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(688)</w:t>
            </w:r>
          </w:p>
        </w:tc>
        <w:tc>
          <w:tcPr>
            <w:tcW w:w="0" w:type="dxa"/>
            <w:vAlign w:val="bottom"/>
          </w:tcPr>
          <w:p>
            <w:pPr>
              <w:spacing w:after="0"/>
              <w:rPr>
                <w:sz w:val="1"/>
                <w:szCs w:val="1"/>
                <w:color w:val="auto"/>
              </w:rPr>
            </w:pPr>
          </w:p>
        </w:tc>
      </w:tr>
      <w:tr>
        <w:trPr>
          <w:trHeight w:val="210"/>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(168,345)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(109,157)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Replacement First Lien Term Loans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36,750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Fees for repayment of Replacement First Lien Term Loans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2"/>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payments under finance lease obligations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Repayment of first-lien term loans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(70,605)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(18,655)</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financing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in lieu of shares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withheld for employee withholding taxes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Rights offering proceeds from equity issued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Rights offering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proceeds from other equity issued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2,015</w:t>
            </w:r>
          </w:p>
        </w:tc>
        <w:tc>
          <w:tcPr>
            <w:tcW w:w="0" w:type="dxa"/>
            <w:vAlign w:val="bottom"/>
          </w:tcPr>
          <w:p>
            <w:pPr>
              <w:spacing w:after="0"/>
              <w:rPr>
                <w:sz w:val="1"/>
                <w:szCs w:val="1"/>
                <w:color w:val="auto"/>
              </w:rPr>
            </w:pPr>
          </w:p>
        </w:tc>
      </w:tr>
      <w:tr>
        <w:trPr>
          <w:trHeight w:val="217"/>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(76,038)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Effects of exchange rate changes on cash</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0"/>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(96,831)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217,651</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180,770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98,122</w:t>
            </w:r>
          </w:p>
        </w:tc>
        <w:tc>
          <w:tcPr>
            <w:tcW w:w="0" w:type="dxa"/>
            <w:vAlign w:val="bottom"/>
          </w:tcPr>
          <w:p>
            <w:pPr>
              <w:spacing w:after="0"/>
              <w:rPr>
                <w:sz w:val="1"/>
                <w:szCs w:val="1"/>
                <w:color w:val="auto"/>
              </w:rPr>
            </w:pPr>
          </w:p>
        </w:tc>
      </w:tr>
      <w:tr>
        <w:trPr>
          <w:trHeight w:val="210"/>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120,820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180,770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32,970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8,467</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9,311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Nature of Operations and Basis of Presentation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Mexico, or the GoM,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all highly liquid investments in money market funds, deposits and investments available for current use with an initial maturity of three months or less.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considers cash as restricted when there are contractual agreements that govern the use or withdrawal of the funds.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consists of trade receivables, net of reserves, and amounts to be rebilled to customers.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8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6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$5,786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$5,530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$ 7,643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6,307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5,786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$ 5,530</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lives by classification are as follows:</w:t>
            </w:r>
          </w:p>
        </w:tc>
        <w:tc>
          <w:tcPr>
            <w:tcW w:w="2600" w:type="dxa"/>
            <w:vAlign w:val="bottom"/>
          </w:tcPr>
          <w:p>
            <w:pPr>
              <w:spacing w:after="0"/>
              <w:rPr>
                <w:sz w:val="20"/>
                <w:szCs w:val="20"/>
                <w:color w:val="auto"/>
              </w:rPr>
            </w:pPr>
          </w:p>
        </w:tc>
      </w:tr>
      <w:tr>
        <w:trPr>
          <w:trHeight w:val="450"/>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Offshore supply vessels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years</w:t>
            </w:r>
          </w:p>
        </w:tc>
      </w:tr>
      <w:tr>
        <w:trPr>
          <w:trHeight w:val="229"/>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Multi-purpose support vessels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years</w:t>
            </w:r>
          </w:p>
        </w:tc>
      </w:tr>
      <w:tr>
        <w:trPr>
          <w:trHeight w:val="258"/>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Non-vessel property, plant and equipment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 years</w:t>
            </w:r>
          </w:p>
        </w:tc>
      </w:tr>
    </w:tbl>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Mobilization Costs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ASC 340, </w:t>
      </w:r>
      <w:r>
        <w:rPr>
          <w:rFonts w:ascii="Times New Roman" w:cs="Times New Roman" w:eastAsia="Times New Roman" w:hAnsi="Times New Roman"/>
          <w:sz w:val="18"/>
          <w:szCs w:val="18"/>
          <w:i w:val="1"/>
          <w:iCs w:val="1"/>
          <w:color w:val="auto"/>
        </w:rPr>
        <w:t>Other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Deferred Costs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uncertain.The Company established valuation allowances of $264.6 million and $246.4 million against its deferred tax assets as of December 31, 2023 and 2022, respectively.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made an accounting policy election to account for global intangible low-taxed income, or GILTI, in the year the tax is incurred.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Liabilities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and Losses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 in accumulated other comprehensive income (loss) as of December 31, 2023 and 2022 relates primarily to the Company’s long-term investments in its foreign subsidiaries.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Each applicable asset and liability carried at fair value is required to be classified into one of the following categories:</w:t>
      </w:r>
    </w:p>
    <w:p>
      <w:pPr>
        <w:spacing w:after="0" w:line="8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Fair value is calculated based on assumptions that market participants would use in pricing assets and liabilities. Significant judgments are required in the determination of these assumptions.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leases with a term of 12 months or less, the Company has made a policy election in which the right-of-use asset and lease liability will not be recognized on its balance sheet.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of particular assets to geographic region or customer market.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accounting pronouncements that could have a material effect on the Company’s consolidated financial statements:</w:t>
      </w: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8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0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90"/>
        </w:trPr>
        <w:tc>
          <w:tcPr>
            <w:tcW w:w="1780" w:type="dxa"/>
            <w:vAlign w:val="bottom"/>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20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ind w:left="120" w:right="420"/>
        <w:spacing w:after="0" w:line="272" w:lineRule="auto"/>
        <w:rPr>
          <w:sz w:val="20"/>
          <w:szCs w:val="20"/>
          <w:color w:val="auto"/>
        </w:rPr>
      </w:pPr>
      <w:r>
        <w:rPr>
          <w:rFonts w:ascii="Times New Roman" w:cs="Times New Roman" w:eastAsia="Times New Roman" w:hAnsi="Times New Roman"/>
          <w:sz w:val="18"/>
          <w:szCs w:val="18"/>
          <w:i w:val="1"/>
          <w:iCs w:val="1"/>
          <w:color w:val="auto"/>
        </w:rPr>
        <w:t>Standards that have been adopted:</w:t>
      </w:r>
    </w:p>
    <w:p>
      <w:pPr>
        <w:spacing w:after="0" w:line="60"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Instruments—Credit Losses (Topic 326): Measurement of Credit Losses on Financial Instruments</w:t>
      </w:r>
    </w:p>
    <w:p>
      <w:pPr>
        <w:spacing w:after="0" w:line="60"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Rate Reform (Topic 848), Facilitation of the Effects of Reference Rate Reform on Financial Reporting</w:t>
      </w:r>
    </w:p>
    <w:p>
      <w:pPr>
        <w:spacing w:after="0" w:line="200" w:lineRule="exact"/>
        <w:rPr>
          <w:sz w:val="20"/>
          <w:szCs w:val="20"/>
          <w:color w:val="auto"/>
        </w:rPr>
      </w:pPr>
    </w:p>
    <w:p>
      <w:pPr>
        <w:spacing w:after="0" w:line="292"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ASU No. 2022-06,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Rate Reform (Topic 848):</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i w:val="1"/>
          <w:iCs w:val="1"/>
          <w:color w:val="auto"/>
        </w:rPr>
        <w:t>Deferral of the Sunset Date of Topic 848</w:t>
      </w:r>
    </w:p>
    <w:p>
      <w:pPr>
        <w:spacing w:after="0" w:line="71"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Standards that have not been adopted:</w:t>
      </w:r>
    </w:p>
    <w:p>
      <w:pPr>
        <w:spacing w:after="0" w:line="50"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 xml:space="preserve">ASU No. 2023-05,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Combinations—Joint Venture Formations (Subtopic 805-60):</w:t>
      </w:r>
    </w:p>
    <w:p>
      <w:pPr>
        <w:spacing w:after="0" w:line="1"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i w:val="1"/>
          <w:iCs w:val="1"/>
          <w:color w:val="auto"/>
        </w:rPr>
        <w:t>Recognition and Initial Measurement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measurement and</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 2023</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2016-13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expected credit losses for</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January 1,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held. ASU No. 2016-13</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requires modified retrospective application.</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Early adoption is permitted.</w:t>
            </w:r>
          </w:p>
        </w:tc>
        <w:tc>
          <w:tcPr>
            <w:tcW w:w="18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provide</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upon</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2020-04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optional expedients and exceptions for</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(March 12,</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July 27,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applying generally accepted accounting</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2020) and generally</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principles (GAAP) to contracts, hedging</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 be adopted at the</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relationships, and other transactions affected</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reporting entity’s</w:t>
            </w: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by the reference rate reform if certain criteria</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through</w:t>
            </w:r>
          </w:p>
        </w:tc>
        <w:tc>
          <w:tcPr>
            <w:tcW w:w="3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are met.</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160" w:type="dxa"/>
            <w:vAlign w:val="bottom"/>
          </w:tcPr>
          <w:p>
            <w:pPr>
              <w:spacing w:after="0"/>
              <w:rPr>
                <w:sz w:val="20"/>
                <w:szCs w:val="20"/>
                <w:color w:val="auto"/>
              </w:rPr>
            </w:pPr>
          </w:p>
        </w:tc>
      </w:tr>
      <w:tr>
        <w:trPr>
          <w:trHeight w:val="3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defer the</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upon</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2022-06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sunset date of Topic 848 from December 31,</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(December</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January 1,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 to December 31, 2024.</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 2022) through</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34"/>
        </w:trPr>
        <w:tc>
          <w:tcPr>
            <w:tcW w:w="338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84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a joint venture to</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 2025</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 will adopt ASU</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initially measure all contributions received</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No. 2023-05 on January 1, 2025 and elect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upon its formation at fair value. ASU</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apply the standard prospectively. The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 2023-05 requires prospective application</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does not believe that the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 all newly-formed joint venture entities</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implementation of this guidance will have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with a formation date on or after January 1,</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2025. Joint ventures formed prior to the</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adoption date may elect to apply the</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guidance retrospectively back to their</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original formation date. Early adoption is</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permitted.</w:t>
            </w:r>
          </w:p>
        </w:tc>
        <w:tc>
          <w:tcPr>
            <w:tcW w:w="18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65"/>
        </w:trPr>
        <w:tc>
          <w:tcPr>
            <w:tcW w:w="33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F-30</w:t>
            </w:r>
          </w:p>
        </w:tc>
        <w:tc>
          <w:tcPr>
            <w:tcW w:w="180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ectPr>
          <w:pgSz w:w="11900" w:h="16838" w:orient="portrait"/>
          <w:cols w:equalWidth="0" w:num="2">
            <w:col w:w="2360" w:space="380"/>
            <w:col w:w="8340"/>
          </w:cols>
          <w:pgMar w:left="320" w:top="455" w:right="499"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1534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93" w:lineRule="exact"/>
        <w:rPr>
          <w:sz w:val="20"/>
          <w:szCs w:val="20"/>
          <w:color w:val="auto"/>
        </w:rPr>
      </w:pPr>
    </w:p>
    <w:p>
      <w:pPr>
        <w:ind w:left="120" w:right="340"/>
        <w:spacing w:after="0" w:line="281" w:lineRule="auto"/>
        <w:rPr>
          <w:sz w:val="20"/>
          <w:szCs w:val="20"/>
          <w:color w:val="auto"/>
        </w:rPr>
      </w:pPr>
      <w:r>
        <w:rPr>
          <w:rFonts w:ascii="Times New Roman" w:cs="Times New Roman" w:eastAsia="Times New Roman" w:hAnsi="Times New Roman"/>
          <w:sz w:val="17"/>
          <w:szCs w:val="17"/>
          <w:color w:val="auto"/>
        </w:rPr>
        <w:t xml:space="preserve">ASU No. 2023-07, </w:t>
      </w:r>
      <w:r>
        <w:rPr>
          <w:rFonts w:ascii="Times New Roman" w:cs="Times New Roman" w:eastAsia="Times New Roman" w:hAnsi="Times New Roman"/>
          <w:sz w:val="17"/>
          <w:szCs w:val="17"/>
          <w:i w:val="1"/>
          <w:iCs w:val="1"/>
          <w:color w:val="auto"/>
        </w:rPr>
        <w:t>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(Topic 280): Improvements to Reportable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 xml:space="preserve">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740): Improvements to Income Tax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8"/>
        </w:trPr>
        <w:tc>
          <w:tcPr>
            <w:tcW w:w="330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160" w:type="dxa"/>
            <w:vAlign w:val="bottom"/>
            <w:vMerge w:val="restart"/>
          </w:tcPr>
          <w:p>
            <w:pPr>
              <w:spacing w:after="0"/>
              <w:rPr>
                <w:sz w:val="12"/>
                <w:szCs w:val="12"/>
                <w:color w:val="auto"/>
              </w:rPr>
            </w:pPr>
          </w:p>
        </w:tc>
        <w:tc>
          <w:tcPr>
            <w:tcW w:w="308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improve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Effective for fiscal</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adopted ASU No. 2023-07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 disclosure requirements,</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years beginning after</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on January 1, 2024. This adoption had no</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primarily through enhanced disclosures about</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15, 2023,</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material impact on its consolidated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significant segment expenses. In addition, the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interim periods</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amendments enhance interim disclosure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within fiscal years</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clarify circumstances in which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beginning after</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 entity can disclose multiple segment</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15, 2024.</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measures of profit or loss, provide new</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Early adoption is</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segment disclosure requirements for entities</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permitted.</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with a single reportable segment, and contain</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disclosure requirements. ASU</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 2023-07 requires retrospective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disaggregated</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January 1, 2026</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will adopt ASU</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a reporting entity’s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 2023-09 on January 1, 2026 and elect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reconciliation as well as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 apply the standard prospectively.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on income taxes paid. ASU</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Company does not believe that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 2023-09 requires prospective application</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of this guidance will have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with the option to apply the standard</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 material impact on its consolidated</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retrospectively. Early adoption is permitted.</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-3719830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40"/>
            <w:col w:w="8400"/>
          </w:cols>
          <w:pgMar w:left="320" w:top="455" w:right="439" w:bottom="1440" w:gutter="0" w:footer="0" w:header="0"/>
        </w:sectPr>
      </w:pP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Revenues from Contracts with Customers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accounts for services rendered separately if they are distinct and the service is separately identifiable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certain remaining performance obligations representing contracted vessel revenue for which work had not been performed and such contracts had an original expected duration of more than one year. As of December 31, 2023, the aggregate amount of the transaction price allocated to remaining performance obligations for such contracts totaled $92.2 million, of which $76.2 million is expected to be fully recognized in 2024 and $16.0 million in 2025. These amounts are a result of multi-year vessel charters that commenced in 2022 and 2023.</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$2.8 million and $0.8 million of deferred revenue included in current liabilities and other long-term liabilities, respectively, related to unsatisfied performance obligations that will be recognized during 2024 and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recognized revenues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revenues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$528,780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$406,034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$214,680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 management revenues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42,893</w:t>
            </w: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Shore-based facility 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573,449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451,226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256,300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w w:val="98"/>
              </w:rPr>
              <w:t>Revenues by geographic region</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18"/>
                <w:szCs w:val="18"/>
                <w:color w:val="auto"/>
                <w:w w:val="98"/>
              </w:rPr>
              <w:t xml:space="preserve"> were as follows (in thousands):</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1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920" w:type="dxa"/>
            <w:vAlign w:val="bottom"/>
            <w:gridSpan w:val="4"/>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0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7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$432,621</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gridSpan w:val="2"/>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$362,830</w:t>
            </w:r>
          </w:p>
        </w:tc>
        <w:tc>
          <w:tcPr>
            <w:tcW w:w="260" w:type="dxa"/>
            <w:vAlign w:val="bottom"/>
            <w:vMerge w:val="continue"/>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$196,357</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355"/>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6"/>
                <w:szCs w:val="26"/>
                <w:color w:val="auto"/>
                <w:vertAlign w:val="superscript"/>
              </w:rPr>
              <w:t>(2)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140,828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1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88,396</w:t>
            </w: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59,943</w:t>
            </w: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9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400" w:type="dxa"/>
            <w:vAlign w:val="bottom"/>
            <w:gridSpan w:val="2"/>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573,449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451,226</w:t>
            </w: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256,300</w:t>
            </w:r>
          </w:p>
        </w:tc>
        <w:tc>
          <w:tcPr>
            <w:tcW w:w="8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$62.1 million, $41.3 million and $40.7 million were attributed to services performed in Mexico for the years ended December 31, 2023, 2022 and 2021, respectively. International revenues of $53.2 million, $15.4 million and $8.7 million were attributed to services performed in Brazil for the years ended December 31, 2023, 2022 and 2021, respectively. Revenues attributed to other countries were not individually material for the periods presented.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The table below reconciles the Company’s earnings per share (in thousands, except for per share data):</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74,538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80,762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60" w:type="dxa"/>
            <w:vAlign w:val="bottom"/>
            <w:shd w:val="clear" w:color="auto" w:fill="CCEEFF"/>
          </w:tcPr>
          <w:p>
            <w:pPr>
              <w:spacing w:after="0"/>
              <w:rPr>
                <w:sz w:val="18"/>
                <w:szCs w:val="18"/>
                <w:color w:val="auto"/>
              </w:rPr>
            </w:pPr>
          </w:p>
        </w:tc>
      </w:tr>
      <w:tr>
        <w:trPr>
          <w:trHeight w:val="198"/>
        </w:trPr>
        <w:tc>
          <w:tcPr>
            <w:tcW w:w="880" w:type="dxa"/>
            <w:vAlign w:val="bottom"/>
          </w:tcPr>
          <w:p>
            <w:pPr>
              <w:spacing w:after="0"/>
              <w:rPr>
                <w:sz w:val="17"/>
                <w:szCs w:val="17"/>
                <w:color w:val="auto"/>
              </w:rPr>
            </w:pPr>
          </w:p>
        </w:tc>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of common</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stock outstanding </w:t>
            </w:r>
            <w:r>
              <w:rPr>
                <w:rFonts w:ascii="Times New Roman" w:cs="Times New Roman" w:eastAsia="Times New Roman" w:hAnsi="Times New Roman"/>
                <w:sz w:val="26"/>
                <w:szCs w:val="26"/>
                <w:color w:val="auto"/>
                <w:vertAlign w:val="superscript"/>
              </w:rPr>
              <w:t>(1) (2)</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17,004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16,829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14,980</w:t>
            </w:r>
          </w:p>
        </w:tc>
        <w:tc>
          <w:tcPr>
            <w:tcW w:w="60" w:type="dxa"/>
            <w:vAlign w:val="bottom"/>
          </w:tcPr>
          <w:p>
            <w:pPr>
              <w:spacing w:after="0"/>
              <w:rPr>
                <w:sz w:val="20"/>
                <w:szCs w:val="20"/>
                <w:color w:val="auto"/>
              </w:rPr>
            </w:pPr>
          </w:p>
        </w:tc>
      </w:tr>
      <w:tr>
        <w:trPr>
          <w:trHeight w:val="198"/>
        </w:trPr>
        <w:tc>
          <w:tcPr>
            <w:tcW w:w="880" w:type="dxa"/>
            <w:vAlign w:val="bottom"/>
          </w:tcPr>
          <w:p>
            <w:pPr>
              <w:spacing w:after="0"/>
              <w:rPr>
                <w:sz w:val="17"/>
                <w:szCs w:val="17"/>
                <w:color w:val="auto"/>
              </w:rPr>
            </w:pPr>
          </w:p>
        </w:tc>
        <w:tc>
          <w:tcPr>
            <w:tcW w:w="5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Net effect of dilutive stock options, restricted</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stock units, and Creditor Warrants </w:t>
            </w:r>
            <w:r>
              <w:rPr>
                <w:rFonts w:ascii="Times New Roman" w:cs="Times New Roman" w:eastAsia="Times New Roman" w:hAnsi="Times New Roman"/>
                <w:sz w:val="26"/>
                <w:szCs w:val="26"/>
                <w:color w:val="auto"/>
                <w:vertAlign w:val="superscript"/>
              </w:rPr>
              <w:t>(3)(4)(5)</w:t>
            </w:r>
          </w:p>
        </w:tc>
        <w:tc>
          <w:tcPr>
            <w:tcW w:w="1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5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shd w:val="clear" w:color="auto" w:fill="CCEEFF"/>
          </w:tcPr>
          <w:p>
            <w:pPr>
              <w:spacing w:after="0"/>
              <w:rPr>
                <w:sz w:val="20"/>
                <w:szCs w:val="20"/>
                <w:color w:val="auto"/>
              </w:rPr>
            </w:pPr>
          </w:p>
        </w:tc>
      </w:tr>
      <w:tr>
        <w:trPr>
          <w:trHeight w:val="205"/>
        </w:trPr>
        <w:tc>
          <w:tcPr>
            <w:tcW w:w="5900" w:type="dxa"/>
            <w:vAlign w:val="bottom"/>
            <w:gridSpan w:val="3"/>
          </w:tcPr>
          <w:p>
            <w:pPr>
              <w:ind w:left="880"/>
              <w:spacing w:after="0" w:line="205" w:lineRule="exact"/>
              <w:rPr>
                <w:sz w:val="20"/>
                <w:szCs w:val="20"/>
                <w:color w:val="auto"/>
              </w:rPr>
            </w:pPr>
            <w:r>
              <w:rPr>
                <w:rFonts w:ascii="Times New Roman" w:cs="Times New Roman" w:eastAsia="Times New Roman" w:hAnsi="Times New Roman"/>
                <w:sz w:val="18"/>
                <w:szCs w:val="18"/>
                <w:color w:val="auto"/>
              </w:rPr>
              <w:t>Weighted-average number of dilutive shares of</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19,157</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18,394</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15,497</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line="257"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included 11,377, 11,488 and 10,588 Jones Act Warrants in the weighted-average number of shares of common stock outstanding for the years ended December 31, 2023, 2022 and 2021, respectively, which represents the weighted-average number of Jones Act Warrants existing at each period-end. See Note 12 to these consolidated financial statements for further information regarding the Jones Act Warrants.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 105 and 53 fully vested, equity-settled restricted stock units that will be settled on the earlier of the occurrence of a contractually-designated event and the passage of a certain period of time for the years ended December 31, 2023, 2022 and 2021, respectively. See Note 13 to these consolidated financial statements for further information regarding the equity-settled restricted stock units granted under the MIP.</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196, 254 and 257 unvested restricted stock units and 611, 380 and 128 vested restricted stock units that will be settled on the earlier of the occurrence of a contractually-designated event and the passage of a certain period of time, subject to certain employment requirements of the grantee, for the years ended December 31, 2023, 2022 and 2021, respectively. See Note 13 to these consolidated financial statements for further information regarding the equity-settled restricted stock units granted under the MIP.</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476, 403 and 83 dilutive unvested stock options granted under the MIP in the weighted-average calculation for the years ended December 31, 2023, 2022 and 2021, respectively. Dilutive unvested stock options issued by the Company are expected to fluctuate from quarter to quarter depending on the Company’s performance compared to a predetermined set of performance criteria. See Note 13 to these consolidated financial statements for further information regarding the Company’s stock options granted under the MIP.</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870 and 488 of in-the-money, liability-classified Creditor Warrants in the weighted-average calculation for the years ended December 31, 2023 and 2022, respectively. Excludes 1,592 of out-of-the-money, liability-classified Creditor Warrants for the year ended December 31, 2021. See Note 11 to these consolidated financial statements for further information regarding the Creditor Warrants.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Defined Contribution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312" w:lineRule="auto"/>
        <w:rPr>
          <w:sz w:val="20"/>
          <w:szCs w:val="20"/>
          <w:color w:val="auto"/>
        </w:rPr>
      </w:pPr>
      <w:r>
        <w:rPr>
          <w:rFonts w:ascii="Times New Roman" w:cs="Times New Roman" w:eastAsia="Times New Roman" w:hAnsi="Times New Roman"/>
          <w:sz w:val="17"/>
          <w:szCs w:val="17"/>
          <w:color w:val="auto"/>
        </w:rPr>
        <w:t>again in 2021. Effective January 1, 2022, the Company reinstated a discretionary match of employee contributions to the 401(k) plan. During the years ended December 31, 2023 and 2022, the Company made contributions to the 401(k) plan of approximately $5.6 million and $2.6 million,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$510,882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$437,561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Non-vessel related property, plant and equipment</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19,533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15,964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(65,890)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(39,842)</w:t>
            </w:r>
          </w:p>
        </w:tc>
      </w:tr>
      <w:tr>
        <w:trPr>
          <w:trHeight w:val="230"/>
        </w:trPr>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413,683</w:t>
            </w: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in progress </w:t>
            </w:r>
            <w:r>
              <w:rPr>
                <w:rFonts w:ascii="Times New Roman" w:cs="Times New Roman" w:eastAsia="Times New Roman" w:hAnsi="Times New Roman"/>
                <w:sz w:val="25"/>
                <w:szCs w:val="25"/>
                <w:color w:val="auto"/>
                <w:vertAlign w:val="superscript"/>
              </w:rPr>
              <w:t>(1)</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137,897</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35,566</w:t>
            </w:r>
          </w:p>
        </w:tc>
      </w:tr>
      <w:tr>
        <w:trPr>
          <w:trHeight w:val="223"/>
        </w:trPr>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602,422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449,249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520" w:hanging="424"/>
        <w:spacing w:after="0" w:line="282"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$17.6 million and $7.7 million of accrued accounts payable as of December 31, 2023 and 2022, respectively. These amounts were excluded from the statement of cash flows as non-cash items for the respective periods.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net book value of property, plant and equipment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thousands):</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2"/>
                <w:szCs w:val="12"/>
                <w:color w:val="auto"/>
              </w:rPr>
            </w:pPr>
          </w:p>
        </w:tc>
        <w:tc>
          <w:tcPr>
            <w:tcW w:w="10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9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$522,347</w:t>
            </w:r>
          </w:p>
        </w:tc>
        <w:tc>
          <w:tcPr>
            <w:tcW w:w="5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$365,769</w:t>
            </w:r>
          </w:p>
        </w:tc>
        <w:tc>
          <w:tcPr>
            <w:tcW w:w="5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80,075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83,480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602,422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449,249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ind w:left="540" w:right="40" w:hanging="424"/>
        <w:spacing w:after="0" w:line="253"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$70.6 million and $74.5 million were owned by certain Mexican subsidiaries of the Company as of December 31, 2023 and 2022,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Vessel Construction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first quarter of 2018, the Company notified Gulf Island Shipyards, LLC, or Gulf Island,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Gulf Island filed suit against the Company in the 22nd Judicial District Court for the Parish of St. Tammany in the State of Louisiana, claiming that the Company’s termination was improper. In October 2023, the Company entered into a final settlement agreement with Zurich American Insurance Company and Fidelity &amp; Deposit Company of Maryland, together the Surety, and Gulf Island. Pursuant to the settlement agreement, the Surety agreed to take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over and complete the construction of the two U.S.-flagged, Jones Act-qualified, HOS 400 class MPSVs at a shipyard acceptable to the Company. Gulf Island released all claims asserted against the Company and the Company released its claims against Gulf Island and the Surety.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In addition, the Company is currently exploring discretionary post-delivery enhancements to add, among other things, secondary cranes to both vessels. On December 20, 2023, Eastern Shipbuilding Group, Inc. was contracted by the Surety to complete the construction of the two MPSVs. Pursuant to the settlement, the Surety is required to deliver both MPSVs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Assets Held for Sale</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considers an asset to be held for sale when all of the following criteria are met: (i) management commits to a plan to sell the asset, (ii) 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previously approved a plan to scrap or sell certain low-spec and mid-spec vessels. The Company sold all but two such vessels during 2021, 2022 and 2023 for net gains of $2.2 million, $20.5 million, and $0.8 million, respectively. The Company consummated the sale of four low-spec vessels for net proceeds totaling $2.7 million in 2021, seven low-spec and three mid-spec vessels for net proceeds totaling $21.5 million in 2022 and two low-spec vessels for net proceeds totaling $1.0 million in 2023. In 2021, 2022, and 2023, the Company also sold certain non-vessel assets for proceeds of $0.5 million, $1.3 million, and $2.0 million, at net gains of $0.5 million, $1.3 million, $1.9 million, respectively.</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two vessels that met all of the held-for-sale criteria and were included in assets held for sale on the consolidated balance sheet at an aggregate carrying value of $0.1 million, which represented their estimated net scrap value. Based on current assessments, the Company did not have any vessels that met the held-for-sale criteria as of December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Vessel Acquisitions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ECO Acquisitions #1</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paid $82.2 million for the original purchase price and $1.7 million in purchase price adjustments associated with discretionary enhancements of the ECO Acquisitions #1 vessels, prior to the $1.5 million termination fee paid by ECO. In addition, the Company had incurred $4.8 million of costs associated with additional outfitting of the six vessels through the fourth quarter of 2023. The Company expects to incur an additional $0.1 million related to post-closing modifications of the sixth vessel during the first quarter of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MARAD Acquisition and SOV/Flotel Conversion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4, 2022, the Company completed the acquisition of three high-spec new generation OSVs from the U.S. Department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Transportation’s Maritime Administration, or MARAD, for an aggregate price of $37.2 million. All three vessels are U.S.-flagged, Jones Act-qualified,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280 class DP-2 OSVs with cargo-carrying capacities of circa 4,500 DWT. In September 2022, the Company placed two of these vessels into service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 time charters in the U.S. GoM. Since taking physical delivery of the vessels from MARAD, the Company has incurred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$27.1 million for the reactivation and regulatory drydockings of all three vessels. The Company has also incurred $23.5 million, excluding capitalized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associated with the conversion of the third vessel into a dual-use SOV/flotel to support the domestic offshore wind and oilfield markets.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Company currently expects to spend an additional $54.2 million toward the SOV/flotel conversion of the third vessel, which is expected to be completed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mid-year 2025.</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ECO Acquisitions #2</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Payment of 10% of the purchase price for each vessel was made upon arrival of such vessel to the shipyard and the remaining 90% was paid at the closing and delivery of each vessel. The Company took delivery of the first five vessels during 2023.</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paid $86.7 million, including deposits, of the original purchase price and $0.8 million in purchase price adjustments associated with discretionary enhancements for the ECO Acquisitions #2 vessels. In addition, the Company had incurred $4.1 million of costs associated with additional outfitting of the six vessels through the fourth quarter of 2023.</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January 2024, the Company took delivery of the sixth vessel and paid $15.3 million for the remaining 90% of the original purchase price and $0.1 million for purchase price adjustments related to discretionary enhancements. The Company expects to incur an additional $4.4 million related to additional outfitting, discretionary enhancements and post-closing modifications of these vessels during the first quarter of 2024 for these acquired vessels.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substantially all of the fair value of the assets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dates indicated below, the Company had the following outstanding long-term debt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78"/>
        </w:trPr>
        <w:tc>
          <w:tcPr>
            <w:tcW w:w="6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Replacement First Lien Term Loans due 2025, net of original issue discount of $0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$1,090 and deferred financing costs of $0 and $495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69,020</w:t>
            </w: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 Lien Term Loans due 2026 (including</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paid-in-kind interest)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349,001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341,238</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349,001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410,258</w:t>
            </w:r>
          </w:p>
        </w:tc>
      </w:tr>
      <w:tr>
        <w:trPr>
          <w:trHeight w:val="20"/>
        </w:trPr>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Company’s cash interest payments (in thousands) based on the most recent payment amount:</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294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2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Second Lien Term Loans due 2026</w:t>
            </w:r>
          </w:p>
        </w:tc>
        <w:tc>
          <w:tcPr>
            <w:tcW w:w="3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March 31, June 30, September 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7,278</w:t>
            </w:r>
          </w:p>
        </w:tc>
        <w:tc>
          <w:tcPr>
            <w:tcW w:w="2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66"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Second Lien Term Loans is variable at either 8.25% or 10.25% per annum based on the Company’s total leverage ratio on a quarterly basis. The amount reflected in this table is consistent with the interest applicable to the Company’s total leverage ratio for the quarter ended December 31, 2023.</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incurred $41.0 million of interest related to debt instruments in 2023 of which $1.5 million related to certain capital projects was capitalized to the consolidated balance sheet as of December 31, 2023. In 2022 and 2021, the Company incurred $40.1 million and $34.7 million of interest related to debt instruments, respectively, but recorded no capitalized interest during such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maturities of debt during each year ending December 31,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 Lien Term Loans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Second Lien Credit Agreement, as subsequently amended, was entered into by and among the Company, as Parent Borrower, Hornbeck Offshore Services. LLC, or HOS, as Co-Borrower, the prepetition first-lien term lenders, and Wilmington Trust, National Association, as Administrative Agent and Collateral Agent for the lenders, resulting in $287.6 million of Second Lien Term Loans initially outstanding as of September 4, 2020. The Second Lien Term Loans will mature on March 31, 2026. The Company may voluntarily prepay, in whole or in part, any amounts due under the Second Lien Credit Agreement without penalty prior to maturity. The Second Lien Term Loans are guaranteed by certain of the Company’s domestic and foreign subsidiaries and are secured by a security interest in, and lien on, substantially all of the Company’s property (whether tangible, intangible, real, personal or mixed). The Second Lien Credit Agreement continues to permit the Company to incur up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$75 million of first lien senior secured debt that would be senior in priority to the Second Lien Term Loans, subject to certain terms and conditions set forth in the Second Lien Credit Agreement. Until such time as any future first lien senior secured debt is entered into by the Company, the Second Lien Term Loans are effectively first lien senior secured in priority. The credit agreement contains customary representations and warranties, covenants and events of default, and one maintenance covenant, which is a $25 million minimum liquidity requirement.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time periods set forth below, borrowings accrued or accrue interest at a cash rate or cash plus paid-in-kind (PIK) rate, at the Company’s option, but in no event to exceed the highest lawful rate: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color w:val="auto"/>
              </w:rPr>
              <w:t>Time Period</w:t>
            </w:r>
          </w:p>
        </w:tc>
        <w:tc>
          <w:tcPr>
            <w:tcW w:w="220" w:type="dxa"/>
            <w:vAlign w:val="bottom"/>
          </w:tcPr>
          <w:p>
            <w:pPr>
              <w:spacing w:after="0"/>
              <w:rPr>
                <w:sz w:val="16"/>
                <w:szCs w:val="16"/>
                <w:color w:val="auto"/>
              </w:rPr>
            </w:pPr>
          </w:p>
        </w:tc>
        <w:tc>
          <w:tcPr>
            <w:tcW w:w="3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Cash Interest Only</w:t>
            </w:r>
          </w:p>
        </w:tc>
        <w:tc>
          <w:tcPr>
            <w:tcW w:w="220" w:type="dxa"/>
            <w:vAlign w:val="bottom"/>
          </w:tcPr>
          <w:p>
            <w:pPr>
              <w:spacing w:after="0"/>
              <w:rPr>
                <w:sz w:val="16"/>
                <w:szCs w:val="16"/>
                <w:color w:val="auto"/>
              </w:rPr>
            </w:pPr>
          </w:p>
        </w:tc>
        <w:tc>
          <w:tcPr>
            <w:tcW w:w="3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Cash Interest and PIK Interest</w:t>
            </w: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September 4, 2020 until September 4, 2022</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9.25% per annum</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1.00% per annum cash interest plus 9.50%</w:t>
            </w:r>
          </w:p>
        </w:tc>
      </w:tr>
      <w:tr>
        <w:trPr>
          <w:trHeight w:val="234"/>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per annum PIK interest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the September 4, 2022 until September 4, 2023</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10.25% per annum</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2.50% per annum cash interest plus 9.00%</w:t>
            </w:r>
          </w:p>
        </w:tc>
      </w:tr>
      <w:tr>
        <w:trPr>
          <w:trHeight w:val="234"/>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per annum PIK interest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and after September 4, 2023</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the Total Leverage Ratio is greater than or</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PIK option not available</w:t>
            </w: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equal to 3.00:1.00, 10.25% per annum</w:t>
            </w:r>
          </w:p>
        </w:tc>
        <w:tc>
          <w:tcPr>
            <w:tcW w:w="3200" w:type="dxa"/>
            <w:vAlign w:val="bottom"/>
          </w:tcPr>
          <w:p>
            <w:pPr>
              <w:spacing w:after="0"/>
              <w:rPr>
                <w:sz w:val="20"/>
                <w:szCs w:val="20"/>
                <w:color w:val="auto"/>
              </w:rPr>
            </w:pPr>
          </w:p>
        </w:tc>
      </w:tr>
      <w:tr>
        <w:trPr>
          <w:trHeight w:val="306"/>
        </w:trPr>
        <w:tc>
          <w:tcPr>
            <w:tcW w:w="3860" w:type="dxa"/>
            <w:vAlign w:val="bottom"/>
          </w:tcPr>
          <w:p>
            <w:pPr>
              <w:spacing w:after="0"/>
              <w:rPr>
                <w:sz w:val="24"/>
                <w:szCs w:val="24"/>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the Total Leverage Ratio is less than</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PIK option not available</w:t>
            </w: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3.00:1.00, 8.25% per annum</w:t>
            </w:r>
          </w:p>
        </w:tc>
        <w:tc>
          <w:tcPr>
            <w:tcW w:w="3200" w:type="dxa"/>
            <w:vAlign w:val="bottom"/>
          </w:tcPr>
          <w:p>
            <w:pPr>
              <w:spacing w:after="0"/>
              <w:rPr>
                <w:sz w:val="20"/>
                <w:szCs w:val="20"/>
                <w:color w:val="auto"/>
              </w:rPr>
            </w:pPr>
          </w:p>
        </w:tc>
      </w:tr>
    </w:tbl>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outstanding balance of Second Lien Term Loans increased by $7.8 million, $30.4 million and $29.3 million as a result of accumulated PIK interest incurred during 2023, 2022 and 2021, respectively. This increase in Second Lien Term Loans was reduced by $15.0 million in 2021 in connection with the preemptive rights offering of equity discussed below.</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concluded a preemptive rights offering of equity to certain eligible stockholders and Jones Act Warrant holders. As a result, certain related party lenders converted $15.0 million in the aggregate principal amount of the Second Lien Term Loans in lieu of cash payments to acquire a total of 750,000 shares of common stock and Jones Act Warrants at a purchase price of $20.00 per share or warrant. See Note 12 to these consolidated financial statements for further information regarding the preemptive rights offering.</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June 2023, the Company elected to stop accruing PIK interest and began paying the full amount of interest in cash on the Second Lien Term Loans. Effective September 4, 2023, the PIK option on the Second Lien Term Loans is no longer available and interest payments have converted to full cash-pay obligations with an annual interest rate of 8.25% or 10.25% depending on the prevailing Total Leverage Ratio. As of December 31, 2023, the Total Leverage Ratio remains below 3.0, resulting in the applicable lower annual interest rate of 8.25%. The carrying value of the Company’s Second Lien Term Loans approximates their fair value (a level 2 measurement).</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certain lenders of the Second Lien Term Loans were considered related parties due to their ownership of Jones Act Warrants and/or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Replacement First Lien Term Loans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September 4, 2020, the Company entered into that certain first lien term loan credit agreement (as amended and restated pursuant to that certain Amendment No. 1 to First Lien Credit Agreement and Amendment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No. 1 to the Effective Date Junior Lien Intercreditor Agreement, dated December 22, 2021, as further amended pursuant to that certain First Amendment to Restated First Lien Credit Agreement, dated June 6, 2022, as further amended pursuant to that certain Interest Rate Replacement Index Agreement and Second Amendment to First Lien Credit Agreement, dated July 27, 2023), or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or the Existing Initial Term Loans, was $18.7 million. In connection with the First Lien Credit Agreement, certain lenders agreed to make additional first lien term loans in an aggregate principal amount of $37.5 million and delayed draw term loans in an aggregate principal amount of $37.5 million, or together the Replacement First Lien Term Loans, the proceeds of which were applied to, among other things, repay in full the outstanding principal amount of the Existing Initial Term Loans. Pursuant to ASC 470-50, </w:t>
      </w:r>
      <w:r>
        <w:rPr>
          <w:rFonts w:ascii="Times New Roman" w:cs="Times New Roman" w:eastAsia="Times New Roman" w:hAnsi="Times New Roman"/>
          <w:sz w:val="18"/>
          <w:szCs w:val="18"/>
          <w:i w:val="1"/>
          <w:iCs w:val="1"/>
          <w:color w:val="auto"/>
        </w:rPr>
        <w:t>Debt – Modification and Extinguishments,</w:t>
      </w:r>
      <w:r>
        <w:rPr>
          <w:rFonts w:ascii="Times New Roman" w:cs="Times New Roman" w:eastAsia="Times New Roman" w:hAnsi="Times New Roman"/>
          <w:sz w:val="18"/>
          <w:szCs w:val="18"/>
          <w:color w:val="auto"/>
        </w:rPr>
        <w:t xml:space="preserve"> the repayment of the Existing Initial Terms Loans qualified as a debt extinguishment and was accounted for accordingly.</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31, 2023, the Company repaid the full $68.7 million then-outstanding principal balance of the Replacement First Lien Term Loans and terminated the obligations and commitments under the First Lien Credit Agreement. As a result, the Company incurred a $1.2 million loss on early extinguishment of debt; most of which related to the write-off of deferred issuance costs and original issue discount.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Postponed Debt Refinancing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2023, the Company postponed plans to refinance all of its then-existing debt. As a result, the Company recorded a non-recurring charge of $3.7 million for expenses incurred in connection with the terminated process as a refinancing did not occur within 90 days of the postponement date. Pursuant to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costs associated with a postponed or terminated offering of debt or equity securities must be expensed if the offering is not completed or expected to be completed within 90 days of the postponement.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Liability-Classified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Jones Act Warrants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September 4, 2020, the Company entered into the Jones Act Warrant Agreement, pursuant to which the Company issued 10.5 million Jones Act Warrants.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Creditor Warrants</w:t>
      </w:r>
    </w:p>
    <w:p>
      <w:pPr>
        <w:spacing w:after="0" w:line="121" w:lineRule="exact"/>
        <w:rPr>
          <w:sz w:val="20"/>
          <w:szCs w:val="20"/>
          <w:color w:val="auto"/>
        </w:rPr>
      </w:pPr>
    </w:p>
    <w:p>
      <w:pPr>
        <w:jc w:val="both"/>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On September 4, 2020, the Company entered into the Creditor Warrant Agreement, pursuant to which the Company issued 1.6 million Creditor Warrants. The Creditor Warrants are exercisable at $27.83 per share, which was based on an enterprise value of $621.2 million, for seven years from September 4, 2020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81"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shares of common stock, options or convertible securities for an amount per share below the then-current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shares of common stock above the then-current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 subdivision of the outstanding shares of common stock into a greater number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 combination of the outstanding shares of common stock into a smaller number of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 dividend or distribution in shares of common stock, cash or property to stockholders.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 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of December 31, 2023 and 2022.</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exercises of Creditor Warrants during the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the Creditor Warrants measured at fair value on a recurring basis as of December 31, 2023 and 2022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98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4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75,475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75,475</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75,475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75,475</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23"/>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 xml:space="preserve">$ — </w:t>
            </w:r>
          </w:p>
        </w:tc>
        <w:tc>
          <w:tcPr>
            <w:tcW w:w="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center"/>
              <w:ind w:right="60"/>
              <w:spacing w:after="0" w:line="223" w:lineRule="exact"/>
              <w:rPr>
                <w:sz w:val="20"/>
                <w:szCs w:val="20"/>
                <w:color w:val="auto"/>
              </w:rPr>
            </w:pPr>
            <w:r>
              <w:rPr>
                <w:rFonts w:ascii="Times New Roman" w:cs="Times New Roman" w:eastAsia="Times New Roman" w:hAnsi="Times New Roman"/>
                <w:sz w:val="20"/>
                <w:szCs w:val="20"/>
                <w:color w:val="auto"/>
              </w:rPr>
              <w:t xml:space="preserve">$ — </w:t>
            </w:r>
          </w:p>
        </w:tc>
        <w:tc>
          <w:tcPr>
            <w:tcW w:w="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64,558</w:t>
            </w:r>
          </w:p>
        </w:tc>
        <w:tc>
          <w:tcPr>
            <w:tcW w:w="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64,558</w:t>
            </w:r>
          </w:p>
        </w:tc>
        <w:tc>
          <w:tcPr>
            <w:tcW w:w="40" w:type="dxa"/>
            <w:vAlign w:val="bottom"/>
            <w:tcBorders>
              <w:top w:val="single" w:sz="8" w:color="CCEEFF"/>
            </w:tcBorders>
            <w:shd w:val="clear" w:color="auto" w:fill="CCEEFF"/>
          </w:tcPr>
          <w:p>
            <w:pPr>
              <w:spacing w:after="0"/>
              <w:rPr>
                <w:sz w:val="19"/>
                <w:szCs w:val="19"/>
                <w:color w:val="auto"/>
              </w:rPr>
            </w:pPr>
          </w:p>
        </w:tc>
      </w:tr>
      <w:tr>
        <w:trPr>
          <w:trHeight w:val="23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 xml:space="preserve">$ — </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 xml:space="preserve">$ — </w:t>
            </w:r>
          </w:p>
        </w:tc>
        <w:tc>
          <w:tcPr>
            <w:tcW w:w="460" w:type="dxa"/>
            <w:vAlign w:val="bottom"/>
          </w:tcPr>
          <w:p>
            <w:pPr>
              <w:spacing w:after="0"/>
              <w:rPr>
                <w:sz w:val="20"/>
                <w:szCs w:val="2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64,558</w:t>
            </w:r>
          </w:p>
        </w:tc>
        <w:tc>
          <w:tcPr>
            <w:tcW w:w="46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64,558</w:t>
            </w:r>
          </w:p>
        </w:tc>
        <w:tc>
          <w:tcPr>
            <w:tcW w:w="4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assisted by third-party valuation experts, estimated the fair value of the underlying common stock using the income approach and the market approach with each equally weighted. The income approach involved the use of various judgmental assumptions including the use of prospective financial information, the weighted-average cost of capital and an exit multiple. The fair value of the Creditor Warrants falls within Level 3 of the hierarchy as there is currently no active trading market and certain inputs of the Black-Scholes model are not observable or corroborated by available market data.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inputs to the Black-Scholes model utilized for the valuation of the Creditor Warrants at December 31, 2023 and 2022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the underlying common stock</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$55.53</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2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27.83</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 (years)</w:t>
            </w:r>
          </w:p>
        </w:tc>
        <w:tc>
          <w:tcPr>
            <w:tcW w:w="2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3.68</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840" w:firstLine="440"/>
        <w:spacing w:after="0" w:line="312"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$75.5 million, or $47.40 per warrant, as of December 31, 2023, representing an increase in value since their original issuance on September 4, 2020 of approximately $67.3 million, or $42.24 per warrant.</w:t>
      </w:r>
    </w:p>
    <w:p>
      <w:pPr>
        <w:spacing w:after="0" w:line="14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fair value of the liability-classified warrants for the years ended December 31, 2023, 2022 and 2021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$64,558</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$23,150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Revaluations included in earnings, net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Forfeitures/expirations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vMerge w:val="restart"/>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vMerge w:val="restart"/>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3"/>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75,475</w:t>
            </w:r>
          </w:p>
        </w:tc>
        <w:tc>
          <w:tcPr>
            <w:tcW w:w="42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64,558</w:t>
            </w:r>
          </w:p>
        </w:tc>
        <w:tc>
          <w:tcPr>
            <w:tcW w:w="2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23,150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50,000,000 shares of common stock, $0.00001 par value per share. As of December 31, 2023 and 2022, the Company had issued and outstanding common shares totaling 5.6 million and 5.4 million,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 Offering</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Second 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Purchase Plan</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Jones Act Warrants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prepetition liabilities and in connection with an equity rights offering. As part of a preemptive rights offering, the Company issued an additional 1.6 million Jones Act Warrants on December 22, 2021. As of December 31, 2023,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no exercises of Jones Act Warrants during the year ended December 31, 2023 and 734,340 of such exercises during the year ended December 31, 2022.</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$131.5 million as of December 31, 2023 and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2023, there were 2.1 million shares reserved for issuance related to granted awards and 0.1 million shares available for future grants to eligible individuals under the MIP.</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financial impact of stock-based compensation expense related to the MIP on its operating results is reflected in the table below (in thousands, except for per share data):</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19,097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5,330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15,637</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4,895</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time-based or market-based vesting provisions. As of December 31, 2023,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unamortized stock-based compensation expense of $13.2 million related to the time-based and market-based restricted stock units, which will be recognized on a straight-line basis over the remaining weighted-average vesting period, or 1.8 years. The Company has recorded approximately $18.7 million, $5.0 million and $3.0 million of non-cash incentive compensation expense for the years ended December 31, 2023, 2022 and 2021, respectively, associated with restricted stock unit awards. In 2023, $0.3 million of stock-based compensation expense related to restricted stock awards redeemable in cash was recorded to other accrued liabilities on the consolidated balance sheet.</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 awards activity during the year ended December 31, 2023 (in thousands, except per share data):</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28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Avg. Fair</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awards as of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22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 during the period</w:t>
            </w:r>
          </w:p>
        </w:tc>
        <w:tc>
          <w:tcPr>
            <w:tcW w:w="22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Vested and settled during the period</w:t>
            </w:r>
          </w:p>
        </w:tc>
        <w:tc>
          <w:tcPr>
            <w:tcW w:w="22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2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 awards activity during the year ended December 31, 2022 (in thousands, except per share data):</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24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Avg. Fair</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awards as of January 1, 2022</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724</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 (1)</w:t>
            </w:r>
          </w:p>
        </w:tc>
        <w:tc>
          <w:tcPr>
            <w:tcW w:w="2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 during the period</w:t>
            </w:r>
          </w:p>
        </w:tc>
        <w:tc>
          <w:tcPr>
            <w:tcW w:w="2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Vested and settled during the period</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22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80" w:hanging="424"/>
        <w:spacing w:after="0" w:line="282"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205 shares at a fair value of $42.97 per share and three tranches of 136 shares, in the aggregate, at a weighted- average fair value of $28.56 per share granted on June 9,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options that could be received by an award recipient can range from 0% to 100% of the award depending on the actual level of total enterprise value attained by the Company on the applicable measurement date. Vesting is generally subject to the grantee’s continued employment through the applicable vesting date.</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unamortized stock-based compensation expense of $1.3 million related to such stock options, which will be recognized on a straight-line basis over the remaining vesting period, or 3.5 years. The Company has recorded approximately $0.4 million of non-cash incentive compensation expense for each of the years ended December 31, 2023, 2022 and 2021, associated with stock options.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option activity for the year ended December 31, 2023 (in thousands, except per share data and years):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January 1, 2023</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598</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10.00</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7.7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14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2023</w:t>
            </w: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stock options outstanding at December 31, 2023</w:t>
            </w: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F-44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option activity for the year ended December 31, 2022 (in thousands, except per share data and years):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January 1, 2022</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598</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10.00</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8.7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2022</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27,227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stock options outstanding at December 31, 2022</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long-term deferred tax liabilities in the accompanying consolidated balance sheets include the following components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9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charges and other liabilities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8,081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7"/>
        </w:trPr>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(73,122)</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(93,865)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(87,959)</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Tax original issue discount and restructuring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(10,037)</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liability</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(23,063)</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(17,126)</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(34,882)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(26,426)</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(6,562)</w:t>
            </w:r>
          </w:p>
        </w:tc>
      </w:tr>
      <w:tr>
        <w:trPr>
          <w:trHeight w:val="223"/>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(270,681)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(247,409)</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264,596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246,395</w:t>
            </w:r>
          </w:p>
        </w:tc>
      </w:tr>
      <w:tr>
        <w:trPr>
          <w:trHeight w:val="223"/>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2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100" w:type="dxa"/>
            <w:vAlign w:val="bottom"/>
            <w:gridSpan w:val="2"/>
          </w:tcPr>
          <w:p>
            <w:pPr>
              <w:jc w:val="right"/>
              <w:ind w:right="1636"/>
              <w:spacing w:after="0"/>
              <w:rPr>
                <w:sz w:val="20"/>
                <w:szCs w:val="20"/>
                <w:color w:val="auto"/>
              </w:rPr>
            </w:pPr>
            <w:r>
              <w:rPr>
                <w:rFonts w:ascii="Times New Roman" w:cs="Times New Roman" w:eastAsia="Times New Roman" w:hAnsi="Times New Roman"/>
                <w:sz w:val="18"/>
                <w:szCs w:val="18"/>
                <w:color w:val="auto"/>
              </w:rPr>
              <w:t>F-45</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income tax expense (benefit) in the accompanying consolidated statements of operations were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tax expense (benefit):</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U.S.—federal and state</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15,122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7,119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1,519</w:t>
            </w:r>
          </w:p>
        </w:tc>
        <w:tc>
          <w:tcPr>
            <w:tcW w:w="8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15,155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7,119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1,519</w:t>
            </w:r>
          </w:p>
        </w:tc>
        <w:tc>
          <w:tcPr>
            <w:tcW w:w="8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U.S.—federal and state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tax expense (benefit)</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16,495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1,533</w:t>
            </w:r>
          </w:p>
        </w:tc>
        <w:tc>
          <w:tcPr>
            <w:tcW w:w="8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(loss) from operations before income taxes, based on jurisdiction earned,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$65,022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$73,563</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4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from operations before income taxes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87,936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2023,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6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Expiration Years</w:t>
            </w:r>
          </w:p>
        </w:tc>
      </w:tr>
      <w:tr>
        <w:trPr>
          <w:trHeight w:val="209"/>
        </w:trPr>
        <w:tc>
          <w:tcPr>
            <w:tcW w:w="52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United States—federal </w:t>
            </w:r>
            <w:r>
              <w:rPr>
                <w:rFonts w:ascii="Times New Roman" w:cs="Times New Roman" w:eastAsia="Times New Roman" w:hAnsi="Times New Roman"/>
                <w:sz w:val="24"/>
                <w:szCs w:val="24"/>
                <w:color w:val="auto"/>
                <w:vertAlign w:val="superscript"/>
              </w:rPr>
              <w:t>(1)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264,819</w:t>
            </w:r>
          </w:p>
        </w:tc>
        <w:tc>
          <w:tcPr>
            <w:tcW w:w="9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states</w:t>
            </w:r>
          </w:p>
        </w:tc>
        <w:tc>
          <w:tcPr>
            <w:tcW w:w="34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79,826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52,308</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2027-2033</w:t>
            </w: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13,767</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Trinidad</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39,646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total includes $5.9 million of NOLs that expire between 2031 and 2033.</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NOLs in Brazil can only be used to offset up to 30% of taxable income each year.</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foreign tax credit carryforwards of approximately $30.0 million, which if not utilized will expire in 2024 through 2033.</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$66.5 million of U.S. federal NOLs. These federal NOLs, as well as other tax attributes such as U.S. state NOLs or foreign tax credit carryforwards, could expire if unused due to the applicable annual limitations.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recording a valuation allowance with respect to such NOLs and foreign tax credits, the Company assessed the favorable and unfavorable evidence to estimate whether sufficient future taxable income will be generated to</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940"/>
          </w:cols>
          <w:pgMar w:left="320" w:top="455" w:right="6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2023, the Company is no longer in a cumulative pre-tax loss position. However, the Company has concluded that it is proper to provide valuation allowances against most of its deferred tax assets, as significant unfavorable evidence currently outweighs positive evidence. Positive evidence of an improving market and increasing dayrates currently does not outweigh unfavorable evidence such as the Section 382 and 383 limitations on tax attributes, possible tax legislation allowing for accelerated tax deductions and potential incremental tax losses, entering new markets with increased operational risks, and the inherent volatility and unpredictability of taxable income forecasts associated with the oil and gas industry. As of December 31, 2023 and 2022, the Company had valuation allowances of $264.6 million and $246.4 million, respectively.</w:t>
      </w:r>
    </w:p>
    <w:p>
      <w:pPr>
        <w:spacing w:after="0" w:line="188"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tax audits by federal, state or local taxing authorities for years prior to 2019. The Company has ongoing examinations by various foreign tax authorities, but does not believe that the results of these examinations will have a material adverse effect on the Company’s financial position or results of operations.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difference between the Company’s income tax provision calculated at the federal statutory rate of 21% and the actual income tax provision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4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43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U.S. state taxes, net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(23,357)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deferred taxes</w:t>
            </w:r>
          </w:p>
        </w:tc>
        <w:tc>
          <w:tcPr>
            <w:tcW w:w="1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(1,731)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Return to accrual</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(4,368)</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and other</w:t>
            </w:r>
          </w:p>
        </w:tc>
        <w:tc>
          <w:tcPr>
            <w:tcW w:w="19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U.S. federal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76"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8"/>
          <w:szCs w:val="18"/>
          <w:color w:val="auto"/>
        </w:rPr>
        <w:t>A reconciliation of the beginning and ending amount of all unrecognized tax benefits and the liability for uncertain tax positions, excluding related penalties and interest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are as follows (in thousands):</w:t>
      </w:r>
    </w:p>
    <w:p>
      <w:pPr>
        <w:spacing w:after="0" w:line="6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$1,027</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net based on tax positions related to a prior year</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net based on tax positions related to a prior year</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40" w:hanging="424"/>
        <w:spacing w:after="0" w:line="282"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interest of $0.5 million and $1.2 million were recorded in the consolidated statements of operations for uncertain tax positions for the years ended December 31, 2023 and 2021, respectively. There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were no such amounts recorded in 2022. As of December 31, 2023 and 2022, the cumulative amount of penalties and interest related to uncertain tax positions reflected in the consolidated balance sheets totaled $1.7 million and $1.2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196"/>
        </w:trPr>
        <w:tc>
          <w:tcPr>
            <w:tcW w:w="44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Finance lease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3,591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3,118</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10,527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4,740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4,103</w:t>
            </w:r>
          </w:p>
        </w:tc>
        <w:tc>
          <w:tcPr>
            <w:tcW w:w="80" w:type="dxa"/>
            <w:vAlign w:val="bottom"/>
          </w:tcPr>
          <w:p>
            <w:pPr>
              <w:spacing w:after="0"/>
              <w:rPr>
                <w:sz w:val="19"/>
                <w:szCs w:val="19"/>
                <w:color w:val="auto"/>
              </w:rPr>
            </w:pPr>
          </w:p>
        </w:tc>
      </w:tr>
      <w:tr>
        <w:trPr>
          <w:trHeight w:val="20"/>
        </w:trPr>
        <w:tc>
          <w:tcPr>
            <w:tcW w:w="72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780" w:type="dxa"/>
            <w:vAlign w:val="bottom"/>
            <w:gridSpan w:val="5"/>
          </w:tcPr>
          <w:p>
            <w:pPr>
              <w:jc w:val="right"/>
              <w:ind w:right="424"/>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 was as follows (in thousands):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4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2,679</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are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3,365</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3,298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36,327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Construction</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 final settlement agreement with Zurich American Insurance Company and Fidelity &amp; Deposit Company of Maryland, together the Surety, and Gulf Island. Pursuant to the settlement agreement, the Surety agreed to take over and complete the construction of the two U.S.-flagged,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20"/>
          </w:cols>
          <w:pgMar w:left="320" w:top="455" w:right="5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Jones Act-qualified, HOS 400 class MPSVs at a shipyard acceptable to the Company. Gulf Island released all claims asserted against the Company and the Company released its claims against Gulf Island and the Surety.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In addition, the Company is currently exploring discretionary post-delivery enhancements to add, among other things, secondary cranes to both vessels. On December 20, 2023, Eastern Shipbuilding Group, Inc. was contracted by the Surety to complete the construction of the two MPSVs. Pursuant to the settlement, the Surety is required to deliver both MPSVs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$0.5 million and $0.8 million for potential insurance deductibles or losses associated with such claims as of December 31, 2023 and 2022, respectively.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December 31, 2023, the Company accrued a liability totaling</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$2.9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 Importation Tax Assessment</w:t>
      </w:r>
    </w:p>
    <w:p>
      <w:pPr>
        <w:spacing w:after="0" w:line="119"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with respect to the vessel’s services contract in Brazil from February 2019 to January 2020. At the time of the </w:t>
      </w:r>
      <w:r>
        <w:rPr>
          <w:rFonts w:ascii="Times New Roman" w:cs="Times New Roman" w:eastAsia="Times New Roman" w:hAnsi="Times New Roman"/>
          <w:sz w:val="18"/>
          <w:szCs w:val="18"/>
          <w:i w:val="1"/>
          <w:iCs w:val="1"/>
          <w:color w:val="auto"/>
        </w:rPr>
        <w:t>HOS Achiever’s</w:t>
      </w:r>
      <w:r>
        <w:rPr>
          <w:rFonts w:ascii="Times New Roman" w:cs="Times New Roman" w:eastAsia="Times New Roman" w:hAnsi="Times New Roman"/>
          <w:sz w:val="18"/>
          <w:szCs w:val="18"/>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not qualify for the applicable exemption. The Company believes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in fact, meet the criteria set forth under the applicable law and intends to defend its position in Brazilian court. While the final outcome of this assessment is uncertain and could possibly result 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the payment and loss of an estimated $6.0 million to $10.0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Major Customers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2023, 2022, and 2021, revenues from the following customers represented 10% or more of consolidated revenues:</w:t>
      </w:r>
    </w:p>
    <w:p>
      <w:pPr>
        <w:spacing w:after="0" w:line="182"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vMerge w:val="continue"/>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n/a</w:t>
            </w:r>
            <w:r>
              <w:rPr>
                <w:rFonts w:ascii="Times New Roman" w:cs="Times New Roman" w:eastAsia="Times New Roman" w:hAnsi="Times New Roman"/>
                <w:sz w:val="26"/>
                <w:szCs w:val="26"/>
                <w:color w:val="auto"/>
                <w:w w:val="99"/>
                <w:vertAlign w:val="superscript"/>
              </w:rPr>
              <w:t>(1)</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represented less than 10% of consolidated revenues in such year.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Employment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Trade Name and Trademark License Agreement entered into by and between the Company and HFR, LLC, the Company made payments of $2.0 million and $1.0 million in 2023 and 2022,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2023 and 2022, the Company had accrued amounts payable to HFR, LLC totaling $1.3 million and $1.3 million, respectively.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a member of the Company’s Board of Directors, assumed an officer role with an existing Hornbeck customer. For the years ended December 31, 2023 and 2022, the Company generated $111.9 million and $74.0 million of revenues, respectively, from contracts with such customer, which accounted for approximately 20% and 16% of the Company’s total revenues, respectively. The Company had outstanding trade accounts receivable from this customer totaling $8.0 million and $12.3 million as of December 31, 2023 and 2022,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14, 2024, which represents the date its financial statements were available to be issued and determined that all materially relevant information known through this date was appropriately addressed within the financial statements and notes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255905</wp:posOffset>
            </wp:positionV>
            <wp:extent cx="899795" cy="8997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9979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35"/>
          <w:szCs w:val="35"/>
          <w:b w:val="1"/>
          <w:bCs w:val="1"/>
          <w:color w:val="auto"/>
        </w:rPr>
        <w:t>Hornbeck Offshore Services, Inc.</w:t>
      </w:r>
    </w:p>
    <w:p>
      <w:pPr>
        <w:spacing w:after="0" w:line="3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332740</wp:posOffset>
            </wp:positionV>
            <wp:extent cx="1474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Prospectus</w:t>
      </w:r>
    </w:p>
    <w:p>
      <w:pPr>
        <w:spacing w:after="0" w:line="236" w:lineRule="exact"/>
        <w:rPr>
          <w:sz w:val="20"/>
          <w:szCs w:val="20"/>
          <w:color w:val="auto"/>
        </w:rPr>
      </w:pPr>
    </w:p>
    <w:p>
      <w:pPr>
        <w:ind w:left="5120"/>
        <w:spacing w:after="0"/>
        <w:tabs>
          <w:tab w:leader="none" w:pos="5280" w:val="left"/>
          <w:tab w:leader="none" w:pos="5460" w:val="left"/>
          <w:tab w:leader="none" w:pos="5640" w:val="left"/>
        </w:tabs>
        <w:rPr>
          <w:sz w:val="20"/>
          <w:szCs w:val="20"/>
          <w:color w:val="auto"/>
        </w:rPr>
      </w:pPr>
      <w:r>
        <w:rPr>
          <w:rFonts w:ascii="Times New Roman" w:cs="Times New Roman" w:eastAsia="Times New Roman" w:hAnsi="Times New Roman"/>
          <w:sz w:val="18"/>
          <w:szCs w:val="18"/>
          <w:color w:val="auto"/>
        </w:rPr>
        <w:t> </w:t>
        <w:tab/>
        <w:t> </w:t>
        <w:tab/>
        <w:t> </w:t>
        <w:tab/>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317500</wp:posOffset>
            </wp:positionV>
            <wp:extent cx="1474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DNB Markets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Piper Sandler</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Guggenheim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Raymond James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BTIG</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Johnson Rice &amp; Company</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Pickering Energy Partners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Seaport Global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Academy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Drexel Hamilton</w:t>
      </w:r>
    </w:p>
    <w:p>
      <w:pPr>
        <w:sectPr>
          <w:pgSz w:w="11900" w:h="16838" w:orient="portrait"/>
          <w:cols w:equalWidth="0" w:num="1">
            <w:col w:w="10139"/>
          </w:cols>
          <w:pgMar w:left="320" w:top="455"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Registrar and transfer agent fees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20" w:type="dxa"/>
            <w:vAlign w:val="bottom"/>
          </w:tcPr>
          <w:p>
            <w:pPr>
              <w:spacing w:after="0"/>
              <w:rPr>
                <w:sz w:val="19"/>
                <w:szCs w:val="19"/>
                <w:color w:val="auto"/>
              </w:rPr>
            </w:pPr>
          </w:p>
        </w:tc>
        <w:tc>
          <w:tcPr>
            <w:tcW w:w="6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88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completed by amendment.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9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shall be liable to us or our stockholders for monetary damages for breach of fiduciary duty as a director, except to the extent such exemption from liability or limitation on liability is not permitted under the DGCL, as now in effect or as amended. Currently, Section 102(b)(7) of the DGCL requires that liability be imposed for the following:</w:t>
      </w:r>
    </w:p>
    <w:p>
      <w:pPr>
        <w:spacing w:after="0" w:line="81" w:lineRule="exact"/>
        <w:rPr>
          <w:sz w:val="20"/>
          <w:szCs w:val="20"/>
          <w:color w:val="auto"/>
        </w:rPr>
      </w:pPr>
    </w:p>
    <w:p>
      <w:pPr>
        <w:ind w:left="980" w:hanging="432"/>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which involved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to the fullest extent authorized or permitted by the DGCL, as now in effect or as amended, we will indemnify any person who was or is a party or is threatened to be made a party to any threatened, pending or completed action, suit or proceeding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by reason of the fact that such person, or a person of whom he or she is the legal representative, is or was our director or officer, or by reason of the fact that our director or officer is or was serving, at our request, as a director, officer, employee or agent of another corporation or of a partnership, joint venture, trust or other enterprise, including service with respect to employee benefit plans. We will indemnify such persons against expenses, liabilities, and loss (including attorneys’ fees), judgments, fines, excise taxes or penalties under the Employee Retirement Income Security Act of 1974, penalties and amounts paid in settlement actually and reasonably incurred in connection with such action.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Service-Related Issuances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issued 255,925 shares of common stock pursuant to the 2020 Management Incentive Plan. Additionally, since the Chapter 11 Cases, and prior to March 23, 2023, the Company has granted 597,804 stock options and 1,065,254 restricted stock units pursuant to the 2020 Management Incentive Plan.</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 on March 23, 2023, the Board of Directors granted certain employees and directors additional restricted stock unit awards pursuant to the 2020 Management Incentive Plan, of which 196,704 shares of common stock vested immediately and an additional 196,703 shares will vest pursuant to the terms of the respective award agreements. These shares will net-settle within 60 days of the date of vesting.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issuances were exempt from registration under Section 4(a)(2) of the Securities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Securities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issued 283,732 shares of common stock and 1,567,013 Jones Act Warrants in a preemptive rights offering relating to the conversion of $15 million of outstanding indebtedness on December 22, 2021. Concurrent with the closing of the preemptive rights offering on December 22, 2021, the Company issued 100,745 shares of common stock under a Stock Purchase Plan that was established on November 29, 2021 for gross cash proceeds of $2.0 million.</w:t>
      </w:r>
    </w:p>
    <w:p>
      <w:pPr>
        <w:spacing w:after="0" w:line="180" w:lineRule="exact"/>
        <w:rPr>
          <w:sz w:val="20"/>
          <w:szCs w:val="20"/>
          <w:color w:val="auto"/>
        </w:rPr>
      </w:pPr>
    </w:p>
    <w:p>
      <w:pPr>
        <w:jc w:val="center"/>
        <w:ind w:left="440" w:right="440"/>
        <w:spacing w:after="0" w:line="454" w:lineRule="auto"/>
        <w:rPr>
          <w:sz w:val="20"/>
          <w:szCs w:val="20"/>
          <w:color w:val="auto"/>
        </w:rPr>
      </w:pPr>
      <w:r>
        <w:rPr>
          <w:rFonts w:ascii="Times New Roman" w:cs="Times New Roman" w:eastAsia="Times New Roman" w:hAnsi="Times New Roman"/>
          <w:sz w:val="18"/>
          <w:szCs w:val="18"/>
          <w:color w:val="auto"/>
        </w:rPr>
        <w:t>The foregoing issuances were exempt from registration under Section 1145 of the Bankruptcy Code or Section 4(a)(2) of the Securities Act. II-2</w:t>
      </w:r>
    </w:p>
    <w:p>
      <w:pPr>
        <w:sectPr>
          <w:pgSz w:w="11900" w:h="16838" w:orient="portrait"/>
          <w:cols w:equalWidth="0" w:num="1">
            <w:col w:w="11060"/>
          </w:cols>
          <w:pgMar w:left="320" w:top="455" w:right="5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960" w:type="dxa"/>
            <w:vAlign w:val="bottom"/>
            <w:gridSpan w:val="1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62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54">
              <w:r>
                <w:rPr>
                  <w:rFonts w:ascii="Times New Roman" w:cs="Times New Roman" w:eastAsia="Times New Roman" w:hAnsi="Times New Roman"/>
                  <w:sz w:val="18"/>
                  <w:szCs w:val="18"/>
                  <w:color w:val="0000EE"/>
                </w:rPr>
                <w:t>Plan of Reorganization Under Chapter 11 of the U.S. Bankruptcy Code.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2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55">
              <w:r>
                <w:rPr>
                  <w:rFonts w:ascii="Times New Roman" w:cs="Times New Roman" w:eastAsia="Times New Roman" w:hAnsi="Times New Roman"/>
                  <w:sz w:val="18"/>
                  <w:szCs w:val="18"/>
                  <w:color w:val="0000EE"/>
                  <w:w w:val="99"/>
                </w:rPr>
                <w:t>Third Amended and Restated Certificate of Incorporation of Hornbeck Offshore Services, Inc.</w:t>
              </w:r>
            </w:hyperlink>
          </w:p>
        </w:tc>
        <w:tc>
          <w:tcPr>
            <w:tcW w:w="2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color w:val="0000EE"/>
                </w:rPr>
                <w:t>Fifth Amended and Restated Bylaws of Hornbeck Offshore Services, Inc.</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consummation of this offering.</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Sixth Amended and Restated Bylaws of Hornbeck Offshore Services, Inc., to be effective upon consummation of this</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offering.</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2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Jones Act Warrant Agreement, dated as of September 4, 2020, between Hornbeck Offshore Services, Inc. and Computershare, Inc.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and Computershare Trust Company, N.A.</w:t>
              </w:r>
            </w:hyperlink>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20" w:type="dxa"/>
            <w:vAlign w:val="bottom"/>
          </w:tcPr>
          <w:p>
            <w:pPr>
              <w:spacing w:after="0"/>
              <w:rPr>
                <w:sz w:val="24"/>
                <w:szCs w:val="24"/>
                <w:color w:val="auto"/>
              </w:rPr>
            </w:pPr>
          </w:p>
        </w:tc>
        <w:tc>
          <w:tcPr>
            <w:tcW w:w="9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58">
              <w:r>
                <w:rPr>
                  <w:rFonts w:ascii="Times New Roman" w:cs="Times New Roman" w:eastAsia="Times New Roman" w:hAnsi="Times New Roman"/>
                  <w:sz w:val="18"/>
                  <w:szCs w:val="18"/>
                  <w:color w:val="0000EE"/>
                  <w:w w:val="99"/>
                </w:rPr>
                <w:t>Amendment No. 1 to Jones Act Warrant Agreement, dated as of December 31, 2020, by and among Hornbeck Offshore Services,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23"/>
          </w:tcPr>
          <w:p>
            <w:pPr>
              <w:spacing w:after="0" w:line="196" w:lineRule="exact"/>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Computershare Inc., Computershare Trust Company, N.A. and certain holders signatory thereto.</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Jones Act Anti-Dilution Warrant Agreement, dated as of September 4, 2020, between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Computershare, Inc. and Computershare Trust Company, N.A.</w:t>
              </w:r>
            </w:hyperlink>
          </w:p>
        </w:tc>
        <w:tc>
          <w:tcPr>
            <w:tcW w:w="7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20" w:type="dxa"/>
            <w:vAlign w:val="bottom"/>
          </w:tcPr>
          <w:p>
            <w:pPr>
              <w:spacing w:after="0"/>
              <w:rPr>
                <w:sz w:val="24"/>
                <w:szCs w:val="24"/>
                <w:color w:val="auto"/>
              </w:rPr>
            </w:pPr>
          </w:p>
        </w:tc>
        <w:tc>
          <w:tcPr>
            <w:tcW w:w="3760" w:type="dxa"/>
            <w:vAlign w:val="bottom"/>
            <w:gridSpan w:val="8"/>
          </w:tcPr>
          <w:p>
            <w:pPr>
              <w:spacing w:after="0"/>
              <w:rPr>
                <w:rFonts w:ascii="Times New Roman" w:cs="Times New Roman" w:eastAsia="Times New Roman" w:hAnsi="Times New Roman"/>
                <w:sz w:val="18"/>
                <w:szCs w:val="18"/>
                <w:color w:val="0000EE"/>
                <w:w w:val="99"/>
              </w:rPr>
            </w:pPr>
            <w:hyperlink r:id="rId360">
              <w:r>
                <w:rPr>
                  <w:rFonts w:ascii="Times New Roman" w:cs="Times New Roman" w:eastAsia="Times New Roman" w:hAnsi="Times New Roman"/>
                  <w:sz w:val="18"/>
                  <w:szCs w:val="18"/>
                  <w:color w:val="0000EE"/>
                  <w:w w:val="99"/>
                </w:rPr>
                <w:t>Creditor Warrant Agreement, dated as of September</w:t>
              </w:r>
            </w:hyperlink>
          </w:p>
        </w:tc>
        <w:tc>
          <w:tcPr>
            <w:tcW w:w="5960" w:type="dxa"/>
            <w:vAlign w:val="bottom"/>
            <w:gridSpan w:val="15"/>
          </w:tcPr>
          <w:p>
            <w:pPr>
              <w:ind w:left="80"/>
              <w:spacing w:after="0"/>
              <w:rPr>
                <w:rFonts w:ascii="Times New Roman" w:cs="Times New Roman" w:eastAsia="Times New Roman" w:hAnsi="Times New Roman"/>
                <w:sz w:val="18"/>
                <w:szCs w:val="18"/>
                <w:color w:val="0000EE"/>
              </w:rPr>
            </w:pPr>
            <w:hyperlink r:id="rId360">
              <w:r>
                <w:rPr>
                  <w:rFonts w:ascii="Times New Roman" w:cs="Times New Roman" w:eastAsia="Times New Roman" w:hAnsi="Times New Roman"/>
                  <w:sz w:val="18"/>
                  <w:szCs w:val="18"/>
                  <w:color w:val="0000EE"/>
                </w:rPr>
                <w:t>4, 2020, between Hornbeck Offshore Services, Inc. and Computershare,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60">
              <w:r>
                <w:rPr>
                  <w:rFonts w:ascii="Times New Roman" w:cs="Times New Roman" w:eastAsia="Times New Roman" w:hAnsi="Times New Roman"/>
                  <w:sz w:val="18"/>
                  <w:szCs w:val="18"/>
                  <w:color w:val="0000EE"/>
                  <w:w w:val="98"/>
                </w:rPr>
                <w:t>Computershare Trust Company, N.A.</w:t>
              </w:r>
            </w:hyperlink>
          </w:p>
        </w:tc>
        <w:tc>
          <w:tcPr>
            <w:tcW w:w="1060" w:type="dxa"/>
            <w:vAlign w:val="bottom"/>
            <w:tcBorders>
              <w:top w:val="single" w:sz="8" w:color="0000EE"/>
            </w:tcBorders>
            <w:gridSpan w:val="2"/>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620" w:type="dxa"/>
            <w:vAlign w:val="bottom"/>
          </w:tcPr>
          <w:p>
            <w:pPr>
              <w:spacing w:after="0"/>
              <w:rPr>
                <w:sz w:val="24"/>
                <w:szCs w:val="24"/>
                <w:color w:val="auto"/>
              </w:rPr>
            </w:pPr>
          </w:p>
        </w:tc>
        <w:tc>
          <w:tcPr>
            <w:tcW w:w="3760" w:type="dxa"/>
            <w:vAlign w:val="bottom"/>
            <w:gridSpan w:val="8"/>
          </w:tcPr>
          <w:p>
            <w:pPr>
              <w:spacing w:after="0"/>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Securityholders Agreement, dated as of September</w:t>
              </w:r>
            </w:hyperlink>
          </w:p>
        </w:tc>
        <w:tc>
          <w:tcPr>
            <w:tcW w:w="5960" w:type="dxa"/>
            <w:vAlign w:val="bottom"/>
            <w:gridSpan w:val="15"/>
          </w:tcPr>
          <w:p>
            <w:pPr>
              <w:spacing w:after="0"/>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4, 2020, by and among Hornbeck Offshore Services, Inc. and the other parties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61">
              <w:r>
                <w:rPr>
                  <w:rFonts w:ascii="Times New Roman" w:cs="Times New Roman" w:eastAsia="Times New Roman" w:hAnsi="Times New Roman"/>
                  <w:sz w:val="18"/>
                  <w:szCs w:val="18"/>
                  <w:color w:val="0000EE"/>
                  <w:w w:val="99"/>
                </w:rPr>
                <w:t>thereto.</w:t>
              </w:r>
            </w:hyperlink>
          </w:p>
        </w:tc>
        <w:tc>
          <w:tcPr>
            <w:tcW w:w="3200" w:type="dxa"/>
            <w:vAlign w:val="bottom"/>
            <w:tcBorders>
              <w:top w:val="single" w:sz="8" w:color="0000EE"/>
            </w:tcBorders>
            <w:gridSpan w:val="7"/>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Amendment No. 1 to Securityholders Agreement, dated as of December 2, 2021, by and among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62">
              <w:r>
                <w:rPr>
                  <w:rFonts w:ascii="Times New Roman" w:cs="Times New Roman" w:eastAsia="Times New Roman" w:hAnsi="Times New Roman"/>
                  <w:sz w:val="18"/>
                  <w:szCs w:val="18"/>
                  <w:color w:val="0000EE"/>
                  <w:w w:val="99"/>
                </w:rPr>
                <w:t>the other parties thereto.</w:t>
              </w:r>
            </w:hyperlink>
          </w:p>
        </w:tc>
        <w:tc>
          <w:tcPr>
            <w:tcW w:w="2000" w:type="dxa"/>
            <w:vAlign w:val="bottom"/>
            <w:tcBorders>
              <w:top w:val="single" w:sz="8" w:color="0000EE"/>
            </w:tcBorders>
            <w:gridSpan w:val="3"/>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Amendment No. 2 to Securityholders Agreement, dated as of July 7, 2023, by and among Hornbeck Offshore Services, Inc. and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other parties thereto.</w:t>
              </w:r>
            </w:hyperlink>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60" w:type="dxa"/>
            <w:vAlign w:val="bottom"/>
            <w:tcBorders>
              <w:left w:val="single" w:sz="8" w:color="0000EE"/>
            </w:tcBorders>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Amended and Restated Securityholders Agreement.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1"/>
              </w:rPr>
              <w:t>    4.10**</w:t>
            </w:r>
          </w:p>
        </w:tc>
        <w:tc>
          <w:tcPr>
            <w:tcW w:w="620" w:type="dxa"/>
            <w:vAlign w:val="bottom"/>
          </w:tcPr>
          <w:p>
            <w:pPr>
              <w:spacing w:after="0"/>
              <w:rPr>
                <w:sz w:val="24"/>
                <w:szCs w:val="24"/>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Opinion of Kirkland &amp; Ellis LLP as to the legality of the common stock.</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620" w:type="dxa"/>
            <w:vAlign w:val="bottom"/>
          </w:tcPr>
          <w:p>
            <w:pPr>
              <w:spacing w:after="0"/>
              <w:rPr>
                <w:sz w:val="24"/>
                <w:szCs w:val="24"/>
                <w:color w:val="auto"/>
              </w:rPr>
            </w:pPr>
          </w:p>
        </w:tc>
        <w:tc>
          <w:tcPr>
            <w:tcW w:w="5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64">
              <w:r>
                <w:rPr>
                  <w:rFonts w:ascii="Times New Roman" w:cs="Times New Roman" w:eastAsia="Times New Roman" w:hAnsi="Times New Roman"/>
                  <w:sz w:val="18"/>
                  <w:szCs w:val="18"/>
                  <w:color w:val="0000EE"/>
                  <w:w w:val="99"/>
                </w:rPr>
                <w:t>2020 Management Incentive Plan of Hornbeck Offshore Services, Inc.</w:t>
              </w:r>
            </w:hyperlink>
          </w:p>
        </w:tc>
        <w:tc>
          <w:tcPr>
            <w:tcW w:w="4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620" w:type="dxa"/>
            <w:vAlign w:val="bottom"/>
          </w:tcPr>
          <w:p>
            <w:pPr>
              <w:spacing w:after="0"/>
              <w:rPr>
                <w:sz w:val="24"/>
                <w:szCs w:val="24"/>
                <w:color w:val="auto"/>
              </w:rPr>
            </w:pPr>
          </w:p>
        </w:tc>
        <w:tc>
          <w:tcPr>
            <w:tcW w:w="6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First Amendment to the 2020 Management Incentive Plan of Hornbeck Offshore Services, Inc.</w:t>
              </w:r>
            </w:hyperlink>
          </w:p>
        </w:tc>
        <w:tc>
          <w:tcPr>
            <w:tcW w:w="2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1"/>
              </w:rPr>
              <w:t>  10.4†**</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Hornbeck Offshore Services, Inc. 2024 Omnibus Incentive Plan.</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1"/>
              </w:rPr>
              <w:t>  10.5†**</w:t>
            </w:r>
          </w:p>
        </w:tc>
        <w:tc>
          <w:tcPr>
            <w:tcW w:w="6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Employment Agreement (Executive Officers).</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Todd M. Hornbeck.</w:t>
              </w:r>
            </w:hyperlink>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3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James O. Harp, Jr.</w:t>
              </w:r>
            </w:hyperlink>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620" w:type="dxa"/>
            <w:vAlign w:val="bottom"/>
          </w:tcPr>
          <w:p>
            <w:pPr>
              <w:spacing w:after="0"/>
              <w:rPr>
                <w:sz w:val="24"/>
                <w:szCs w:val="24"/>
                <w:color w:val="auto"/>
              </w:rPr>
            </w:pPr>
          </w:p>
        </w:tc>
        <w:tc>
          <w:tcPr>
            <w:tcW w:w="9720" w:type="dxa"/>
            <w:vAlign w:val="bottom"/>
            <w:gridSpan w:val="23"/>
          </w:tcPr>
          <w:p>
            <w:pPr>
              <w:spacing w:after="0"/>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68">
              <w:r>
                <w:rPr>
                  <w:rFonts w:ascii="Times New Roman" w:cs="Times New Roman" w:eastAsia="Times New Roman" w:hAnsi="Times New Roman"/>
                  <w:sz w:val="18"/>
                  <w:szCs w:val="18"/>
                  <w:color w:val="0000EE"/>
                  <w:w w:val="98"/>
                </w:rPr>
                <w:t>John S. Cook.</w:t>
              </w:r>
            </w:hyperlink>
          </w:p>
        </w:tc>
        <w:tc>
          <w:tcPr>
            <w:tcW w:w="2740" w:type="dxa"/>
            <w:vAlign w:val="bottom"/>
            <w:tcBorders>
              <w:top w:val="single" w:sz="8" w:color="0000EE"/>
            </w:tcBorders>
            <w:gridSpan w:val="6"/>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spacing w:after="0"/>
              <w:rPr>
                <w:sz w:val="13"/>
                <w:szCs w:val="13"/>
                <w:color w:val="auto"/>
              </w:rPr>
            </w:pPr>
          </w:p>
        </w:tc>
        <w:tc>
          <w:tcPr>
            <w:tcW w:w="8380" w:type="dxa"/>
            <w:vAlign w:val="bottom"/>
            <w:gridSpan w:val="2"/>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10.9†*</w:t>
            </w:r>
          </w:p>
        </w:tc>
        <w:tc>
          <w:tcPr>
            <w:tcW w:w="94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70">
              <w:r>
                <w:rPr>
                  <w:rFonts w:ascii="Times New Roman" w:cs="Times New Roman" w:eastAsia="Times New Roman" w:hAnsi="Times New Roman"/>
                  <w:sz w:val="18"/>
                  <w:szCs w:val="18"/>
                  <w:color w:val="0000EE"/>
                  <w:w w:val="99"/>
                </w:rPr>
                <w:t>Amended and Restated Employment Agreement dated September 4, 2020, by and between Hornbeck Offshore Operators, LLC and</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370">
              <w:r>
                <w:rPr>
                  <w:rFonts w:ascii="Times New Roman" w:cs="Times New Roman" w:eastAsia="Times New Roman" w:hAnsi="Times New Roman"/>
                  <w:sz w:val="18"/>
                  <w:szCs w:val="18"/>
                  <w:color w:val="0000EE"/>
                  <w:w w:val="97"/>
                </w:rPr>
                <w:t>Samuel A. Giberga.</w:t>
              </w:r>
            </w:hyperlink>
          </w:p>
        </w:tc>
        <w:tc>
          <w:tcPr>
            <w:tcW w:w="8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340" w:right="340" w:hanging="1224"/>
        <w:spacing w:after="0" w:line="282" w:lineRule="auto"/>
        <w:tabs>
          <w:tab w:leader="none" w:pos="215" w:val="left"/>
        </w:tabs>
        <w:numPr>
          <w:ilvl w:val="0"/>
          <w:numId w:val="12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371">
        <w:r>
          <w:rPr>
            <w:rFonts w:ascii="Times New Roman" w:cs="Times New Roman" w:eastAsia="Times New Roman" w:hAnsi="Times New Roman"/>
            <w:sz w:val="18"/>
            <w:szCs w:val="18"/>
            <w:u w:val="single" w:color="auto"/>
            <w:color w:val="0000EE"/>
          </w:rPr>
          <w:t>Amended and Restated Employment Agreement dated September 4, 2020, by and between Hornbeck Offshore Operators, LLC and</w:t>
        </w:r>
      </w:hyperlink>
      <w:r>
        <w:rPr>
          <w:rFonts w:ascii="Times New Roman" w:cs="Times New Roman" w:eastAsia="Times New Roman" w:hAnsi="Times New Roman"/>
          <w:sz w:val="18"/>
          <w:szCs w:val="18"/>
          <w:u w:val="single" w:color="auto"/>
          <w:color w:val="0000EE"/>
        </w:rPr>
        <w:t xml:space="preserve"> </w:t>
      </w:r>
      <w:hyperlink r:id="rId371">
        <w:r>
          <w:rPr>
            <w:rFonts w:ascii="Times New Roman" w:cs="Times New Roman" w:eastAsia="Times New Roman" w:hAnsi="Times New Roman"/>
            <w:sz w:val="18"/>
            <w:szCs w:val="18"/>
            <w:u w:val="single" w:color="auto"/>
            <w:color w:val="0000EE"/>
          </w:rPr>
          <w:t>Carl G. Annessa.</w:t>
        </w:r>
      </w:hyperlink>
    </w:p>
    <w:p>
      <w:pPr>
        <w:spacing w:after="0" w:line="53" w:lineRule="exact"/>
        <w:rPr>
          <w:rFonts w:ascii="Times New Roman" w:cs="Times New Roman" w:eastAsia="Times New Roman" w:hAnsi="Times New Roman"/>
          <w:sz w:val="18"/>
          <w:szCs w:val="18"/>
          <w:u w:val="single" w:color="auto"/>
          <w:color w:val="0000EE"/>
        </w:rPr>
      </w:pPr>
    </w:p>
    <w:p>
      <w:pPr>
        <w:ind w:left="1340" w:right="400" w:hanging="1224"/>
        <w:spacing w:after="0" w:line="266" w:lineRule="auto"/>
        <w:tabs>
          <w:tab w:leader="none" w:pos="215" w:val="left"/>
        </w:tabs>
        <w:numPr>
          <w:ilvl w:val="0"/>
          <w:numId w:val="12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72">
        <w:r>
          <w:rPr>
            <w:rFonts w:ascii="Times New Roman" w:cs="Times New Roman" w:eastAsia="Times New Roman" w:hAnsi="Times New Roman"/>
            <w:sz w:val="18"/>
            <w:szCs w:val="18"/>
            <w:u w:val="single" w:color="auto"/>
            <w:color w:val="0000EE"/>
          </w:rPr>
          <w:t>Second Lien Term Loan Credit Agreement, dated September 4, 2020, by and among Hornbeck Offshore Services, Inc., as parent</w:t>
        </w:r>
      </w:hyperlink>
      <w:r>
        <w:rPr>
          <w:rFonts w:ascii="Times New Roman" w:cs="Times New Roman" w:eastAsia="Times New Roman" w:hAnsi="Times New Roman"/>
          <w:sz w:val="18"/>
          <w:szCs w:val="18"/>
          <w:u w:val="single" w:color="auto"/>
          <w:color w:val="0000EE"/>
        </w:rPr>
        <w:t xml:space="preserve"> </w:t>
      </w:r>
      <w:hyperlink r:id="rId372">
        <w:r>
          <w:rPr>
            <w:rFonts w:ascii="Times New Roman" w:cs="Times New Roman" w:eastAsia="Times New Roman" w:hAnsi="Times New Roman"/>
            <w:sz w:val="18"/>
            <w:szCs w:val="18"/>
            <w:u w:val="single" w:color="auto"/>
            <w:color w:val="0000EE"/>
          </w:rPr>
          <w:t>borrower, Hornbeck Offshore Services, LLC, as co-borrower, Wilmington Trust, National Association, as administrative agent and</w:t>
        </w:r>
      </w:hyperlink>
      <w:r>
        <w:rPr>
          <w:rFonts w:ascii="Times New Roman" w:cs="Times New Roman" w:eastAsia="Times New Roman" w:hAnsi="Times New Roman"/>
          <w:sz w:val="18"/>
          <w:szCs w:val="18"/>
          <w:u w:val="single" w:color="auto"/>
          <w:color w:val="0000EE"/>
        </w:rPr>
        <w:t xml:space="preserve"> </w:t>
      </w:r>
      <w:hyperlink r:id="rId372">
        <w:r>
          <w:rPr>
            <w:rFonts w:ascii="Times New Roman" w:cs="Times New Roman" w:eastAsia="Times New Roman" w:hAnsi="Times New Roman"/>
            <w:sz w:val="18"/>
            <w:szCs w:val="18"/>
            <w:u w:val="single" w:color="auto"/>
            <w:color w:val="0000EE"/>
          </w:rPr>
          <w:t>collateral agent, and the lenders party thereto.</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97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Amendment No. 1 to Second Lien Credit Agreement and Amendment No. 1 to the Effective Date Junior Lien Intercreditor Agreement,</w:t>
              </w:r>
            </w:hyperlink>
          </w:p>
        </w:tc>
      </w:tr>
      <w:tr>
        <w:trPr>
          <w:trHeight w:val="196"/>
        </w:trPr>
        <w:tc>
          <w:tcPr>
            <w:tcW w:w="1220" w:type="dxa"/>
            <w:vAlign w:val="bottom"/>
          </w:tcPr>
          <w:p>
            <w:pPr>
              <w:spacing w:after="0"/>
              <w:rPr>
                <w:sz w:val="17"/>
                <w:szCs w:val="17"/>
                <w:color w:val="auto"/>
              </w:rPr>
            </w:pP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dated December 22, 2021, by and among Hornbeck Offshore Services, Inc., as parent borrower, Hornbeck Offshore Services, LLC, as</w:t>
              </w:r>
            </w:hyperlink>
          </w:p>
        </w:tc>
      </w:tr>
      <w:tr>
        <w:trPr>
          <w:trHeight w:val="196"/>
        </w:trPr>
        <w:tc>
          <w:tcPr>
            <w:tcW w:w="122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co-borrower, Wilmington Trust, National Association, as administrative agent and collateral agent, and the lenders party thereto.</w:t>
              </w:r>
            </w:hyperlink>
          </w:p>
        </w:tc>
        <w:tc>
          <w:tcPr>
            <w:tcW w:w="44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9760" w:type="dxa"/>
            <w:vAlign w:val="bottom"/>
            <w:gridSpan w:val="19"/>
          </w:tcPr>
          <w:p>
            <w:pPr>
              <w:spacing w:after="0"/>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Second Amendment to Second Lien Credit Agreement, dated June 6, 2022, by and among Hornbeck Offshore Services, Inc., as parent</w:t>
              </w:r>
            </w:hyperlink>
          </w:p>
        </w:tc>
      </w:tr>
      <w:tr>
        <w:trPr>
          <w:trHeight w:val="196"/>
        </w:trPr>
        <w:tc>
          <w:tcPr>
            <w:tcW w:w="1220" w:type="dxa"/>
            <w:vAlign w:val="bottom"/>
          </w:tcPr>
          <w:p>
            <w:pPr>
              <w:spacing w:after="0"/>
              <w:rPr>
                <w:sz w:val="17"/>
                <w:szCs w:val="17"/>
                <w:color w:val="auto"/>
              </w:rPr>
            </w:pPr>
          </w:p>
        </w:tc>
        <w:tc>
          <w:tcPr>
            <w:tcW w:w="96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borrower, Hornbeck Offshore Services, LLC, as co-borrower, Wilmington Trust, National Association, as administrative agent and</w:t>
              </w:r>
            </w:hyperlink>
          </w:p>
        </w:tc>
        <w:tc>
          <w:tcPr>
            <w:tcW w:w="10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4">
              <w:r>
                <w:rPr>
                  <w:rFonts w:ascii="Times New Roman" w:cs="Times New Roman" w:eastAsia="Times New Roman" w:hAnsi="Times New Roman"/>
                  <w:sz w:val="18"/>
                  <w:szCs w:val="18"/>
                  <w:color w:val="0000EE"/>
                  <w:w w:val="99"/>
                </w:rPr>
                <w:t>collateral agent, and the lenders party thereto.</w:t>
              </w:r>
            </w:hyperlink>
          </w:p>
        </w:tc>
        <w:tc>
          <w:tcPr>
            <w:tcW w:w="6120" w:type="dxa"/>
            <w:vAlign w:val="bottom"/>
            <w:tcBorders>
              <w:top w:val="single" w:sz="8" w:color="0000EE"/>
            </w:tcBorders>
            <w:gridSpan w:val="7"/>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97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Credit Agreement, dated as of August 13, 2024, by and among Hornbeck Offshore Services, Inc., DNB Bank ASA, New York Branch,</w:t>
            </w:r>
          </w:p>
        </w:tc>
        <w:tc>
          <w:tcPr>
            <w:tcW w:w="6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8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 administrative agent, Wilmington Trust, National Association, as collateral agent, and the lenders party thereto.</w:t>
            </w:r>
          </w:p>
        </w:tc>
        <w:tc>
          <w:tcPr>
            <w:tcW w:w="1560" w:type="dxa"/>
            <w:vAlign w:val="bottom"/>
            <w:gridSpan w:val="1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9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Third Amended and Restated Trade Name and Trademark License Agreement, dated September 4, 2020, by and among HFR, LLC and</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Hornbeck Offshore Operators, LLC.</w:t>
              </w:r>
            </w:hyperlink>
          </w:p>
        </w:tc>
        <w:tc>
          <w:tcPr>
            <w:tcW w:w="7140" w:type="dxa"/>
            <w:vAlign w:val="bottom"/>
            <w:gridSpan w:val="16"/>
          </w:tcPr>
          <w:p>
            <w:pPr>
              <w:spacing w:after="0"/>
              <w:rPr>
                <w:sz w:val="17"/>
                <w:szCs w:val="17"/>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Fourth Amended and Restated Trade Name and Trademark License Agreement.</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97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Settlement Term Sheet, effective as of October 3, 2023, by and among Hornbeck Offshore Services, LLC, Gulf Island Shipyards, LLC,</w:t>
              </w:r>
            </w:hyperlink>
          </w:p>
        </w:tc>
        <w:tc>
          <w:tcPr>
            <w:tcW w:w="40" w:type="dxa"/>
            <w:vAlign w:val="bottom"/>
            <w:gridSpan w:val="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19"/>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Gulf Island Fabrication, Inc., Fidelity &amp; Deposit Company of Maryland and Zurich American Insurance Company.</w:t>
              </w:r>
            </w:hyperlink>
          </w:p>
        </w:tc>
      </w:tr>
      <w:tr>
        <w:trPr>
          <w:trHeight w:val="20"/>
        </w:trPr>
        <w:tc>
          <w:tcPr>
            <w:tcW w:w="1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9760" w:type="dxa"/>
            <w:vAlign w:val="bottom"/>
            <w:gridSpan w:val="19"/>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Takeover Agreement, dated as of October 3, 2023, by and among Hornbeck Offshore Services, LLC, Fidelity &amp; Deposit Company of</w:t>
              </w:r>
            </w:hyperlink>
          </w:p>
        </w:tc>
      </w:tr>
      <w:tr>
        <w:trPr>
          <w:trHeight w:val="196"/>
        </w:trPr>
        <w:tc>
          <w:tcPr>
            <w:tcW w:w="12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77">
              <w:r>
                <w:rPr>
                  <w:rFonts w:ascii="Times New Roman" w:cs="Times New Roman" w:eastAsia="Times New Roman" w:hAnsi="Times New Roman"/>
                  <w:sz w:val="18"/>
                  <w:szCs w:val="18"/>
                  <w:color w:val="0000EE"/>
                  <w:w w:val="98"/>
                </w:rPr>
                <w:t>Maryland and Zurich American Insurance Company.</w:t>
              </w:r>
            </w:hyperlink>
          </w:p>
        </w:tc>
        <w:tc>
          <w:tcPr>
            <w:tcW w:w="5780" w:type="dxa"/>
            <w:vAlign w:val="bottom"/>
            <w:tcBorders>
              <w:top w:val="single" w:sz="8" w:color="0000EE"/>
            </w:tcBorders>
            <w:gridSpan w:val="7"/>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6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Letter from Ernst &amp; Young LLP regarding Unaudited Interim Financial Information.</w:t>
            </w:r>
          </w:p>
        </w:tc>
        <w:tc>
          <w:tcPr>
            <w:tcW w:w="3680" w:type="dxa"/>
            <w:vAlign w:val="bottom"/>
            <w:gridSpan w:val="12"/>
          </w:tcPr>
          <w:p>
            <w:pPr>
              <w:spacing w:after="0"/>
              <w:rPr>
                <w:sz w:val="24"/>
                <w:szCs w:val="24"/>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7460" w:type="dxa"/>
            <w:vAlign w:val="bottom"/>
            <w:gridSpan w:val="17"/>
          </w:tcPr>
          <w:p>
            <w:pPr>
              <w:spacing w:after="0"/>
              <w:rPr>
                <w:sz w:val="24"/>
                <w:szCs w:val="24"/>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97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 to this Registration Statement).</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Powers of Attorney (included in the signature page of the initial filing of this Registration Statement).</w:t>
              </w:r>
            </w:hyperlink>
          </w:p>
        </w:tc>
        <w:tc>
          <w:tcPr>
            <w:tcW w:w="2440" w:type="dxa"/>
            <w:vAlign w:val="bottom"/>
            <w:gridSpan w:val="11"/>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24.2</w:t>
            </w:r>
          </w:p>
        </w:tc>
        <w:tc>
          <w:tcPr>
            <w:tcW w:w="2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of James McConeghy.</w:t>
            </w:r>
          </w:p>
        </w:tc>
        <w:tc>
          <w:tcPr>
            <w:tcW w:w="6780" w:type="dxa"/>
            <w:vAlign w:val="bottom"/>
            <w:gridSpan w:val="15"/>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79">
              <w:r>
                <w:rPr>
                  <w:rFonts w:ascii="Times New Roman" w:cs="Times New Roman" w:eastAsia="Times New Roman" w:hAnsi="Times New Roman"/>
                  <w:sz w:val="18"/>
                  <w:szCs w:val="18"/>
                  <w:color w:val="0000EE"/>
                  <w:w w:val="97"/>
                </w:rPr>
                <w:t>Filing Fee Table.</w:t>
              </w:r>
            </w:hyperlink>
          </w:p>
        </w:tc>
        <w:tc>
          <w:tcPr>
            <w:tcW w:w="8540" w:type="dxa"/>
            <w:vAlign w:val="bottom"/>
            <w:gridSpan w:val="1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included by amendment.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Compensatory plan or arrangement.</w:t>
      </w:r>
    </w:p>
    <w:p>
      <w:pPr>
        <w:spacing w:after="0" w:line="9" w:lineRule="exact"/>
        <w:rPr>
          <w:sz w:val="20"/>
          <w:szCs w:val="20"/>
          <w:color w:val="auto"/>
        </w:rPr>
      </w:pPr>
    </w:p>
    <w:p>
      <w:pPr>
        <w:ind w:left="340" w:right="380" w:hanging="224"/>
        <w:spacing w:after="0" w:line="260"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or schedules to this Exhibit have been omitted in accordance with Regulation S-K Item 601(a)(5). The registrant agrees to furnish a copy of all omitted exhibits and schedules to the Securities and Exchange Commission upon its request.</w:t>
      </w:r>
    </w:p>
    <w:p>
      <w:pPr>
        <w:spacing w:after="0" w:line="181" w:lineRule="exact"/>
        <w:rPr>
          <w:sz w:val="20"/>
          <w:szCs w:val="20"/>
          <w:color w:val="auto"/>
        </w:rPr>
      </w:pPr>
    </w:p>
    <w:p>
      <w:pPr>
        <w:jc w:val="center"/>
        <w:ind w:left="820" w:right="60"/>
        <w:spacing w:after="0" w:line="454"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is shown in the financial statements or notes. II-4</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1080" w:hanging="532"/>
        <w:spacing w:after="0" w:line="261"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St. Tammany Parish, Louisiana, on August 16,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Todd M. Hornbeck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Todd M. Hornbeck</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 Chairman of the Board, President and Chief Executive</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indicated on August 16,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72"/>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Todd M. Hornbeck</w:t>
            </w: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M. Cellar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Behrens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Jindal</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Don Miller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Rosen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Todd M. Hornbeck</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03"/>
        </w:trPr>
        <w:tc>
          <w:tcPr>
            <w:tcW w:w="440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36"/>
        </w:trPr>
        <w:tc>
          <w:tcPr>
            <w:tcW w:w="440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140"/>
          </w:cols>
          <w:pgMar w:left="320" w:top="455" w:right="4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August 13, 2024</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DNB BANK ASA, NEW YORK BRANCH,</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DNB MARKETS, INC., JPMORGAN CHASE BANK, N.A AND BARCLAYS BANK PLC</w:t>
      </w:r>
    </w:p>
    <w:p>
      <w:pPr>
        <w:spacing w:after="0" w:line="2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as Lead Arrangers and Physical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17"/>
                <w:szCs w:val="17"/>
                <w:color w:val="auto"/>
              </w:rPr>
            </w:pPr>
          </w:p>
        </w:tc>
      </w:tr>
      <w:tr>
        <w:trPr>
          <w:trHeight w:val="46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19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    Other Interpretive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1.03    Accounting and Finance Terms; Accounting Periods; Unrestricted Subsidiaries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1.05    References to Agreements, Laws,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1.08    Pro Forma Calculations; Limited Condition Transactions; Basket and Ratio Compliance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1.09    Currency Equivalents Generally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COMMITMENTS AND BORROWINGS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    Issuance of Letters of Credit and Purchase of Participations Therein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Conversion/Continuation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Availability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2.08    Termination or Reduction of Commitments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2.09    Repayment of Loans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2.12    Computation of Interest and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2.13    Evidence of Indebtedness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Payments Generally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2.15    Sharing of Payments,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Incremental Borrowings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Refinancing Amendments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2.18    Extensions of Loans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TAXES, INCREASED COSTS PROTECTION AND ILLEGALITY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3.03    Inability to Determine Rates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3.04    Increased Cost and Reduced Return; Capital Adequacy; Reserves on S Rate Loans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Funding Losses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3.06    Matters Applicable to All Requests for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3.07    Replacement of Lenders Under Certain Circumstances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3.09    Successor Benchmark Rates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CONDITIONS PRECEDENT TO THE CLOSING DATE, BORROWINGS AND LETTERS OF CREDIT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    Conditions to the Closing Date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4.02    Conditions to the Initial Funding Date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4.03    Conditions to All Borrowings After the Closing Date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5.01    Existence, Qualification and Power; Compliance with Laws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5.02    Authorization; No Contravention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Ownership of Property; 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    Margin Regulations; Investment Company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5.15    Properties; Titles,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5.17    Compliance with Anti-Corruption Laws and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Documents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Certificates; Other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Payment of Certain 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Preservation of Existence of the Borrower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Maintenance of Properties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Maintenance of 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Covenant to Guarantee Obligations and Give Security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6.13    Designation of 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6.14    Compliance with Anti-Corruption Laws and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6.17    Change in Nature of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6.18    Transactions with Affiliates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6.19    Vessel Collateral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Negative Pledge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Junior Debt Prepayments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FINANCIAL COVENANT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EVENTS OF DEFAULT AND REMEDIES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    Remedies upon Event of Default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9.03    Application of Funds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ADMINISTRATIVE AGENT AND OTHER AGENTS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Authority of the Administrative Agent and Collateral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the Agents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Duties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Non-Reliance on Agents and Other Lenders; Disclosure of Information by Agents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Agents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 Other Agents, Lead Arrangers,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of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10.11   Collateral and Guaranty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Supplemental Administrative Agents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Management Agreements and Hedge Agreements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ERISA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Erroneous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Amendments, Waivers,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   Notices and Other Communications; Facsimile Copies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   No Waiver; Cumulative Remedies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11.04   Attorney Costs and Expenses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11.05   Indemnification by the Borrower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11.06   Marshaling; Payments Set Aside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11.07   Successors and Assigns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Set-off</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11.10   Interest Rate Limitation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11.12   Electronic Execution of Assignments and Certain Other Documents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11.16   WAIVER OF RIGHT TO TRIAL BY JURY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11.17   Limitation of Liability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11.18   Use of Name, Logo,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11.19   USA PATRIOT Act Notice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11.21   Collateral Agent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of Process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11.23   No Advisory or Fiduciary Responsibility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11.25   Obligations Several; Independent Nature of Lender’s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11.27   Acknowledgement and Consent to Bail-In of Affected Financial Institutions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11.28   Acknowledgment Regarding Any Supported QFCs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11.29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11.30   Disqualified Lenders and Net Short Positions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69" w:name="page270"/>
    <w:bookmarkEnd w:id="269"/>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1.01(a)</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5.11(a)</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5.11(b)</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 Title</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Insurance</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6.19(k)</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Vessel Collateral Insurance</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7.01(c)</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7.03(c)</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20"/>
                <w:szCs w:val="20"/>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r>
        <w:trPr>
          <w:trHeight w:val="39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540" w:type="dxa"/>
            <w:vAlign w:val="bottom"/>
          </w:tcPr>
          <w:p>
            <w:pPr>
              <w:spacing w:after="0"/>
              <w:rPr>
                <w:sz w:val="24"/>
                <w:szCs w:val="24"/>
                <w:color w:val="auto"/>
              </w:rPr>
            </w:pPr>
          </w:p>
        </w:tc>
      </w:tr>
      <w:tr>
        <w:trPr>
          <w:trHeight w:val="480"/>
        </w:trPr>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Form of</w:t>
            </w:r>
          </w:p>
        </w:tc>
      </w:tr>
      <w:tr>
        <w:trPr>
          <w:trHeight w:val="30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Committed Loan Notice</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Notice</w:t>
            </w: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A-3</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Conversion/Continuation Notice</w:t>
            </w:r>
          </w:p>
        </w:tc>
      </w:tr>
    </w:tbl>
    <w:p>
      <w:pPr>
        <w:ind w:left="1004" w:hanging="1004"/>
        <w:spacing w:after="0"/>
        <w:tabs>
          <w:tab w:leader="none" w:pos="10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 Note</w:t>
      </w:r>
    </w:p>
    <w:p>
      <w:pPr>
        <w:spacing w:after="0" w:line="9" w:lineRule="exact"/>
        <w:rPr>
          <w:sz w:val="20"/>
          <w:szCs w:val="20"/>
          <w:color w:val="auto"/>
        </w:rPr>
      </w:pPr>
    </w:p>
    <w:p>
      <w:pPr>
        <w:ind w:left="1004" w:hanging="1004"/>
        <w:spacing w:after="0"/>
        <w:tabs>
          <w:tab w:leader="none" w:pos="10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1004" w:hanging="1004"/>
        <w:spacing w:after="0"/>
        <w:tabs>
          <w:tab w:leader="none" w:pos="10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ind w:left="1004" w:hanging="1004"/>
        <w:spacing w:after="0"/>
        <w:tabs>
          <w:tab w:leader="none" w:pos="10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004" w:hanging="1004"/>
        <w:spacing w:after="0"/>
        <w:tabs>
          <w:tab w:leader="none" w:pos="10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Agreement</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G-1</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U.S. Tax Compliance Certificate (For Foreign Lenders That Are Not Partnerships or Pass-Through Entities For U.S. Federal Income Tax</w:t>
            </w:r>
          </w:p>
        </w:tc>
      </w:tr>
      <w:tr>
        <w:trPr>
          <w:trHeight w:val="216"/>
        </w:trPr>
        <w:tc>
          <w:tcPr>
            <w:tcW w:w="64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G-2</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Compliance Certificate (For Foreign Lenders That Are Partnerships or Pass-Through Entities For U.S. Federal Income Tax</w:t>
            </w:r>
          </w:p>
        </w:tc>
      </w:tr>
      <w:tr>
        <w:trPr>
          <w:trHeight w:val="216"/>
        </w:trPr>
        <w:tc>
          <w:tcPr>
            <w:tcW w:w="64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G-3</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Not Partnerships or Pass-Through Entities For U.S. Federal Income</w:t>
            </w:r>
          </w:p>
        </w:tc>
      </w:tr>
      <w:tr>
        <w:trPr>
          <w:trHeight w:val="216"/>
        </w:trPr>
        <w:tc>
          <w:tcPr>
            <w:tcW w:w="64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G-4</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Partnerships or Pass-Through Entities For U.S. Federal Income Tax</w:t>
            </w:r>
          </w:p>
        </w:tc>
      </w:tr>
      <w:tr>
        <w:trPr>
          <w:trHeight w:val="234"/>
        </w:trPr>
        <w:tc>
          <w:tcPr>
            <w:tcW w:w="640" w:type="dxa"/>
            <w:vAlign w:val="bottom"/>
          </w:tcPr>
          <w:p>
            <w:pPr>
              <w:spacing w:after="0"/>
              <w:rPr>
                <w:sz w:val="20"/>
                <w:szCs w:val="20"/>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Purposes)</w:t>
            </w:r>
          </w:p>
        </w:tc>
      </w:tr>
    </w:tbl>
    <w:p>
      <w:pPr>
        <w:ind w:left="1004" w:hanging="1004"/>
        <w:spacing w:after="0"/>
        <w:tabs>
          <w:tab w:leader="none" w:pos="100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004" w:hanging="1004"/>
        <w:spacing w:after="0"/>
        <w:tabs>
          <w:tab w:leader="none" w:pos="10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ind w:left="1004" w:hanging="1004"/>
        <w:spacing w:after="0"/>
        <w:tabs>
          <w:tab w:leader="none" w:pos="10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Notice</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Existing Junior Lien Intercreditor Agreement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Junior Lien Intercreditor Agreement</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K-3</w:t>
            </w: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Equal Priority Intercreditor Agreement</w:t>
            </w:r>
          </w:p>
        </w:tc>
      </w:tr>
    </w:tbl>
    <w:p>
      <w:pPr>
        <w:ind w:left="1004" w:hanging="1004"/>
        <w:spacing w:after="0"/>
        <w:tabs>
          <w:tab w:leader="none" w:pos="10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Trust Agreement</w:t>
      </w:r>
    </w:p>
    <w:p>
      <w:pPr>
        <w:spacing w:after="0" w:line="9" w:lineRule="exact"/>
        <w:rPr>
          <w:sz w:val="20"/>
          <w:szCs w:val="20"/>
          <w:color w:val="auto"/>
        </w:rPr>
      </w:pPr>
    </w:p>
    <w:p>
      <w:pPr>
        <w:ind w:left="1004" w:hanging="1004"/>
        <w:spacing w:after="0"/>
        <w:tabs>
          <w:tab w:leader="none" w:pos="100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Mortgage</w:t>
      </w:r>
    </w:p>
    <w:p>
      <w:pPr>
        <w:spacing w:after="0" w:line="139"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44"/>
          </w:cols>
          <w:pgMar w:left="436" w:top="270" w:right="619"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CREDIT AGREEMENT is entered into as of August 13, 2024, by and among HORNBECK OFFSHORE SERVICES,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DNB BANK ASA, NEW YORK BRANCH (“</w:t>
      </w:r>
      <w:r>
        <w:rPr>
          <w:rFonts w:ascii="Times New Roman" w:cs="Times New Roman" w:eastAsia="Times New Roman" w:hAnsi="Times New Roman"/>
          <w:sz w:val="18"/>
          <w:szCs w:val="18"/>
          <w:b w:val="1"/>
          <w:bCs w:val="1"/>
          <w:color w:val="auto"/>
        </w:rPr>
        <w:t>DNB</w:t>
      </w:r>
      <w:r>
        <w:rPr>
          <w:rFonts w:ascii="Times New Roman" w:cs="Times New Roman" w:eastAsia="Times New Roman" w:hAnsi="Times New Roman"/>
          <w:sz w:val="18"/>
          <w:szCs w:val="18"/>
          <w:color w:val="auto"/>
        </w:rPr>
        <w:t>”), as administrative agent (in such capacity, including any successor thereto,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WILMINGTON TRUST, NATIONAL ASSOCIATION as collateral agent (in such capacity, including any successor thereto,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each Issuing Bank from time to time party hereto, DNB MARKETS, INC., JPMORGAN CHASE BANK, N.A. and BARCLAYS BANK PLC, as Lead Arrangers and Bookrunners (collectively, the “</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Bookrunners</w:t>
      </w:r>
      <w:r>
        <w:rPr>
          <w:rFonts w:ascii="Times New Roman" w:cs="Times New Roman" w:eastAsia="Times New Roman" w:hAnsi="Times New Roman"/>
          <w:sz w:val="18"/>
          <w:szCs w:val="18"/>
          <w:color w:val="auto"/>
        </w:rPr>
        <w:t>”), and each lender from time to time party hereto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STATEMENTS</w:t>
      </w:r>
    </w:p>
    <w:p>
      <w:pPr>
        <w:spacing w:after="0" w:line="22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Borrower has requested that (a) substantially simultaneously with the satisfaction of the conditions precedent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below, the Lenders extend credit to the Borrower in the form of $75,000,000 of Commitments on the Closing Date as a secured credit facility and (b) from time to time, the Revolving Lenders make Revolving Loans and the Issuing Banks issue Letters of Credit, in each case, pursuant to the terms of this Agreement.</w:t>
      </w:r>
    </w:p>
    <w:p>
      <w:pPr>
        <w:spacing w:after="0" w:line="15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proceeds of the Revolving Loans will be used from time to time for general corporate purposes, including (a) working capital, (b) acquisitions (including Permitted Investments) that are not prohibited by the terms of this Agreement and (c) standby letters of credit.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applicable Lenders have indicated their willingness to lend, and each Issuing Bank has indicated its willingness to issue Letters of Credit, in each case on the terms and subject to the conditions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Accounting Terms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set forth below:</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has the meaning specified in the definition of “GAAP.”</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Indebtedness</w:t>
      </w:r>
      <w:r>
        <w:rPr>
          <w:rFonts w:ascii="Times New Roman" w:cs="Times New Roman" w:eastAsia="Times New Roman" w:hAnsi="Times New Roman"/>
          <w:sz w:val="18"/>
          <w:szCs w:val="18"/>
          <w:color w:val="auto"/>
        </w:rPr>
        <w:t xml:space="preserve">” means with respect to any Person (x) Indebtedness of any other Person or any of its Subsidiaries existing at the time such other Person becomes a Restricted Subsidiary or merges or amalgamates with or into or consolidates or otherwise combines with the Borrower or any Restricted Subsidiary and (y) Indebtedness secured by a Lien encumbering any asset acquired by such Person. Acquired Indebtedness shall be deemed to have been incurred, with respect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the preceding sentence, on the date such Person becomes a Restricted Subsidiary or on the date of the relevant merger, amalgamation, consolidation, acquisition or other combination.</w:t>
      </w:r>
    </w:p>
    <w:p>
      <w:pPr>
        <w:sectPr>
          <w:pgSz w:w="11900" w:h="16838" w:orient="portrait"/>
          <w:cols w:equalWidth="0" w:num="1">
            <w:col w:w="11000"/>
          </w:cols>
          <w:pgMar w:left="440" w:top="266" w:right="459" w:bottom="1440" w:gutter="0" w:footer="0" w:header="0"/>
        </w:sectPr>
      </w:pPr>
    </w:p>
    <w:bookmarkStart w:id="271" w:name="page272"/>
    <w:bookmarkEnd w:id="271"/>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investor that, in any case, is not an existing Lender and that agrees to provide any portion of any Incremental Loan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(other than any Person that is a Lender, an Affiliate of a Lender or an Approved Fund of a Lender at such time) shall be subject to the approval of the Administrative Agent and/or the Issuing Banks (such approval not to be unreasonably withheld, conditioned or delayed), in each case to the extent any such consent would be required from the Administrative Agent and/or the Issuing Banks under </w:t>
      </w:r>
      <w:r>
        <w:rPr>
          <w:rFonts w:ascii="Times New Roman" w:cs="Times New Roman" w:eastAsia="Times New Roman" w:hAnsi="Times New Roman"/>
          <w:sz w:val="18"/>
          <w:szCs w:val="18"/>
          <w:u w:val="single" w:color="auto"/>
          <w:color w:val="auto"/>
        </w:rPr>
        <w:t>Section 11.07(b)(iii)(B)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respectively, for an assignment of Loans to such Additional Lender.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means the applicable Term SOFR, plus the Term SOFR Adjustment.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 such other address or account as the Administrative Agent may from time to time notify the Borrower and the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is under common Control with the Person specified.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direction of the management or policies of a Person, whether through the ability to exercise voting power,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has the meaning correlative thereto. For the avoidance of doubt, none of the Lead Arranger, the Agents or their respective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shall be deemed to be an Affiliate of the Borrower or any of its Subsidiaries.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xml:space="preserve">” has the meaning specified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After-Acquired High Specification Vessels</w:t>
      </w:r>
      <w:r>
        <w:rPr>
          <w:rFonts w:ascii="Times New Roman" w:cs="Times New Roman" w:eastAsia="Times New Roman" w:hAnsi="Times New Roman"/>
          <w:sz w:val="18"/>
          <w:szCs w:val="18"/>
          <w:color w:val="auto"/>
        </w:rPr>
        <w:t>” has the meaning specified in the definition of “Excluded Foreign Flag Vessel.”</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Fee Letter</w:t>
      </w:r>
      <w:r>
        <w:rPr>
          <w:rFonts w:ascii="Times New Roman" w:cs="Times New Roman" w:eastAsia="Times New Roman" w:hAnsi="Times New Roman"/>
          <w:sz w:val="18"/>
          <w:szCs w:val="18"/>
          <w:color w:val="auto"/>
        </w:rPr>
        <w:t>” means the Agency Fee Letter, dated as of August 13, 2024 by and among the Borrower and DNB, as amended, restated, amended and restated, supplemented or otherwise modified from time to time in accordance with the terms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the Agents, together with their respective Affiliates, and the officers, directors, shareholders, employees, agents, attorney-in-fact, partners, trustees, advisors and other representatives of such Persons and of such Persons’ Affiliates.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272" w:name="page273"/>
    <w:bookmarkEnd w:id="272"/>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collectively, the Administrative Agent, the Collateral Agent, the Bookrunners, the Supplemental Administrative Agents (if any) and the Lead Arrangers.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Credit Agreement, as amended, restated, amended and restated, modified or supplemented from time to time in accordance with the terms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Fees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11.01(b)(ix)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 including, but not limited to, the U.S. Foreign Corrupt Practices Act of 1977, as amended, and the UK Bribery Act 2010.</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Commitment Fee</w:t>
      </w:r>
      <w:r>
        <w:rPr>
          <w:rFonts w:ascii="Times New Roman" w:cs="Times New Roman" w:eastAsia="Times New Roman" w:hAnsi="Times New Roman"/>
          <w:sz w:val="18"/>
          <w:szCs w:val="18"/>
          <w:color w:val="auto"/>
        </w:rPr>
        <w:t xml:space="preserve">” means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decimal place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has the meaning specified in the definition of “Weighted Average Life to Maturity.”</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Jurisdiction</w:t>
      </w:r>
      <w:r>
        <w:rPr>
          <w:rFonts w:ascii="Times New Roman" w:cs="Times New Roman" w:eastAsia="Times New Roman" w:hAnsi="Times New Roman"/>
          <w:sz w:val="18"/>
          <w:szCs w:val="18"/>
          <w:color w:val="auto"/>
        </w:rPr>
        <w:t>” means the United States and any other jurisdiction approved by the Required Lenders of the applicable Class and the Administrative Agent, in each case, acting reasonably and in good faith.</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Proceeds Threshold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xml:space="preserve">” means, for any day, with respect to any Revolving Loans, SOFR Rate Loan or Base Rate Loan, as the case may be, the rate </w:t>
      </w:r>
      <w:r>
        <w:rPr>
          <w:rFonts w:ascii="Times New Roman" w:cs="Times New Roman" w:eastAsia="Times New Roman" w:hAnsi="Times New Roman"/>
          <w:sz w:val="18"/>
          <w:szCs w:val="18"/>
          <w:i w:val="1"/>
          <w:iCs w:val="1"/>
          <w:color w:val="auto"/>
        </w:rPr>
        <w:t xml:space="preserve">per annum </w:t>
      </w:r>
      <w:r>
        <w:rPr>
          <w:rFonts w:ascii="Times New Roman" w:cs="Times New Roman" w:eastAsia="Times New Roman" w:hAnsi="Times New Roman"/>
          <w:sz w:val="18"/>
          <w:szCs w:val="18"/>
          <w:color w:val="auto"/>
        </w:rPr>
        <w:t>set forth in the grid below, based upon the Total Net Leverage Ratio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gridSpan w:val="4"/>
          </w:tcPr>
          <w:p>
            <w:pPr>
              <w:jc w:val="center"/>
              <w:ind w:right="428"/>
              <w:spacing w:after="0"/>
              <w:rPr>
                <w:sz w:val="20"/>
                <w:szCs w:val="20"/>
                <w:color w:val="auto"/>
              </w:rPr>
            </w:pPr>
            <w:r>
              <w:rPr>
                <w:rFonts w:ascii="Times New Roman" w:cs="Times New Roman" w:eastAsia="Times New Roman" w:hAnsi="Times New Roman"/>
                <w:sz w:val="14"/>
                <w:szCs w:val="14"/>
                <w:b w:val="1"/>
                <w:bCs w:val="1"/>
                <w:i w:val="1"/>
                <w:iCs w:val="1"/>
                <w:color w:val="auto"/>
              </w:rPr>
              <w:t>Grid</w:t>
            </w: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42"/>
        </w:trPr>
        <w:tc>
          <w:tcPr>
            <w:tcW w:w="8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Pricing Level</w:t>
            </w:r>
          </w:p>
        </w:tc>
        <w:tc>
          <w:tcPr>
            <w:tcW w:w="218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 Net Leverage Ratio</w:t>
            </w:r>
          </w:p>
        </w:tc>
        <w:tc>
          <w:tcPr>
            <w:tcW w:w="8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SOFR Rate Margin</w:t>
            </w:r>
          </w:p>
        </w:tc>
        <w:tc>
          <w:tcPr>
            <w:tcW w:w="1520" w:type="dxa"/>
            <w:vAlign w:val="bottom"/>
          </w:tcPr>
          <w:p>
            <w:pPr>
              <w:spacing w:after="0"/>
              <w:rPr>
                <w:sz w:val="12"/>
                <w:szCs w:val="12"/>
                <w:color w:val="auto"/>
              </w:rPr>
            </w:pPr>
          </w:p>
        </w:tc>
        <w:tc>
          <w:tcPr>
            <w:tcW w:w="1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Base Rate Margin</w:t>
            </w:r>
          </w:p>
        </w:tc>
        <w:tc>
          <w:tcPr>
            <w:tcW w:w="1420" w:type="dxa"/>
            <w:vAlign w:val="bottom"/>
          </w:tcPr>
          <w:p>
            <w:pPr>
              <w:spacing w:after="0"/>
              <w:rPr>
                <w:sz w:val="12"/>
                <w:szCs w:val="12"/>
                <w:color w:val="auto"/>
              </w:rPr>
            </w:pPr>
          </w:p>
        </w:tc>
      </w:tr>
      <w:tr>
        <w:trPr>
          <w:trHeight w:val="210"/>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97"/>
              </w:rPr>
              <w:t>≤ 0.50:1.00</w:t>
            </w:r>
          </w:p>
        </w:tc>
        <w:tc>
          <w:tcPr>
            <w:tcW w:w="2420" w:type="dxa"/>
            <w:vAlign w:val="bottom"/>
            <w:gridSpan w:val="4"/>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2.75%</w:t>
            </w:r>
          </w:p>
        </w:tc>
        <w:tc>
          <w:tcPr>
            <w:tcW w:w="26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1.75%</w:t>
            </w:r>
          </w:p>
        </w:tc>
        <w:tc>
          <w:tcPr>
            <w:tcW w:w="142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tcPr>
          <w:p>
            <w:pPr>
              <w:spacing w:after="0"/>
              <w:rPr>
                <w:sz w:val="18"/>
                <w:szCs w:val="18"/>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97"/>
              </w:rPr>
              <w:t>≤ 1.50:1.00</w:t>
            </w:r>
          </w:p>
        </w:tc>
        <w:tc>
          <w:tcPr>
            <w:tcW w:w="24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3.00%</w:t>
            </w:r>
          </w:p>
        </w:tc>
        <w:tc>
          <w:tcPr>
            <w:tcW w:w="26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2.00%</w:t>
            </w:r>
          </w:p>
        </w:tc>
        <w:tc>
          <w:tcPr>
            <w:tcW w:w="142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97"/>
              </w:rPr>
              <w:t>≤ 2.00:1.00</w:t>
            </w:r>
          </w:p>
        </w:tc>
        <w:tc>
          <w:tcPr>
            <w:tcW w:w="2420" w:type="dxa"/>
            <w:vAlign w:val="bottom"/>
            <w:gridSpan w:val="4"/>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3.25%</w:t>
            </w:r>
          </w:p>
        </w:tc>
        <w:tc>
          <w:tcPr>
            <w:tcW w:w="26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2.25%</w:t>
            </w:r>
          </w:p>
        </w:tc>
        <w:tc>
          <w:tcPr>
            <w:tcW w:w="142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18"/>
                <w:szCs w:val="18"/>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97"/>
              </w:rPr>
              <w:t>≤ 2.50:1.00</w:t>
            </w:r>
          </w:p>
        </w:tc>
        <w:tc>
          <w:tcPr>
            <w:tcW w:w="24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3.50%</w:t>
            </w:r>
          </w:p>
        </w:tc>
        <w:tc>
          <w:tcPr>
            <w:tcW w:w="26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720" w:type="dxa"/>
            <w:vAlign w:val="bottom"/>
            <w:gridSpan w:val="2"/>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&gt; 2.50:1.00</w:t>
            </w:r>
          </w:p>
        </w:tc>
        <w:tc>
          <w:tcPr>
            <w:tcW w:w="2420" w:type="dxa"/>
            <w:vAlign w:val="bottom"/>
            <w:gridSpan w:val="4"/>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3.75%</w:t>
            </w:r>
          </w:p>
        </w:tc>
        <w:tc>
          <w:tcPr>
            <w:tcW w:w="26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2.75%</w:t>
            </w:r>
          </w:p>
        </w:tc>
        <w:tc>
          <w:tcPr>
            <w:tcW w:w="1420" w:type="dxa"/>
            <w:vAlign w:val="bottom"/>
            <w:shd w:val="clear" w:color="auto" w:fill="CCEEFF"/>
          </w:tcPr>
          <w:p>
            <w:pPr>
              <w:spacing w:after="0"/>
              <w:rPr>
                <w:sz w:val="18"/>
                <w:szCs w:val="18"/>
                <w:color w:val="auto"/>
              </w:rPr>
            </w:pPr>
          </w:p>
        </w:tc>
      </w:tr>
      <w:tr>
        <w:trPr>
          <w:trHeight w:val="365"/>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273" w:name="page274"/>
    <w:bookmarkEnd w:id="27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increase or decrease in the Applicable Rate under the grid set forth above with respect to Base Rate Loans or SOFR Rate Loans, as the case may be, resulting from a change in the Total Net Leverage Ratio shall become effective as of the first Business Day immediately following the date a Compliance Certificate is delivered in respect of the preceding fiscal quarter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 Compliance Certificate is not delivered when due in accordance with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then Pricing Level 5 shall apply as of the first Business Day after the date on which such Compliance Certificate was required to have been delivered until such Compliance Certificate is delivered to the Administrative Agent. From the Closing Date until such time as a compliance certificate is delivered to the Administrative Agent in accordance with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Applicable Rate shall be determined based on the Compliance Certificate delivered pursuant to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Within one Business Day of receipt of the applicable information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Administrative Agent shall give each Lender electronic (including e-mail and Internet or intranet websites, including the Platform) notice of the Applicable Rate in effect from such date. In the event that any financial statement or certificate delivered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is determined to be inaccurate (at a time prior to the satisfaction of the Termination Conditions), and such inaccuracy, if corrected, would have led to the application of a higher Applicable Rate for any period (an “</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than the Applicable Rate applied for such Applicable Rate Period, then (a) the Borrower shall promptly (and in any event within five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following such determination deliver to the Administrative Agent correct financial statements and certificates required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for such Applicable Rate Period, (b) the Applicable Rate for such Applicable Rate Period shall be determined as if the Total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interest owing as a result of such increased Applicable Rate for such Applicable Rate Period. Notwithstanding anything to the contrary set forth herein, the provisions of this paragraph (but not any of the other provisions of this definition preceding this paragraph) may be amended or waived with respect to any Class with the consent of only the Borrower and the Required Lenders of such Class.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 Period</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means, at any time, with respect to Loans of any Class, the Lenders of such Class.</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Flag Jurisdiction</w:t>
      </w:r>
      <w:r>
        <w:rPr>
          <w:rFonts w:ascii="Times New Roman" w:cs="Times New Roman" w:eastAsia="Times New Roman" w:hAnsi="Times New Roman"/>
          <w:sz w:val="18"/>
          <w:szCs w:val="18"/>
          <w:color w:val="auto"/>
        </w:rPr>
        <w:t>” means (x) the United States of America, Mexico, Brazil, Vanuatu, Marshall Islands, Guyana, Colombia, and</w:t>
      </w:r>
    </w:p>
    <w:p>
      <w:pPr>
        <w:spacing w:after="0" w:line="31" w:lineRule="exact"/>
        <w:rPr>
          <w:sz w:val="20"/>
          <w:szCs w:val="20"/>
          <w:color w:val="auto"/>
        </w:rPr>
      </w:pPr>
    </w:p>
    <w:p>
      <w:pPr>
        <w:ind w:left="4" w:hanging="4"/>
        <w:spacing w:after="0" w:line="253" w:lineRule="auto"/>
        <w:tabs>
          <w:tab w:leader="none" w:pos="2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flag state constituting an internationally recognized open ship registry used by U.S. shipping companies (as determined in good faith by the Borrower) or other flag state instituting a cabotage regime, which in the Borrower’s or any Restricted Subsidiary’s good faith judgment is necessary or desirable in order to pursue customer opportunities in such non-U.S. jurisdictions, in each case under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subject to the approval of the Administrative Agent, such approval not to be unreasonably withheld, conditioned or delayed.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74" w:name="page275"/>
    <w:bookmarkEnd w:id="274"/>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(including electronic documentation generated by an electronic platform) approved by the Administrative Agent.</w:t>
      </w:r>
    </w:p>
    <w:p>
      <w:pPr>
        <w:spacing w:after="0" w:line="15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Associate</w:t>
      </w:r>
      <w:r>
        <w:rPr>
          <w:rFonts w:ascii="Times New Roman" w:cs="Times New Roman" w:eastAsia="Times New Roman" w:hAnsi="Times New Roman"/>
          <w:sz w:val="17"/>
          <w:szCs w:val="17"/>
          <w:color w:val="auto"/>
        </w:rPr>
        <w:t>” means (i) any Person engaged in a Similar Business of which the Borrower or its Restricted Subsidiaries are the legal and beneficial owners of between 20% and 50% of all outstanding Voting Stock and (ii) any joint venture entered into by the Borrower or any Restricted Subsidiary.</w:t>
      </w:r>
    </w:p>
    <w:p>
      <w:pPr>
        <w:spacing w:after="0" w:line="13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Attorney Costs</w:t>
      </w:r>
      <w:r>
        <w:rPr>
          <w:rFonts w:ascii="Times New Roman" w:cs="Times New Roman" w:eastAsia="Times New Roman" w:hAnsi="Times New Roman"/>
          <w:sz w:val="18"/>
          <w:szCs w:val="18"/>
          <w:color w:val="auto"/>
        </w:rPr>
        <w:t>” means all reasonable (so long as no Event of Default has occurred and is continuing) and documented in reasonable detail fees, expenses, charges and disbursements of any law firm or other external legal counsel.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Auto-Renewal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7.06(d)(v)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3.09(e)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for any day a fluctuating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highest of (a) the Federal Funds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1/2 of 1%, (b) the Prime Rate, and (c) the SOFR on such day (or, if such day is not a Business Day, the immediately preceding Business Day) for an Interest Period of one month after giving effect to a “floor” of 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plus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“Base Rate” with respect to any Revolving Loans shall in no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275" w:name="page276"/>
    <w:bookmarkEnd w:id="27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event be less than 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If the Administrative Agent shall have determined (which determination shall be conclusive absent manifest error) that it is unable to ascertain the Federal Funds Rate or Adjusted Term SOFR for any reason, including the inability or failure of the Administrative Agent to obtain sufficient quotations in accordance with the terms of the definition of Federal Funds Rate, the Base Rate shall be determined without regard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as applicable, until the circumstances giving rise to such inability no longer exist. Any change in the Base Rate due to a change in the Prime Rate, the Federal Funds Rate or Adjusted Term SOFR shall be effective from and including the effective day of such change in the Prime Rate, the Federal Funds Rate or Adjusted Term SOFR, respectively. If the Base Rate is being used as an alternate rate of interest pursuant to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(for the avoidance of doubt, only until an amendment to the applicable rate of interest has become effective in accordance with the terms of this Agreement),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in the case of Term SOFR Borrowings, Adjusted Term SOFR;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replacement of the Benchmark has occurred pursuant to Section 3.09(b), then “Benchmark” means the applicable Benchmark Replacement to the extent that such Benchmark Replacement has become effective pursuant to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99" w:lineRule="exact"/>
        <w:rPr>
          <w:sz w:val="20"/>
          <w:szCs w:val="20"/>
          <w:color w:val="auto"/>
        </w:rPr>
      </w:pPr>
    </w:p>
    <w:p>
      <w:pPr>
        <w:ind w:left="1120" w:hanging="261"/>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Adjusted Term SOFR and (b) the related Benchmark Replacement Adjustment;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and (b) the related Benchmark Replacement Adjustment;</w:t>
      </w:r>
    </w:p>
    <w:p>
      <w:pPr>
        <w:spacing w:after="0" w:line="73" w:lineRule="exact"/>
        <w:rPr>
          <w:sz w:val="20"/>
          <w:szCs w:val="20"/>
          <w:color w:val="auto"/>
        </w:rPr>
      </w:pPr>
    </w:p>
    <w:p>
      <w:pPr>
        <w:ind w:left="440"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such Unadjusted Benchmark Replacement is displayed on a screen or other information service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publishes such rate from time to time as selected by the Administrative Agent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Adjusted Term SOFR and (b) the related Benchmark Replacement Adjustment, as set forth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this definition (subject to the first proviso above).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276" w:name="page277"/>
    <w:bookmarkEnd w:id="276"/>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51" w:lineRule="exact"/>
        <w:rPr>
          <w:sz w:val="20"/>
          <w:szCs w:val="20"/>
          <w:color w:val="auto"/>
        </w:rPr>
      </w:pPr>
    </w:p>
    <w:p>
      <w:pPr>
        <w:ind w:left="440" w:right="240" w:firstLine="419"/>
        <w:spacing w:after="0" w:line="282"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Replacement,” the first alternative set forth in the order below that can be determined by the Administrative Agent:</w:t>
      </w:r>
    </w:p>
    <w:p>
      <w:pPr>
        <w:spacing w:after="0" w:line="53" w:lineRule="exact"/>
        <w:rPr>
          <w:rFonts w:ascii="Times New Roman" w:cs="Times New Roman" w:eastAsia="Times New Roman" w:hAnsi="Times New Roman"/>
          <w:sz w:val="18"/>
          <w:szCs w:val="18"/>
          <w:color w:val="auto"/>
        </w:rPr>
      </w:pPr>
    </w:p>
    <w:p>
      <w:pPr>
        <w:ind w:left="980" w:right="260" w:firstLine="408"/>
        <w:spacing w:after="0" w:line="261" w:lineRule="auto"/>
        <w:tabs>
          <w:tab w:leader="none" w:pos="162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1" w:lineRule="exact"/>
        <w:rPr>
          <w:rFonts w:ascii="Times New Roman" w:cs="Times New Roman" w:eastAsia="Times New Roman" w:hAnsi="Times New Roman"/>
          <w:sz w:val="18"/>
          <w:szCs w:val="18"/>
          <w:color w:val="auto"/>
        </w:rPr>
      </w:pPr>
    </w:p>
    <w:p>
      <w:pPr>
        <w:ind w:left="980" w:right="340" w:firstLine="408"/>
        <w:spacing w:after="0" w:line="289" w:lineRule="auto"/>
        <w:tabs>
          <w:tab w:leader="none" w:pos="1636"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Replacement,” the spread adjustment, or method for calculating or</w:t>
      </w:r>
    </w:p>
    <w:p>
      <w:pPr>
        <w:spacing w:after="0" w:line="27" w:lineRule="exact"/>
        <w:rPr>
          <w:rFonts w:ascii="Times New Roman" w:cs="Times New Roman" w:eastAsia="Times New Roman" w:hAnsi="Times New Roman"/>
          <w:sz w:val="18"/>
          <w:szCs w:val="18"/>
          <w:color w:val="auto"/>
        </w:rPr>
      </w:pPr>
    </w:p>
    <w:p>
      <w:pPr>
        <w:ind w:left="4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w:t>
      </w:r>
    </w:p>
    <w:p>
      <w:pPr>
        <w:spacing w:after="0" w:line="80" w:lineRule="exact"/>
        <w:rPr>
          <w:sz w:val="20"/>
          <w:szCs w:val="20"/>
          <w:color w:val="auto"/>
        </w:rPr>
      </w:pPr>
    </w:p>
    <w:p>
      <w:pPr>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such adjustment is displayed on a screen or other information service that publishes such 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 Adjustment from time to time as selected by the Administrative Agent in its reasonable discretion.</w:t>
      </w:r>
    </w:p>
    <w:p>
      <w:pPr>
        <w:spacing w:after="0" w:line="15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77" w:name="page278"/>
    <w:bookmarkEnd w:id="27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Administrative Agent reasonably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21" w:lineRule="exact"/>
        <w:rPr>
          <w:sz w:val="20"/>
          <w:szCs w:val="20"/>
          <w:color w:val="auto"/>
        </w:rPr>
      </w:pPr>
    </w:p>
    <w:p>
      <w:pPr>
        <w:ind w:left="440" w:right="60" w:firstLine="419"/>
        <w:spacing w:after="0" w:line="266"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date of the public statement or publication of information referenced therein; or</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 SOFR Transition Event, the date that is thirty (30) days after the date a Term SOFR Notice is provided to the Lenders and the Borrower pursuant to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51" w:lineRule="exact"/>
        <w:rPr>
          <w:sz w:val="20"/>
          <w:szCs w:val="20"/>
          <w:color w:val="auto"/>
        </w:rPr>
      </w:pPr>
    </w:p>
    <w:p>
      <w:pPr>
        <w:ind w:left="440" w:right="20" w:firstLine="419"/>
        <w:spacing w:after="0" w:line="261" w:lineRule="auto"/>
        <w:tabs>
          <w:tab w:leader="none" w:pos="11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78" w:name="page279"/>
    <w:bookmarkEnd w:id="278"/>
    <w:p>
      <w:pPr>
        <w:ind w:left="440" w:firstLine="419"/>
        <w:spacing w:after="0" w:line="273" w:lineRule="auto"/>
        <w:tabs>
          <w:tab w:leader="none" w:pos="111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63" w:lineRule="exact"/>
        <w:rPr>
          <w:rFonts w:ascii="Times New Roman" w:cs="Times New Roman" w:eastAsia="Times New Roman" w:hAnsi="Times New Roman"/>
          <w:sz w:val="17"/>
          <w:szCs w:val="17"/>
          <w:color w:val="auto"/>
        </w:rPr>
      </w:pPr>
    </w:p>
    <w:p>
      <w:pPr>
        <w:ind w:left="440" w:right="120" w:firstLine="419"/>
        <w:spacing w:after="0" w:line="266" w:lineRule="auto"/>
        <w:tabs>
          <w:tab w:leader="none" w:pos="111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(2) of that definition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-445770</wp:posOffset>
            </wp:positionV>
            <wp:extent cx="1619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Blocking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Bookrunners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borrowing consisting of Loans of the same Class and Type made, converted or continued on the same date and, in the case of SOFR Rate Loans, having the same Interest Period.</w:t>
      </w:r>
    </w:p>
    <w:p>
      <w:pPr>
        <w:spacing w:after="0" w:line="155" w:lineRule="exact"/>
        <w:rPr>
          <w:sz w:val="20"/>
          <w:szCs w:val="20"/>
          <w:color w:val="auto"/>
        </w:rPr>
      </w:pPr>
    </w:p>
    <w:p>
      <w:pPr>
        <w:ind w:right="1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xml:space="preserve">” means (i) any day that is not a Saturday, Sunday or other day on which commercial banks in New York City are authorized or required by law to remain closed and (ii) with respect to all notices, determinations, fundings and payments in connection with any SOFR Rate Loans, the term “Business Day” means any day which is a Business Day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and which is also a U.S. Government Securities Business Day.</w:t>
      </w:r>
    </w:p>
    <w:p>
      <w:pPr>
        <w:spacing w:after="0" w:line="15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Successor</w:t>
      </w:r>
      <w:r>
        <w:rPr>
          <w:rFonts w:ascii="Times New Roman" w:cs="Times New Roman" w:eastAsia="Times New Roman" w:hAnsi="Times New Roman"/>
          <w:sz w:val="18"/>
          <w:szCs w:val="18"/>
          <w:color w:val="auto"/>
        </w:rPr>
        <w:t>” means (i) any former Subsidiary of the Borrower and (ii) any Person that, after the Closing Date, has acquired, merged or consolidated with a Subsidiary of the Borrower (that results in such Subsidiary ceasing to be a Subsidiary of the Borrower), or acquired (in one transaction or a series of transactions) all or substantially all of the property and assets or business of a Subsidiary or assets constituting a business unit, line of business or division of a Subsidiary of the Borrower.</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Leases</w:t>
      </w:r>
      <w:r>
        <w:rPr>
          <w:rFonts w:ascii="Times New Roman" w:cs="Times New Roman" w:eastAsia="Times New Roman" w:hAnsi="Times New Roman"/>
          <w:sz w:val="18"/>
          <w:szCs w:val="18"/>
          <w:color w:val="auto"/>
        </w:rPr>
        <w:t xml:space="preserve">” means all capital or finance leases that have been or are required to be, in accordance with GAAP as in effect on the Closing Date, recorded as capitalized leases;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 as in effect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all obligations of the Borrower and its Restricted Subsidiaries that are or would be characterized as an operating lease as determined in accordance with GAAP prior to the adoption of Accounting Standards Codification Topic 842, “Leases,” shall be accounted for as an operating lease (and not as a Capitalized Lease) for purposes of this Agreement regardless of any change in GAAP following the Closing Date (that would otherwise require such obligation to be recharacterized as a Capitalized Lease).</w:t>
      </w:r>
    </w:p>
    <w:p>
      <w:pPr>
        <w:spacing w:after="0" w:line="18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Subsidiary of the Borrower that is subject to regulation as an insurance company (or any Subsidiary thereof).</w:t>
      </w:r>
    </w:p>
    <w:p>
      <w:pPr>
        <w:spacing w:after="0" w:line="155" w:lineRule="exact"/>
        <w:rPr>
          <w:sz w:val="20"/>
          <w:szCs w:val="20"/>
          <w:color w:val="auto"/>
        </w:rPr>
      </w:pPr>
    </w:p>
    <w:p>
      <w:pPr>
        <w:jc w:val="center"/>
        <w:ind w:left="620" w:right="26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 Account</w:t>
      </w:r>
      <w:r>
        <w:rPr>
          <w:rFonts w:ascii="Times New Roman" w:cs="Times New Roman" w:eastAsia="Times New Roman" w:hAnsi="Times New Roman"/>
          <w:sz w:val="18"/>
          <w:szCs w:val="18"/>
          <w:color w:val="auto"/>
        </w:rPr>
        <w:t>” means an account held at (or through), and subject to the sole dominion and control of, the Administrative Agent. 10</w:t>
      </w:r>
    </w:p>
    <w:p>
      <w:pPr>
        <w:sectPr>
          <w:pgSz w:w="11900" w:h="16838" w:orient="portrait"/>
          <w:cols w:equalWidth="0" w:num="1">
            <w:col w:w="10960"/>
          </w:cols>
          <w:pgMar w:left="440" w:top="266" w:right="499" w:bottom="1440" w:gutter="0" w:footer="0" w:header="0"/>
        </w:sectPr>
      </w:pPr>
    </w:p>
    <w:bookmarkStart w:id="280" w:name="page281"/>
    <w:bookmarkEnd w:id="280"/>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in respect of an Obligation, to provide and pledge (as a first priority perfected security interest) cash collateral in Dollars, at a location and pursuant to documentation in form and substance satisfactory to Administrative Agent or an Issuing Bank, as applicable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has a corresponding meaning).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any of the following types of Investments (including for the avoidance of doubt, cash), to the extent owned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w:t>
      </w:r>
    </w:p>
    <w:p>
      <w:pPr>
        <w:spacing w:after="0" w:line="99" w:lineRule="exact"/>
        <w:rPr>
          <w:sz w:val="20"/>
          <w:szCs w:val="20"/>
          <w:color w:val="auto"/>
        </w:rPr>
      </w:pPr>
    </w:p>
    <w:p>
      <w:pPr>
        <w:ind w:left="1100" w:hanging="241"/>
        <w:spacing w:after="0"/>
        <w:tabs>
          <w:tab w:leader="none" w:pos="11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a member of the European Union or, in each case any agency or instrumentality thereof the securities of which are guaranteed as a full faith and credit obligation of such government with maturities of one year or less from the date of acquisition;</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demand deposits or bankers’ acceptances with maturities of one year or less from the date of acquisition, in each case with a Lender or any other financial institution whose short-term unsecured debt rating is A or A2 or above as obtained from either S&amp;P or Moody’s having capital and surplus of not less than $250,000,000 (or the foreign currency equivalent thereof as of the date of such investment);</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for underlying securities of the types described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below and securities with maturities of one year or less from the date of acquisition backed by standby letters of credit, in each case, entered into with any financial institution meeting the qualifications specified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paper and variable or fixed rate notes issued by any financial institution meeting the qualifications specified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(or by the parent company thereof) with maturities of one year or less from the date of creation;</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and directly and fully guaranteed or insured by any state, commonwealth, province or territory of the United States or any political subdivision or taxing authority thereof, in each case rated at least A by S&amp;P or A by Moody’s (or, if at any time neither Moody’s nor S&amp;P shall be rating such obligations, an equivalent rating from another nationally recognized statistical rating agency) with maturities of 12 months or less from the date of acquisition;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281" w:name="page282"/>
    <w:bookmarkEnd w:id="281"/>
    <w:p>
      <w:pPr>
        <w:ind w:left="440" w:right="140" w:firstLine="419"/>
        <w:spacing w:after="0" w:line="261" w:lineRule="auto"/>
        <w:tabs>
          <w:tab w:leader="none" w:pos="11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with average maturities of 12 months or less from the date of acquisition in money market funds rated AAA (or the equivalent thereof) or better by S&amp;P or Aaa (or the equivalent thereof) or better by Moody’s (or, if at any time neither Moody’s nor S&amp;P shall be rating such obligations, an equivalent rating from another nationally recognized statistical rating agency) and have portfolio assets of at least U.S.$1,000,000,000.</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and in this paragraph. Notwithstanding the foregoing, Cash Equivalents shall include amounts denominated in Dollars, Canadian dollars, Australian dollars, pounds sterling, yen, euro, or any other national currency of any member state of the European Union; provided that (other than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amounts, except amounts used to pay obligations of the Borrower or any Restricted Subsidiary denominated in any currency other than Dollars in the ordinary course of business, are converted into Dollars as promptly as practicable and in any event within ten Business Days following the receipt of such amounts.</w:t>
      </w:r>
    </w:p>
    <w:p>
      <w:pPr>
        <w:spacing w:after="0" w:line="18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means any Person that is a Lender or Agent or an Affiliate of a Lender or Agent (a) 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with the Borrower or becomes or is merged with a Restricted Subsidiary (with respect to any Cash Management Services entered into prior to the date of such merger or such Person becoming a Restricted Subsidiary), in each case whether or not such Person subsequently ceases to be a Lender or Agent or an Affiliate of a Lender or Agent.</w:t>
      </w:r>
    </w:p>
    <w:p>
      <w:pPr>
        <w:spacing w:after="0" w:line="182"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Obligations</w:t>
      </w:r>
      <w:r>
        <w:rPr>
          <w:rFonts w:ascii="Times New Roman" w:cs="Times New Roman" w:eastAsia="Times New Roman" w:hAnsi="Times New Roman"/>
          <w:sz w:val="18"/>
          <w:szCs w:val="18"/>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“Cash Management Obligations.”</w:t>
      </w:r>
    </w:p>
    <w:p>
      <w:pPr>
        <w:spacing w:after="0" w:line="171"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Management Services</w:t>
      </w:r>
      <w:r>
        <w:rPr>
          <w:rFonts w:ascii="Times New Roman" w:cs="Times New Roman" w:eastAsia="Times New Roman" w:hAnsi="Times New Roman"/>
          <w:sz w:val="17"/>
          <w:szCs w:val="17"/>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32"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any event that gives rise to the receipt by a Loan Party of any insurance proceeds or condemnation awards in respect of any equipment, fixed assets or real property (including any improvements thereon) to replace or repair such equipment, fixed assets or real property.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any of the following:</w:t>
      </w:r>
    </w:p>
    <w:p>
      <w:pPr>
        <w:spacing w:after="0" w:line="121" w:lineRule="exact"/>
        <w:rPr>
          <w:sz w:val="20"/>
          <w:szCs w:val="20"/>
          <w:color w:val="auto"/>
        </w:rPr>
      </w:pPr>
    </w:p>
    <w:p>
      <w:pPr>
        <w:ind w:right="200" w:firstLine="419"/>
        <w:spacing w:after="0" w:line="282" w:lineRule="auto"/>
        <w:tabs>
          <w:tab w:leader="none" w:pos="66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taking effect of any law, rule, regulation or treaty (excluding the taking effect after the date of this Agreement of a law, rule, regulation or treaty adopted prior to the date of this Agreement),</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law, rule, regulation or treaty or in the administration, interpretation or application thereof by any Governmental Authority or (c) the making or issuance of any request, guideline or directive (whether or not having the force of law) by any Governmental Authority. 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earliest to occur of:</w:t>
      </w:r>
    </w:p>
    <w:p>
      <w:pPr>
        <w:spacing w:after="0" w:line="121" w:lineRule="exact"/>
        <w:rPr>
          <w:sz w:val="20"/>
          <w:szCs w:val="20"/>
          <w:color w:val="auto"/>
        </w:rPr>
      </w:pPr>
    </w:p>
    <w:p>
      <w:pPr>
        <w:ind w:firstLine="419"/>
        <w:spacing w:after="0" w:line="252" w:lineRule="auto"/>
        <w:tabs>
          <w:tab w:leader="none" w:pos="66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at any time while the Voting Stock of the Borrower (or any Parent Entity) is publicly traded, the Borrower (or such Parent Entity) becomes aware of (by way of a report or any other filing pursuant to Section 13(d) of the Exchange Act, proxy, vote, written notice or otherwise) or (ii) at any other time, any “person” or “group” (as each term is used in Sections 13(d) and 14(d) of the Exchange Act as in effect on the Closing Date), other than one or more Permitted Holders or any Parent Entity, that is or becomes the “beneficial owner” (as defined in Rules 13d-3 and 13d-5 of the Exchange Act as in effect on the Closing Date) of more than 50% of the total voting power of the Voting Stock of the Borrower (or any Parent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notwithstanding the foregoing or the other provisions of this Agreement, so long as the change in total voting power of the Voting Stock of the Borrower (or any Parent Entity) as set forth in this clause (a) is a result of the Sponsors ceasing to hold their Equity Interests in connection with any Qualifying IPO or any other Equity Offering after any Qualifying IPO (including, for the avoidance of doubt, any block trades and/or secondary offering), no “Change of Control” shall occur; or</w:t>
      </w:r>
    </w:p>
    <w:p>
      <w:pPr>
        <w:spacing w:after="0" w:line="1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66" w:right="479" w:bottom="1440" w:gutter="0" w:footer="0" w:header="0"/>
        </w:sectPr>
      </w:pPr>
    </w:p>
    <w:bookmarkStart w:id="283" w:name="page284"/>
    <w:bookmarkEnd w:id="283"/>
    <w:p>
      <w:pPr>
        <w:ind w:left="440" w:right="40" w:firstLine="419"/>
        <w:spacing w:after="0" w:line="254" w:lineRule="auto"/>
        <w:tabs>
          <w:tab w:leader="none" w:pos="111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sale or transfer, in one or a series of related transactions, of all or substantially all of the assets of the Borrower and its Restricted Subsidiaries, taken as a whole, to a Person (other than the Borrower or any of its Restricted Subsidiaries or one or more Permitted Holders) and any “person” or “group” (each, as defined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so long as the Borrower is a Subsidiary of any Parent Entity, no person shall be deemed to be or become a beneficial owner of more than 50% of the total voting power of the Voting Stock of the Borrower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(v) for purposes of this definition, a time charter of, bareboat charter or other contract for, vessels to customers in the ordinary course of business shall not be deemed a sale or transfer of assets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(vi) a Change of Control shall not occur as a result of any Reorganization Transactions and any transactions relating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when used in reference to,</w:t>
      </w:r>
    </w:p>
    <w:p>
      <w:pPr>
        <w:spacing w:after="0" w:line="121" w:lineRule="exact"/>
        <w:rPr>
          <w:sz w:val="20"/>
          <w:szCs w:val="20"/>
          <w:color w:val="auto"/>
        </w:rPr>
      </w:pPr>
    </w:p>
    <w:p>
      <w:pPr>
        <w:ind w:left="440" w:firstLine="419"/>
        <w:spacing w:after="0" w:line="282"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or Borrowing, refers to whether such Loan, or the Loans comprising such Borrowing, are Revolving Loans, Incremental Loans, Refinancing Loans or Extended Loans,</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refers to whether such Commitment is a Commitment in respect of Revolving Loans, Refinancing Commitment (and, in the case of a Refinancing Commitment, the Class of Loans to which such commitment relates) or a Commitment in respect of a Class of Loans to be made pursuant to an Incremental Amendment or an Extension Amendment,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4" w:name="page285"/>
    <w:bookmarkEnd w:id="284"/>
    <w:p>
      <w:pPr>
        <w:ind w:left="440" w:right="400" w:firstLine="419"/>
        <w:spacing w:after="0" w:line="312" w:lineRule="auto"/>
        <w:tabs>
          <w:tab w:leader="none" w:pos="110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refers to whether such Lender has a Loan or Commitment with respect to a particular Class of Loans or Commitments. Refinancing Commitments and Refinancing Loans that have different terms and conditions shall be construed to be in different Classes.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August 13,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Consolidated Net Tangible Assets</w:t>
      </w:r>
      <w:r>
        <w:rPr>
          <w:rFonts w:ascii="Times New Roman" w:cs="Times New Roman" w:eastAsia="Times New Roman" w:hAnsi="Times New Roman"/>
          <w:sz w:val="18"/>
          <w:szCs w:val="18"/>
          <w:color w:val="auto"/>
        </w:rPr>
        <w:t>” means $818,331,499.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Total Net Leverage Ratio</w:t>
      </w:r>
      <w:r>
        <w:rPr>
          <w:rFonts w:ascii="Times New Roman" w:cs="Times New Roman" w:eastAsia="Times New Roman" w:hAnsi="Times New Roman"/>
          <w:sz w:val="18"/>
          <w:szCs w:val="18"/>
          <w:color w:val="auto"/>
        </w:rPr>
        <w:t>” means 1.67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the “Collateral” (or equivalent term) as defined in any Collateral Document (including the Vessel Collateral), and all other property that is subject or purported to be subject to any Lien in favor of the Collateral Agent for the benefit of the Secured Parties pursuant to any Collateral Document, but in any event excluding all Excluded Assets.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means, initially, Wilmington Trust, National Association, as collateral agent under the Loan Documents, and any successor thereto.</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Agency Fee Letter”</w:t>
      </w:r>
      <w:r>
        <w:rPr>
          <w:rFonts w:ascii="Times New Roman" w:cs="Times New Roman" w:eastAsia="Times New Roman" w:hAnsi="Times New Roman"/>
          <w:sz w:val="18"/>
          <w:szCs w:val="18"/>
          <w:color w:val="auto"/>
        </w:rPr>
        <w:t xml:space="preserve"> means the Fee Letter, dated as of August 13, 2024, by and among the Borrower and the Collateral Agent, as amended, restated, amended and restated, supplemented or otherwise modified from time to time in accordance with the terms thereof.</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Agreement</w:t>
      </w:r>
      <w:r>
        <w:rPr>
          <w:rFonts w:ascii="Times New Roman" w:cs="Times New Roman" w:eastAsia="Times New Roman" w:hAnsi="Times New Roman"/>
          <w:sz w:val="18"/>
          <w:szCs w:val="18"/>
          <w:color w:val="auto"/>
        </w:rPr>
        <w:t xml:space="preserve">” means the First Lien Guaranty and Collateral Agreement executed by the Loan Parties party thereto,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together with each Collateral Agreement Supplement thereto executed and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Agreement Supplement</w:t>
      </w:r>
      <w:r>
        <w:rPr>
          <w:rFonts w:ascii="Times New Roman" w:cs="Times New Roman" w:eastAsia="Times New Roman" w:hAnsi="Times New Roman"/>
          <w:sz w:val="18"/>
          <w:szCs w:val="18"/>
          <w:color w:val="auto"/>
        </w:rPr>
        <w:t>” has the meaning specified in the Collateral Agreement.</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Coverage Ratio</w:t>
      </w:r>
      <w:r>
        <w:rPr>
          <w:rFonts w:ascii="Times New Roman" w:cs="Times New Roman" w:eastAsia="Times New Roman" w:hAnsi="Times New Roman"/>
          <w:sz w:val="18"/>
          <w:szCs w:val="18"/>
          <w:color w:val="auto"/>
        </w:rPr>
        <w:t>” means as of any date of determination, the ratio of (a) Collateral Value Amount to (b) Consolidated First and Second Lien Debt, in each case, as of such date of determination.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xml:space="preserve">” means, collectively, the Collateral Agreement, the Collateral Trust Agreement (if any), the Vessel Mortgage, the Mortgages (if any), each of the collateral assignments, Collateral Agreement Supplements, security agreements, pledge agreements, account control agreements (if any) or other similar agreements delivered to the Agents and the Lenders pursuant to </w:t>
      </w:r>
      <w:r>
        <w:rPr>
          <w:rFonts w:ascii="Times New Roman" w:cs="Times New Roman" w:eastAsia="Times New Roman" w:hAnsi="Times New Roman"/>
          <w:sz w:val="18"/>
          <w:szCs w:val="18"/>
          <w:u w:val="single" w:color="auto"/>
          <w:color w:val="auto"/>
        </w:rPr>
        <w:t>Sections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and each of the other agreements, instruments or documents that creates or purports to create a Lien in favor of the Collateral Agent for the benefit of the Secured Parties.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285" w:name="page286"/>
    <w:bookmarkEnd w:id="285"/>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Collateral Trust Agreement</w:t>
      </w:r>
      <w:r>
        <w:rPr>
          <w:rFonts w:ascii="Times New Roman" w:cs="Times New Roman" w:eastAsia="Times New Roman" w:hAnsi="Times New Roman"/>
          <w:sz w:val="18"/>
          <w:szCs w:val="18"/>
          <w:color w:val="auto"/>
        </w:rPr>
        <w:t xml:space="preserve">” means the Collateral Trust Agreement substantially in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(as the same may be modified in a manner satisfactory to the Administrative Agent, the Collateral Agent, the Required Lenders and the Borrower), or, if requested by the providers of other secured Indebtedness permitted hereunder, another collateral trust arrangement reasonably satisfactory to the Administrative Agent, the Collateral Trustee, the Required Lenders and the Borrower, in each case as amended, restated, amended and restated, modified or supplemented from time to time in accordance with the terms hereof and thereof. Upon the request of the Borrower, the Administrative Agent and the Collateral Trustee will execute and deliver a Collateral Trust Agreement (or a joinder or supplement to an existing Collateral Trust Agreement) with one or more Debt Representatives for Indebtedness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make such request unless such Indebtedness and related Liens are permitted by (including with respect to priority) the Loan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amendments or modifications to the Loan Documents to reflect a Collateral Trust Agreement structure (including replacing references to the Collateral Agent with references to the Collateral Trustee and modifying the Collateral Documents so that such Collateral Documents secure all Indebtedness subject to the Collateral Trust Agreement) shall require the consent of the Administrative Agent (such consent not to be unreasonably withheld, conditioned or delayed).</w:t>
      </w:r>
    </w:p>
    <w:p>
      <w:pPr>
        <w:spacing w:after="0" w:line="182"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Trustee</w:t>
      </w:r>
      <w:r>
        <w:rPr>
          <w:rFonts w:ascii="Times New Roman" w:cs="Times New Roman" w:eastAsia="Times New Roman" w:hAnsi="Times New Roman"/>
          <w:sz w:val="18"/>
          <w:szCs w:val="18"/>
          <w:color w:val="auto"/>
        </w:rPr>
        <w:t>” means the Collateral Agent under the Loan Documents in their role as collateral trustee under any Collateral Trust Agreement, as applicable, together with any successors thereto.</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Value Amount</w:t>
      </w:r>
      <w:r>
        <w:rPr>
          <w:rFonts w:ascii="Times New Roman" w:cs="Times New Roman" w:eastAsia="Times New Roman" w:hAnsi="Times New Roman"/>
          <w:sz w:val="18"/>
          <w:szCs w:val="18"/>
          <w:color w:val="auto"/>
        </w:rPr>
        <w:t xml:space="preserve">” means an amount equal to the sum of (a) the Vessel Collateral Value Amount as determined on or about the applicable Measurement Date (but, in any case, no earlier than thirty (30) days prior to the applicable Measurement Date and no later than five days after the Measurement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cash Collateral provided in favor of the Secured Parties in a blocked account (which, at the option of the Borrower, may be an interest-bearing blocked account with interest bearing at market rates) prior to the applicable Measurement Date.</w:t>
      </w:r>
    </w:p>
    <w:p>
      <w:pPr>
        <w:spacing w:after="0" w:line="176"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means the commitment of a Lender to make or otherwise fund any Revolving Loan and to acquire participations in Letters of Credit hereunder and “Commitments” means such commitments of all Lenders in the aggregate. The amount of each Lender’s Commitment, if any,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in the applicable Assignment and Assumption, subject to any increase, adjustment or reduction pursuant to the terms and conditions hereof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aggregate amount of the Commitments as of the Closing Date is $75,000,000.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Period</w:t>
      </w:r>
      <w:r>
        <w:rPr>
          <w:rFonts w:ascii="Times New Roman" w:cs="Times New Roman" w:eastAsia="Times New Roman" w:hAnsi="Times New Roman"/>
          <w:sz w:val="18"/>
          <w:szCs w:val="18"/>
          <w:color w:val="auto"/>
        </w:rPr>
        <w:t>” means the period from the Closing Date to but excluding the Commitment Termination Date.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Termination Date</w:t>
      </w:r>
      <w:r>
        <w:rPr>
          <w:rFonts w:ascii="Times New Roman" w:cs="Times New Roman" w:eastAsia="Times New Roman" w:hAnsi="Times New Roman"/>
          <w:sz w:val="18"/>
          <w:szCs w:val="18"/>
          <w:color w:val="auto"/>
        </w:rPr>
        <w:t xml:space="preserve">” means the earliest to occur of (a) one day prior to the Maturity Date, (b) the date the Commitments, including Commitments in respect of Letters of Credit, are permanently reduced to zero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(c) the date of the termination of the Commitments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86" w:name="page287"/>
    <w:bookmarkEnd w:id="286"/>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Committed Loan Notice</w:t>
      </w:r>
      <w:r>
        <w:rPr>
          <w:rFonts w:ascii="Times New Roman" w:cs="Times New Roman" w:eastAsia="Times New Roman" w:hAnsi="Times New Roman"/>
          <w:sz w:val="18"/>
          <w:szCs w:val="18"/>
          <w:color w:val="auto"/>
        </w:rPr>
        <w:t xml:space="preserve">” means a written notice of a Borrowing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such other form as the Administrative Agent may reasonably agree.</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capital or that are franchise Taxes or branch profits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means, with respect to any Person for any Test Period, the Consolidated Net Income of such Person for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 Period:</w:t>
      </w:r>
    </w:p>
    <w:p>
      <w:pPr>
        <w:spacing w:after="0" w:line="99" w:lineRule="exact"/>
        <w:rPr>
          <w:sz w:val="20"/>
          <w:szCs w:val="20"/>
          <w:color w:val="auto"/>
        </w:rPr>
      </w:pPr>
    </w:p>
    <w:p>
      <w:pPr>
        <w:ind w:left="1120" w:hanging="261"/>
        <w:spacing w:after="0"/>
        <w:tabs>
          <w:tab w:leader="none" w:pos="11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25"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deducted (and not added back) in computing Consolidated Net Income, Consolidated Interest Expense of such Person for such period (including (x) net payments and losses or any obligations on any Swap Obligations or other derivative instruments,</w:t>
      </w:r>
    </w:p>
    <w:p>
      <w:pPr>
        <w:ind w:left="980" w:right="540" w:firstLine="7"/>
        <w:spacing w:after="0" w:line="260" w:lineRule="auto"/>
        <w:tabs>
          <w:tab w:leader="none" w:pos="123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letter of credit and other financing fees and (z) costs of surety bonds in connection with financing activities, plus amounts excluded from the definition of “Consolidated Interest Expense”); </w:t>
      </w:r>
      <w:r>
        <w:rPr>
          <w:rFonts w:ascii="Times New Roman" w:cs="Times New Roman" w:eastAsia="Times New Roman" w:hAnsi="Times New Roman"/>
          <w:sz w:val="18"/>
          <w:szCs w:val="18"/>
          <w:i w:val="1"/>
          <w:iCs w:val="1"/>
          <w:color w:val="auto"/>
        </w:rPr>
        <w:t>plus</w:t>
      </w:r>
    </w:p>
    <w:p>
      <w:pPr>
        <w:spacing w:after="0" w:line="73" w:lineRule="exact"/>
        <w:rPr>
          <w:rFonts w:ascii="Times New Roman" w:cs="Times New Roman" w:eastAsia="Times New Roman" w:hAnsi="Times New Roman"/>
          <w:sz w:val="18"/>
          <w:szCs w:val="18"/>
          <w:color w:val="auto"/>
        </w:rPr>
      </w:pPr>
    </w:p>
    <w:p>
      <w:pPr>
        <w:ind w:left="980" w:right="120" w:firstLine="408"/>
        <w:spacing w:after="0" w:line="254" w:lineRule="auto"/>
        <w:tabs>
          <w:tab w:leader="none" w:pos="1635"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deducted (and not added back) in computing Consolidated Net Income, (x) provision for Taxes based on gross receipts, income, profits, revenue or capital, including federal, foreign, state, provincial, territorial, local, unitary, excise, property, franchise, value added and similar Taxes (such as Delaware franchise Tax, Pennsylvania capital Tax and Texas margin Tax) and withholding Taxes (including any future Taxes or other levies which replace or are intended to be in lieu of such Taxes and any penalties, additions to Tax, and interest related to such Taxes or arising from Tax examinations) and similar Taxes of such Person paid or accrued during such period (including in respect of repatriated funds), (y) any distributions made to a Parent Entity or other direct or indirect holder of Equity Interests in the Borrower in respect of any such Taxes attributable to such Parent Entity or holder or pursuant to a Tax sharing arrangement or as a result of a Tax distribution or repatriated funds and (z) the net Tax expense associated with any adjustments made pursuant to the definition of “Consolidated Net Income”;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25"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deducted (and not added back) in computing Consolidated Net Income, consolidated depreciation and amortization expense (as determined by the Borrower in accordance with GAAP) of such Person for such period;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287" w:name="page288"/>
    <w:bookmarkEnd w:id="287"/>
    <w:p>
      <w:pPr>
        <w:ind w:left="-20" w:firstLine="408"/>
        <w:spacing w:after="0" w:line="253" w:lineRule="auto"/>
        <w:tabs>
          <w:tab w:leader="none" w:pos="6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deducted (and not added back) in computing Consolidated Net Income¸ any fees, costs, expenses or charges (other than consolidated depreciation and amortization expense (as determined by the Borrower in accordance with GAAP)) related to any actual, proposed or contemplated Equity Offering (including any expense relating to enhanced accounting functions or other transaction costs associated with becoming a public company, including Public Company Costs), Permitted Investment, Restricted Payment, acquisition, disposition or other transaction outside the ordinary course of business (whether or not successful or completed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this Agreement, the Second Lien Credit Agreement, any other credit facilities or debt instruments and any Securitization Fees, and (ii) any amendment, waiver or other modification of this Agreement, the Second Lien Credit Agreement, any Receivables Facilities, Securitization Facilities, any other credit facilities or debt instruments, any Securitization Fees, any other Indebtedness or any Equity Offering, in each case, whether or not consummated; provided, that the amount of adjustments made for cash items pursuant to </w:t>
      </w:r>
      <w:r>
        <w:rPr>
          <w:rFonts w:ascii="Times New Roman" w:cs="Times New Roman" w:eastAsia="Times New Roman" w:hAnsi="Times New Roman"/>
          <w:sz w:val="18"/>
          <w:szCs w:val="18"/>
          <w:u w:val="single" w:color="auto"/>
          <w:color w:val="auto"/>
        </w:rPr>
        <w:t>sub-clauses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in any period shall not exceed 30% of the aggregate amount of Consolidated Adjusted EBITDA for such period (calculated prior to giving effect to such capped amount under such clauses);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20" w:right="120" w:firstLine="408"/>
        <w:spacing w:after="0" w:line="254" w:lineRule="auto"/>
        <w:tabs>
          <w:tab w:leader="none" w:pos="62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restructuring charge, accrual, reserve (and adjustments to existing reserves) or expense, integration cost, inventory optimization programs or other business optimization, realignment or restructuring expense or cost (including charges directly related to the implementation of cost-savings initiatives and Tax restructurings) that is deducted (and not otherwise added back) in such period in computing Consolidated Net Income, including any costs incurred in connection with acquisitions or divestitures after the Closing Date, and (ii) fees, costs and expenses associated with litigation and settlement thereof; provided, that the amount of adjustments for cash items made pursuant to </w:t>
      </w:r>
      <w:r>
        <w:rPr>
          <w:rFonts w:ascii="Times New Roman" w:cs="Times New Roman" w:eastAsia="Times New Roman" w:hAnsi="Times New Roman"/>
          <w:sz w:val="18"/>
          <w:szCs w:val="18"/>
          <w:u w:val="single" w:color="auto"/>
          <w:color w:val="auto"/>
        </w:rPr>
        <w:t>sub-clauses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in any period shall not exceed 30% of the aggregate amount of Consolidated Adjusted EBITDA for such period (calculated prior to giving effect to such capped amount under such clauses); </w:t>
      </w:r>
      <w:r>
        <w:rPr>
          <w:rFonts w:ascii="Times New Roman" w:cs="Times New Roman" w:eastAsia="Times New Roman" w:hAnsi="Times New Roman"/>
          <w:sz w:val="18"/>
          <w:szCs w:val="18"/>
          <w:i w:val="1"/>
          <w:iCs w:val="1"/>
          <w:color w:val="auto"/>
        </w:rPr>
        <w:t>plus</w:t>
      </w:r>
    </w:p>
    <w:p>
      <w:pPr>
        <w:spacing w:after="0" w:line="83" w:lineRule="exact"/>
        <w:rPr>
          <w:rFonts w:ascii="Times New Roman" w:cs="Times New Roman" w:eastAsia="Times New Roman" w:hAnsi="Times New Roman"/>
          <w:sz w:val="18"/>
          <w:szCs w:val="18"/>
          <w:color w:val="auto"/>
        </w:rPr>
      </w:pPr>
    </w:p>
    <w:p>
      <w:pPr>
        <w:ind w:left="-20" w:right="80" w:firstLine="408"/>
        <w:spacing w:after="0" w:line="256" w:lineRule="auto"/>
        <w:tabs>
          <w:tab w:leader="none" w:pos="60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write-downs, expenses, losses or items reducing Consolidated Net Income for such period including, without limitation, (i) any write-offs or write-downs, deferred revenue or impairment charges, (ii) impairment charges, amortization (or write offs) of financing costs (including debt discount, early extinguishments, debt issuance costs and commissions and other fees associated with Indebtedness, including Indebtedness under this Agreement) of such Person and its Subsidiaries and/or (iii) the impact of acquisition method accounting adjustment and any non-cash write-up, write-down or write-off with respect to re-valuing assets and liabilities in connection with any Investment, deferred revenue or any effects of adjustments resulting from the application of</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00"/>
          </w:cols>
          <w:pgMar w:left="1440" w:top="270" w:right="459" w:bottom="1440" w:gutter="0" w:footer="0" w:header="0"/>
        </w:sectPr>
      </w:pPr>
    </w:p>
    <w:bookmarkStart w:id="288" w:name="page289"/>
    <w:bookmarkEnd w:id="288"/>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purchase accounting, purchase price accounting (including any step-up in inventory and loss of profit on the acquired inventory) (excluding non-cash losses on the sale of assets) (provided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non-cash charge, the cash payment in respect thereof in such future period shall be subtracted from Consolidated Adjusted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and excluding non-cash gains on the sale of assets); </w:t>
      </w:r>
      <w:r>
        <w:rPr>
          <w:rFonts w:ascii="Times New Roman" w:cs="Times New Roman" w:eastAsia="Times New Roman" w:hAnsi="Times New Roman"/>
          <w:sz w:val="18"/>
          <w:szCs w:val="18"/>
          <w:i w:val="1"/>
          <w:iCs w:val="1"/>
          <w:color w:val="auto"/>
        </w:rPr>
        <w:t>plus</w:t>
      </w:r>
    </w:p>
    <w:p>
      <w:pPr>
        <w:spacing w:after="0" w:line="84" w:lineRule="exact"/>
        <w:rPr>
          <w:sz w:val="20"/>
          <w:szCs w:val="20"/>
          <w:color w:val="auto"/>
        </w:rPr>
      </w:pPr>
    </w:p>
    <w:p>
      <w:pPr>
        <w:ind w:firstLine="408"/>
        <w:spacing w:after="0" w:line="252" w:lineRule="auto"/>
        <w:tabs>
          <w:tab w:leader="none" w:pos="65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readily identifiable and factually supportable pro forma “run rate” cost savings (including cost savings with respect to salary, benefit and other direct savings resulting from workforce reductions and facility, benefit and insurance savings and any savings expected to result from the reduction of Public Company Costs), operating expense reductions, other operating improvements (it is understood and agreed that “run rate” means the full recurring benefit for a period that is associated with any action taken, committed to be taken or expected to be taken, net of the amount of actual benefits realized during such period from such actions) projected by the Borrower in good faith to result from actions taken or expected to be taken within 24 months of the date thereof (including from any actions taken in whole or in part prior to such date), which will be added to Consolidated Adjusted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Public Company Costs), operating expense reductions, other operating improvements and initiatives and synergies had been realized on the first day of such period, net of the amount of actual benefits realized prior to or during such period from such actions (it being understood that the foregoing amounts or adjustments need not be made in compliance with Regulation S-X or other securities laws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adjustments for cash items made pursuant to </w:t>
      </w:r>
      <w:r>
        <w:rPr>
          <w:rFonts w:ascii="Times New Roman" w:cs="Times New Roman" w:eastAsia="Times New Roman" w:hAnsi="Times New Roman"/>
          <w:sz w:val="18"/>
          <w:szCs w:val="18"/>
          <w:u w:val="single" w:color="auto"/>
          <w:color w:val="auto"/>
        </w:rPr>
        <w:t>sub-clauses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right="300" w:firstLine="7"/>
        <w:spacing w:after="0" w:line="260" w:lineRule="auto"/>
        <w:tabs>
          <w:tab w:leader="none" w:pos="255" w:val="left"/>
        </w:tabs>
        <w:numPr>
          <w:ilvl w:val="0"/>
          <w:numId w:val="1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any period shall not exceed 30% of the aggregate amount of Consolidated Adjusted EBITDA for such period (calculated prior to giving effect to such capped amount under such clauses); </w:t>
      </w:r>
      <w:r>
        <w:rPr>
          <w:rFonts w:ascii="Times New Roman" w:cs="Times New Roman" w:eastAsia="Times New Roman" w:hAnsi="Times New Roman"/>
          <w:sz w:val="18"/>
          <w:szCs w:val="18"/>
          <w:i w:val="1"/>
          <w:iCs w:val="1"/>
          <w:color w:val="auto"/>
        </w:rPr>
        <w:t>plus</w:t>
      </w:r>
    </w:p>
    <w:p>
      <w:pPr>
        <w:spacing w:after="0" w:line="73" w:lineRule="exact"/>
        <w:rPr>
          <w:rFonts w:ascii="Times New Roman" w:cs="Times New Roman" w:eastAsia="Times New Roman" w:hAnsi="Times New Roman"/>
          <w:sz w:val="18"/>
          <w:szCs w:val="18"/>
          <w:u w:val="single" w:color="auto"/>
          <w:color w:val="auto"/>
        </w:rPr>
      </w:pPr>
    </w:p>
    <w:p>
      <w:pPr>
        <w:ind w:right="200" w:firstLine="408"/>
        <w:spacing w:after="0" w:line="258" w:lineRule="auto"/>
        <w:tabs>
          <w:tab w:leader="none" w:pos="65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deducted (and not added back) in computing Consolidated Net Income¸ any costs or expenses incurred by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w:t>
      </w:r>
    </w:p>
    <w:p>
      <w:pPr>
        <w:spacing w:after="0" w:line="1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20"/>
          </w:cols>
          <w:pgMar w:left="1420" w:top="270" w:right="459" w:bottom="1440" w:gutter="0" w:footer="0" w:header="0"/>
        </w:sectPr>
      </w:pPr>
    </w:p>
    <w:bookmarkStart w:id="289" w:name="page290"/>
    <w:bookmarkEnd w:id="28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connection with the roll-over, acceleration or payout of Equity Interests held by management, to the extent that such costs or expenses are non-cash or otherwise funded with cash proceeds contributed to the capital of the Borrower or net cash proceeds of an issuance of Equity Interests (other than Disqualified Equity Interests) of the Borrower; provided, that the amount of adjustments for cash items made pursuant to </w:t>
      </w:r>
      <w:r>
        <w:rPr>
          <w:rFonts w:ascii="Times New Roman" w:cs="Times New Roman" w:eastAsia="Times New Roman" w:hAnsi="Times New Roman"/>
          <w:sz w:val="18"/>
          <w:szCs w:val="18"/>
          <w:u w:val="single" w:color="auto"/>
          <w:color w:val="auto"/>
        </w:rPr>
        <w:t>sub-clauses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in any period shall not exceed 30% of the aggregate amount of Consolidated Adjusted EBITDA for such period (calculated prior to giving effect to such capped amount under such clauses); </w:t>
      </w:r>
      <w:r>
        <w:rPr>
          <w:rFonts w:ascii="Times New Roman" w:cs="Times New Roman" w:eastAsia="Times New Roman" w:hAnsi="Times New Roman"/>
          <w:sz w:val="18"/>
          <w:szCs w:val="18"/>
          <w:i w:val="1"/>
          <w:iCs w:val="1"/>
          <w:color w:val="auto"/>
        </w:rPr>
        <w:t>plus</w:t>
      </w:r>
    </w:p>
    <w:p>
      <w:pPr>
        <w:spacing w:after="0" w:line="75" w:lineRule="exact"/>
        <w:rPr>
          <w:sz w:val="20"/>
          <w:szCs w:val="20"/>
          <w:color w:val="auto"/>
        </w:rPr>
      </w:pPr>
    </w:p>
    <w:p>
      <w:pPr>
        <w:ind w:right="160" w:firstLine="408"/>
        <w:spacing w:after="0" w:line="258" w:lineRule="auto"/>
        <w:tabs>
          <w:tab w:leader="none" w:pos="6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unrealized or realized foreign exchange losses resulting from the impact of foreign currency changes and (ii) gains and losses due to fluctuations in currency values and related Tax effects determined in accordance with GAAP, provided, that the amount of adjustments for cash items made pursuant to </w:t>
      </w:r>
      <w:r>
        <w:rPr>
          <w:rFonts w:ascii="Times New Roman" w:cs="Times New Roman" w:eastAsia="Times New Roman" w:hAnsi="Times New Roman"/>
          <w:sz w:val="18"/>
          <w:szCs w:val="18"/>
          <w:u w:val="single" w:color="auto"/>
          <w:color w:val="auto"/>
        </w:rPr>
        <w:t>sub-clauses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(i) of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in any period shall not exceed 30% of the aggregate amount of Consolidated Adjusted EBITDA for such period (calculated prior to giving effect to such capped amount under such clauses)</w:t>
      </w:r>
      <w:r>
        <w:rPr>
          <w:rFonts w:ascii="Times New Roman" w:cs="Times New Roman" w:eastAsia="Times New Roman" w:hAnsi="Times New Roman"/>
          <w:sz w:val="18"/>
          <w:szCs w:val="18"/>
          <w:i w:val="1"/>
          <w:iCs w:val="1"/>
          <w:color w:val="auto"/>
        </w:rPr>
        <w:t>; plus</w:t>
      </w:r>
    </w:p>
    <w:p>
      <w:pPr>
        <w:spacing w:after="0" w:line="75" w:lineRule="exact"/>
        <w:rPr>
          <w:rFonts w:ascii="Times New Roman" w:cs="Times New Roman" w:eastAsia="Times New Roman" w:hAnsi="Times New Roman"/>
          <w:sz w:val="18"/>
          <w:szCs w:val="18"/>
          <w:color w:val="auto"/>
        </w:rPr>
      </w:pPr>
    </w:p>
    <w:p>
      <w:pPr>
        <w:ind w:right="140" w:firstLine="408"/>
        <w:spacing w:after="0" w:line="258" w:lineRule="auto"/>
        <w:tabs>
          <w:tab w:leader="none" w:pos="6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non-cash costs, charges or expenses relating to payments made to stock appreciation or similar rights, stock option, restricted stock, phantom equity, profits interests or other interests or rights holders of the Borrower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60" w:firstLine="408"/>
        <w:spacing w:after="0" w:line="261" w:lineRule="auto"/>
        <w:tabs>
          <w:tab w:leader="none" w:pos="6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recovery of the Borrower or any of its Restricted Subsidiaries on account of any litigation, arbitration or bona fide dispute (whether determined through settlement, arbitration, judicial adjudication or otherwise) and any recovery of the Borrower or any of its Restricted Subsidiaries arising under or in respect of surety or similar arrangements to the extent such amounts were actually received and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71" w:lineRule="exact"/>
        <w:rPr>
          <w:rFonts w:ascii="Times New Roman" w:cs="Times New Roman" w:eastAsia="Times New Roman" w:hAnsi="Times New Roman"/>
          <w:sz w:val="18"/>
          <w:szCs w:val="18"/>
          <w:color w:val="auto"/>
        </w:rPr>
      </w:pPr>
    </w:p>
    <w:p>
      <w:pPr>
        <w:ind w:right="140" w:firstLine="408"/>
        <w:spacing w:after="0" w:line="266" w:lineRule="auto"/>
        <w:tabs>
          <w:tab w:leader="none" w:pos="6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mark-to-market fair value adjustment to liability-classified warrants and any other similar liability-classified adjustments in respect of any warrants, options and similar arrangements in respect of Equity Interests of the Borrower, any Parent Entity or any of their Subsidiaries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jc w:val="both"/>
        <w:ind w:right="320" w:firstLine="408"/>
        <w:spacing w:after="0" w:line="266" w:lineRule="auto"/>
        <w:tabs>
          <w:tab w:leader="none" w:pos="7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adjustments to Consolidated Net Income included by the Borrower in calculating Consolidated Adjusted EBITDA for such period of a type reported in any public filing with the SEC, in each case, on a consolidated basis and consistent with applicable SEC guidelines regarding non-GAAP financial measures,</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20"/>
          </w:cols>
          <w:pgMar w:left="1420" w:top="270" w:right="459" w:bottom="1440" w:gutter="0" w:footer="0" w:header="0"/>
        </w:sectPr>
      </w:pPr>
    </w:p>
    <w:bookmarkStart w:id="290" w:name="page291"/>
    <w:bookmarkEnd w:id="290"/>
    <w:p>
      <w:pPr>
        <w:ind w:left="440" w:right="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decreased (without duplication) to the extent added back in or otherwise increasing Consolidated Net Income for such period, by non-cash items of such Person for such period, excluding any non-cash items to the extent they represent the reversal of an accrual or reserve for a potential cash item that reduced Consolidated Adjusted EBITDA in any prior period (other than non-cash gains relating to the application of Accounting Standards Codification Topic 842—Leases (or any successor provision or other financial accounting standard having a similar result or effect)).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“Consolidated Adjusted EBITDA” shall be calculated on a pro forma basis with such pro forma adjustments as are appropriate and consistent with the pro forma provisions set forth in the definition of “Fixed Charge Coverage Ratio” and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and to also give effect to (i) any acquisition of a Vessel (whether by out-right purchase thereof or by virtue of a merger of a company that is not the Borrower or a Restricted Subsidiary into the Borrower or a Restricted Subsidiary or acquisition by the Borrower or a Restricted Subsidiary of any other company that is not the Borrower or a Restricted Subsidiary (which acquisitions or mergers are not otherwise prohibited by this Agreement)), (ii) any acquisition or delivery of a newly constructed or converted Vessel of the Borrower or a Restricted Subsidiary (whether constructed or converted directly for the Borrower or a Restricted Subsidiary or constructed or converted for a third party and acquired by the Borrower or a Restricted Subsidiary within twelve (12) months after its delivery), or (iii) any reactivated Vessel that has been a Stacked Vessel for more than twelve months (including prior to the time of acquisition by the Borrower or any Restricted Subsidiary) (Vessels of the type described in </w:t>
      </w:r>
      <w:r>
        <w:rPr>
          <w:rFonts w:ascii="Times New Roman" w:cs="Times New Roman" w:eastAsia="Times New Roman" w:hAnsi="Times New Roman"/>
          <w:sz w:val="18"/>
          <w:szCs w:val="18"/>
          <w:u w:val="single" w:color="auto"/>
          <w:color w:val="auto"/>
        </w:rPr>
        <w:t>clauses (i) –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Specified Vessels</w:t>
      </w:r>
      <w:r>
        <w:rPr>
          <w:rFonts w:ascii="Times New Roman" w:cs="Times New Roman" w:eastAsia="Times New Roman" w:hAnsi="Times New Roman"/>
          <w:sz w:val="18"/>
          <w:szCs w:val="18"/>
          <w:color w:val="auto"/>
        </w:rPr>
        <w:t>”) (including, but not limited to, offshore supply vessels, offshore service vessels,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usable in the normal course of business of the Borrower or any of its Restricted Subsidiaries, that is (or are) subject to a Qualified Services Contract.</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paragraph, the amount of Consolidated Adjusted EBITDA attributable to such Specified Vessel (or Specified Vessels) shall be factually supportable and calculated in good faith by a responsible financial or accounting officer of the Borrower, and shall include in the calculation of the Consolidated Adjusted EBITDA the revenues to be earned pursuant to the Qualified Services Contract relating to such Specified Vessel (or Specified Vessels), taking into account, where applicable, only contractual minimum amounts (and not, for the avoidance of doubt, on an annualized or other extended basis in excess of the minimum contractual length), and the estimated expenses related thereto. Such estimated expenses shall be based on the expenses previously incurred by any reactivated Stacked Vessel or, in the case of a new Specified Vessel (or Specified Vessels), the expenses of the most nearly comparable vessel in the Borrower’s fleet or, if no such comparable vessel exists, then on the industry average for expenses of comparable vessels; provided</w:t>
      </w:r>
      <w:r>
        <w:rPr>
          <w:rFonts w:ascii="Times New Roman" w:cs="Times New Roman" w:eastAsia="Times New Roman" w:hAnsi="Times New Roman"/>
          <w:sz w:val="18"/>
          <w:szCs w:val="18"/>
          <w:i w:val="1"/>
          <w:iCs w:val="1"/>
          <w:color w:val="auto"/>
        </w:rPr>
        <w:t>, however,</w:t>
      </w:r>
      <w:r>
        <w:rPr>
          <w:rFonts w:ascii="Times New Roman" w:cs="Times New Roman" w:eastAsia="Times New Roman" w:hAnsi="Times New Roman"/>
          <w:sz w:val="18"/>
          <w:szCs w:val="18"/>
          <w:color w:val="auto"/>
        </w:rPr>
        <w:t xml:space="preserve"> in determining the estimated expenses attributable to such new Specified Vessel (or Specified Vessels), the calculation shall give effect to the interest expense attributable to the incurrence, assumption or guarantee of any Indebtedness relating to the construction, delivery, acquisition or reactivation of such new Specified Vessel (or Specified Vessels). Notwithstanding the foregoing, in any calculation of Consolidated Adjusted EBITDA based on this paragraph, the pro forma inclusion of Consolidated Adjusted EBITDA attributable to such Qualified Services Contract for the applicable period shall be reduced by the actual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91" w:name="page292"/>
    <w:bookmarkEnd w:id="29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Adjusted EBITDA from such new Specified Vessel (or Specified Vessels) previously earned and accounted for in the actual results for the applicable period. Any such adjustments pursuant to this paragraph shall be (x) reasonably acceptable to the Required Lenders (and deemed acceptable unless the Required Lenders, through the Administrative Agent, notify that the Borrower that such adjustments are not reasonable), (y) supported by delivery of an abstract of the relevant Qualified Services Contract, and (z) in the case of Qualified Services Contracts for Specified Vessels which are reactivated, off-set by any amounts included in Consolidated Adjusted EBITDA in respect of any Vessel taken off-contract which such Specified Vessel is replacing.</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trailing actual Consolidated Adjusted EBITDA is not available for a newly acquired Specified Vessel, when determining Consolidated Adjusted EBITDA for such Specified Vessel, the pro forma calculation for such Specified Vessel will be based on the reasonably anticipated actual number of days of employment for such Specified Vessel for the year after acquisition and other reference data provided by the chief financial officer of the Parent Entity acting in good faith to the reasonable satisfaction of the Administrative Agent, which may include revenues to be earned pursuant to any Qualified Service Contract in accordance with the preceding paragraph.</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All references to “Restricted Subsidiary” in this definition may apply equally to any existing, any newly created or any newly acquired Restricted Subsidiaries.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adjustments described in the foregoing five paragraphs shall be referred to herein as a “</w:t>
      </w:r>
      <w:r>
        <w:rPr>
          <w:rFonts w:ascii="Times New Roman" w:cs="Times New Roman" w:eastAsia="Times New Roman" w:hAnsi="Times New Roman"/>
          <w:sz w:val="18"/>
          <w:szCs w:val="18"/>
          <w:b w:val="1"/>
          <w:bCs w:val="1"/>
          <w:color w:val="auto"/>
        </w:rPr>
        <w:t>QSC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and Second Lien Debt</w:t>
      </w:r>
      <w:r>
        <w:rPr>
          <w:rFonts w:ascii="Times New Roman" w:cs="Times New Roman" w:eastAsia="Times New Roman" w:hAnsi="Times New Roman"/>
          <w:sz w:val="18"/>
          <w:szCs w:val="18"/>
          <w:color w:val="auto"/>
        </w:rPr>
        <w:t>” means, as of any date of determination, the amount of Consolidated Total Debt outstanding under the Facility and outstanding under any other Indebtedness (other than Intercompany Indebtedness) that is First Lien Debt or “second lien” Junior Lien Debt.</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without duplication, of (a) the consolidated interest expense of such Person and its Restricted Subsidiaries for such period, whether paid or accrued (including, without limitation, amortization of original issue discount, the interest component of any deferred payment obligations, the interest component of all payments associated with Capitalized Lease Obligations, commissions, discounts and other fees and charges incurred in respect of letter of credit or bankers’ acceptance financings, and net payments (if any) pursuant to Swap Obligations but excluding (i) amortization of debt issuance costs and (ii) any nonrecurring charges relating to any premium or penalty paid, write off of deferred finance costs or original issue discount or other charges in connection with redeeming or otherwise retiring any Indebtedness prior to its maturity date, to the extent that any of such nonrecurring charges constitute interest expense) and (b) the consolidated interest expense of such Person and its Restricted Subsidiaries that was capitalized during such period; provided that Consolidated Interest Expense shall exclude any interest that is paid-in-kind or is imputed non-cash interest expense in accordance with GAAP.</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70" w:right="539" w:bottom="1440" w:gutter="0" w:footer="0" w:header="0"/>
        </w:sectPr>
      </w:pPr>
    </w:p>
    <w:bookmarkStart w:id="292" w:name="page293"/>
    <w:bookmarkEnd w:id="292"/>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But excluding solely for purposes of determining “Fixed Charges”, for the avoidance of doubt, (i) amortization of deferred financing costs, debt issuance costs, commissions, fees and expenses and any other amounts of non-cash interest other than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Hedge Agreements,</w:t>
      </w:r>
    </w:p>
    <w:p>
      <w:pPr>
        <w:spacing w:after="0" w:line="3" w:lineRule="exact"/>
        <w:rPr>
          <w:sz w:val="20"/>
          <w:szCs w:val="20"/>
          <w:color w:val="auto"/>
        </w:rPr>
      </w:pPr>
    </w:p>
    <w:p>
      <w:pPr>
        <w:jc w:val="both"/>
        <w:ind w:left="440" w:right="100" w:hanging="4"/>
        <w:spacing w:after="0" w:line="265" w:lineRule="auto"/>
        <w:tabs>
          <w:tab w:leader="none" w:pos="74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commissions, discounts, yield, make whole premium and other fees and charges (including any interest expense) incurred in connection with any permitted receivables financing, (v) any “additional interest” owing pursuant to a registration rights agreement with respect to any securities,</w:t>
      </w:r>
    </w:p>
    <w:p>
      <w:pPr>
        <w:ind w:left="740" w:hanging="304"/>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with respect to make-whole premiums or other breakage costs of any Indebtedness, including any Indebtedness issued in</w:t>
      </w:r>
    </w:p>
    <w:p>
      <w:pPr>
        <w:spacing w:after="0" w:line="9"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the Transactions, (vii) penalties 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(xi) any interest expense attributable to the exercise of appraisal rights and the settlement of any claims or actions (whether actual, contingent or potential) with respect thereto and with respect to any acquisition or Investment permitted hereunder, all as calculated on a consolidated basis in accordance with GAAP and (xii) annual agency fees paid to any trustees, administrative agents, collateral trustees, and collateral agents with respect to any secured or unsecured loans, debt facilities, debentures, bonds, commercial paper facilities or other forms of Indebtedness (including any security or intercreditor arrangements related thereto). For the avoidance of doubt, interest expense shall be determined after giving effect to any net payments made or received by the Borrower and the Restricted Subsidiaries in respect of Hedge Agreements relating to interest rate protection.</w:t>
      </w:r>
    </w:p>
    <w:p>
      <w:pPr>
        <w:spacing w:after="0" w:line="18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Debt</w:t>
      </w:r>
      <w:r>
        <w:rPr>
          <w:rFonts w:ascii="Times New Roman" w:cs="Times New Roman" w:eastAsia="Times New Roman" w:hAnsi="Times New Roman"/>
          <w:sz w:val="18"/>
          <w:szCs w:val="18"/>
          <w:color w:val="auto"/>
        </w:rPr>
        <w:t xml:space="preserve">” means, as of any date of determination, (a) Consolidated Total Debt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is not Restricted in an amount not to exceed $25,000,000.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with respect to any Person for any period, the consolidated net income (or loss) of such Person and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determined in accordance with GAAP and before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9" w:lineRule="exact"/>
        <w:rPr>
          <w:sz w:val="20"/>
          <w:szCs w:val="20"/>
          <w:color w:val="auto"/>
        </w:rPr>
      </w:pPr>
    </w:p>
    <w:p>
      <w:pPr>
        <w:ind w:left="440" w:right="220" w:firstLine="419"/>
        <w:spacing w:after="0" w:line="266" w:lineRule="auto"/>
        <w:tabs>
          <w:tab w:leader="none" w:pos="11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(but not loss) of any Person that is not a Restricted Subsidiary or that is accounted for by the equity method of accounting shall be included only to the extent of the amount of dividends or distributions paid in cash to the referent Person or a Restricted Subsidiary thereof,</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the amount of dividends or distributions paid to Restricted Subsidiaries which are Guarantors, the Net Income of any Restricted Subsidiary which is not a Guarantor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93" w:name="page294"/>
    <w:bookmarkEnd w:id="293"/>
    <w:p>
      <w:pPr>
        <w:ind w:left="440" w:right="120" w:firstLine="419"/>
        <w:spacing w:after="0" w:line="282"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losses and gains under derivative instruments included in the determination of Consolidated Net Income, including, without limitation those resulting from the application of FASB ASC Topic No. 815, Derivatives and Hedging, shall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the extinguishment, conversion, modification or cancellation of Indebtedness, Swap Obligations or other derivative instruments (including deferred financing costs written off, premiums paid or other expenses incurred) shall be excluded,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 or loss resulting in such period from currency translation increases or decreases or transaction gains or losses and any other realized or unrealized foreign exchange gains or losses relating to the translation of assets and liabilities denominated in foreign currencies shall be excluded;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 and (ii) gains, losses or charges arising from Accounting Standards Codification Topic 820—Fair Value Measurements and Disclosures shall be excluded, and</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extraordinary, non-recurring, unusual or infrequent items shall be excluded (other than any gains or losses from dispositions of property or assets in the ordinary course of business (it being acknowledged and agreed that sales of Vessels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of this Agreement are in the ordinary course of business)).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notwithstanding the preceding, (a) there shall be excluded from Consolidated Net Income any nonrecurring charges relating to any premium or penalty paid, write off of deferred finance costs or original issue discount or other charges in connection with redeeming or otherwise retiring any Indebtedness prior to its stated maturity and (b)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there exists reasonable evidence that such amount will in fact be reimbursed within 365 days of the date of such evidence (including that such counterparty has not denied reimbursement or indemnification) (net of any amount so added back in a prior period to</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294" w:name="page295"/>
    <w:bookmarkEnd w:id="29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extent not so reimbursed within the applicable 365-day period) and (ii) to the extent covered by insurance (including business interruption insurance) and actually reimbursed, or, so long as the Borrower has made a determination that there exists reasonable evidence that such amount will in fact be reimbursed by the insurer (including that the insurer has not denied reimbursement of such amounts)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w:t>
      </w:r>
    </w:p>
    <w:p>
      <w:pPr>
        <w:spacing w:after="0" w:line="17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with respect to any Person as of any date, the sum of the amounts that would appear on a consolidated balance sheet of such Person and its consolidated Restricted Subsidiaries as the total assets of such Person and its consolidated Restricted Subsidiaries, determined on a consolidated basis in accordance with GAAP and after deducting therefrom, (a) to the extent otherwise included, unamortized debt discount and expenses and other unamortized deferred charges, goodwill, patents, trademarks, service marks, trade names, copyrights, licenses, organization or development expenses, right of use assets and other intangible items and (b) the aggregate amount of liabilities of such Person and its Restricted Subsidiaries that may be properly classified as current liabilities (including tax accrued as estimated), determined on a consolidated basis in accordance with GAAP.</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Net Debt</w:t>
      </w:r>
      <w:r>
        <w:rPr>
          <w:rFonts w:ascii="Times New Roman" w:cs="Times New Roman" w:eastAsia="Times New Roman" w:hAnsi="Times New Roman"/>
          <w:sz w:val="18"/>
          <w:szCs w:val="18"/>
          <w:color w:val="auto"/>
        </w:rPr>
        <w:t>” means, as of any date of determination, (a) (i) Consolidated Total Debt outstanding under the Facilities,</w:t>
      </w:r>
    </w:p>
    <w:p>
      <w:pPr>
        <w:spacing w:after="0" w:line="31" w:lineRule="exact"/>
        <w:rPr>
          <w:sz w:val="20"/>
          <w:szCs w:val="20"/>
          <w:color w:val="auto"/>
        </w:rPr>
      </w:pPr>
    </w:p>
    <w:p>
      <w:pPr>
        <w:ind w:left="4" w:right="20" w:hanging="4"/>
        <w:spacing w:after="0" w:line="253" w:lineRule="auto"/>
        <w:tabs>
          <w:tab w:leader="none" w:pos="26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Total Debt constituting secured Refinancing Indebtedness in respect of the foregoing that is outstanding at such time and (iii) any other Consolidated Total Debt outstanding at such time that is secured by a Lien on the Collateral,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 is not Restricted and (ii) from and after the Initial Funding Date, is held in a bank account meeting the requirements of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of any date of determination, the aggregate outstanding principal amount of Indebtedness (other than Intercompany Indebtedness) of the Borrower and the Restricted Subsidiaries on such date, determined on a consolidated basis and as reflected on the face of a balance sheet prepared in accordance with GAAP (but excluding the effects of the application of purchase accounting in connection with the Transactions, any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or debentures;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Consolidated Total Debt will not include Indebtedness in respect of (a) any Qualified Securitization Financing, (b) any letter of credit, except to the extent of unreimbursed obligations in respect of drawn letters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 (c) obligations under Hedge Agreements, (d) customary purchase money obligations incurred in the ordinary course, trade payable and earn outs and similar obligations except to the extent owing and not paid, (e) Indebtedness to the extent it has been cash collateralized, and (f) any lease obligations other than in respect of Capitalized Leases.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95" w:name="page296"/>
    <w:bookmarkEnd w:id="295"/>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including any obligation of such Person, whether or not contingent:</w:t>
      </w:r>
    </w:p>
    <w:p>
      <w:pPr>
        <w:spacing w:after="0" w:line="67" w:lineRule="exact"/>
        <w:rPr>
          <w:sz w:val="20"/>
          <w:szCs w:val="20"/>
          <w:color w:val="auto"/>
        </w:rPr>
      </w:pPr>
    </w:p>
    <w:p>
      <w:pPr>
        <w:ind w:left="1120" w:hanging="261"/>
        <w:spacing w:after="0"/>
        <w:tabs>
          <w:tab w:leader="none" w:pos="11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any such primary obligation or any property constituting direct or indirect security therefor;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working capital or equity capital of the primary obligor or otherwise to maintain the net worth or solvency of the primary obligor; or</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the meaning specified in the definition of “Affiliate.”</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xml:space="preserve">” means (a) with respect to accounts governed by U.S. law, an agreement, in form and substance satisfactory to the Administrative Agent and the Collateral Agent, which provides for the Collateral Agent to have with respect to accounts governed by U.S. law, “control” (as defined in Section 9-104 of the Uniform Commercial Code of the State of New York or Section 8-106 of the Uniform Commercial Code of the State of New York, as applicable) of Deposit Accounts or Securities Accounts, as applicable and (b) with respect to accounts governed by the law of any other jurisdiction, a customary “control agreement” for such jurisdiction in form and substance satisfactory to the Administrative Agent and the Collateral Agent (it being agreed and understood that no Loan Document requires a “control agreement” of the type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Affiliate(s)</w:t>
      </w:r>
      <w:r>
        <w:rPr>
          <w:rFonts w:ascii="Times New Roman" w:cs="Times New Roman" w:eastAsia="Times New Roman" w:hAnsi="Times New Roman"/>
          <w:sz w:val="18"/>
          <w:szCs w:val="18"/>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its Subsidiaries any Parent Entity and/or other companies.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w:t>
      </w:r>
      <w:r>
        <w:rPr>
          <w:rFonts w:ascii="Times New Roman" w:cs="Times New Roman" w:eastAsia="Times New Roman" w:hAnsi="Times New Roman"/>
          <w:sz w:val="18"/>
          <w:szCs w:val="18"/>
          <w:color w:val="auto"/>
        </w:rPr>
        <w:t>” has the meaning specified in the definition of “Permitted Payment.”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Conversion/Continuation Notice</w:t>
      </w:r>
      <w:r>
        <w:rPr>
          <w:rFonts w:ascii="Times New Roman" w:cs="Times New Roman" w:eastAsia="Times New Roman" w:hAnsi="Times New Roman"/>
          <w:sz w:val="18"/>
          <w:szCs w:val="18"/>
          <w:color w:val="auto"/>
        </w:rPr>
        <w:t xml:space="preserve">” means a written notice of (a) a conversion of Loans from one Type to another or (b) a continuation of SOFR Rate Loans,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296" w:name="page297"/>
    <w:bookmarkEnd w:id="296"/>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100" w:hanging="241"/>
        <w:spacing w:after="0"/>
        <w:tabs>
          <w:tab w:leader="none" w:pos="11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Representative</w:t>
      </w:r>
      <w:r>
        <w:rPr>
          <w:rFonts w:ascii="Times New Roman" w:cs="Times New Roman" w:eastAsia="Times New Roman" w:hAnsi="Times New Roman"/>
          <w:sz w:val="18"/>
          <w:szCs w:val="18"/>
          <w:color w:val="auto"/>
        </w:rPr>
        <w:t xml:space="preserve">” means, with respect to any series of Indebtedness secured by a Lien permitted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Permitted Pari Passu Secured Refinancing Debt or Permitted Junior Secured Refinancing Debt, the trustee, administrative agent, collateral trustee, collateral agent, security agent or similar agent under the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U.S.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means an interest rate equal to (a) the Base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Applicable Rate applicable to Base Rate Loans that are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in each case, to the fullest extent permitted by applicable Laws.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66" w:right="519" w:bottom="1440" w:gutter="0" w:footer="0" w:header="0"/>
        </w:sectPr>
      </w:pPr>
    </w:p>
    <w:bookmarkStart w:id="297" w:name="page298"/>
    <w:bookmarkEnd w:id="297"/>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 Rights</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any Lender that,</w:t>
      </w:r>
    </w:p>
    <w:p>
      <w:pPr>
        <w:spacing w:after="0" w:line="121" w:lineRule="exact"/>
        <w:rPr>
          <w:sz w:val="20"/>
          <w:szCs w:val="20"/>
          <w:color w:val="auto"/>
        </w:rPr>
      </w:pPr>
    </w:p>
    <w:p>
      <w:pPr>
        <w:ind w:left="440" w:firstLine="419"/>
        <w:spacing w:after="0" w:line="253"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(i) fund all or any portion of its Loans, including participations in respect of Letters of Credit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Issuing Banks or any other Lender any other amount required to be paid by it hereunder (including in respect of its participation in Letters of Credit) within two Business Days of the date when due, (b) has notified the Borrower, the Administrative Agent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86"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within three Business Days after written request by the Administrative Agent or the Borrower, to confirm in writing to the Administrative Agent and such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upon receipt of such written confirmation by the Administrative Agent and such Borrower), or</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provincial or territorial regulatory authority acting in such a capacity or the like has been appointed for such Lender or its direct or indirect parent company, or such Lender or its direct or indirect parent company has taken any action in furtherance of or indicating its consent to or acquiescence in any such proceeding or appointment or (iii) become the subject of a Bail-In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298" w:name="page299"/>
    <w:bookmarkEnd w:id="298"/>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determination by the Administrative Agent that a Lender is a Defaulting Lender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shall be conclusive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upon delivery of written notice of such determination to the Borrower, the Issuing Banks and each Lender.</w:t>
      </w:r>
    </w:p>
    <w:p>
      <w:pPr>
        <w:spacing w:after="0" w:line="172"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 Obligation</w:t>
      </w:r>
      <w:r>
        <w:rPr>
          <w:rFonts w:ascii="Times New Roman" w:cs="Times New Roman" w:eastAsia="Times New Roman" w:hAnsi="Times New Roman"/>
          <w:sz w:val="18"/>
          <w:szCs w:val="18"/>
          <w:color w:val="auto"/>
        </w:rPr>
        <w:t>” means each obligation of the Loan Parties that would constitute a “Deliverable Obligation” under a market standard credit default swap transaction documented under the ISDA CDS Definitions and specifying any of the Loan Parties as a Reference Entity. Each capitalized term used but not defined in the preceding sentence has the meaning specified in the ISDA CDS Definitions.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has the meaning specified in the Uniform Commercial Code.</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xml:space="preserve">”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“Derivative Instrument” will not include any contract or instrument that is entered into pursuant to bona fide market-making activities.</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of any non-cash consideration received by the Borrower or a Restricted Subsidiary in connection with a Disposition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that is designated as Designated Non-Cash Consideration pursuant to a certificate of a Responsible Officer, setting forth in reasonable detail the basis of such valuation (which (i) certificate shall conclusively establish such value absent manifest error and (ii) amount will be reduced by the Fair Market Value of the portion of the non-cash consideration converted to cash following the consummation of the applicable Disposition).</w:t>
      </w:r>
    </w:p>
    <w:p>
      <w:pPr>
        <w:spacing w:after="0" w:line="179"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Equity Interests of the Borrower or any Parent Entity or any options, warrants or other rights in respect of such Equity Interests.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440" w:right="40" w:firstLine="419"/>
        <w:spacing w:after="0" w:line="266" w:lineRule="auto"/>
        <w:tabs>
          <w:tab w:leader="none" w:pos="11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conveyance, transfer or other disposition, whether in a single transaction or a series of related transactions, of property or assets (including by way of a Sale Leaseback Transaction) of the Borrower or any of its Restricted Subsidiaries (in each case other than Equity Interests of the Borrower); or</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or sale of Equity Interests of any Restricted Subsidiary (other than preferred stock or Disqualified Equity Interests of Restricted Subsidiaries issued in compliance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directors’ qualifying shares and shares issued to foreign nationals as required under applicable law), whether in a single transaction or a series of related transactions;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other than:</w:t>
      </w:r>
    </w:p>
    <w:p>
      <w:pPr>
        <w:spacing w:after="0" w:line="117" w:lineRule="exact"/>
        <w:rPr>
          <w:sz w:val="20"/>
          <w:szCs w:val="20"/>
          <w:color w:val="auto"/>
        </w:rPr>
      </w:pPr>
    </w:p>
    <w:p>
      <w:pPr>
        <w:ind w:right="840" w:firstLine="419"/>
        <w:spacing w:after="0" w:line="282"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the Borrower or a Restricted Subsidiary to the Borrower or a Restricted Subsidiary, including pursuant to any Intercompany License Agreement;</w:t>
      </w:r>
    </w:p>
    <w:p>
      <w:pPr>
        <w:spacing w:after="0" w:line="53" w:lineRule="exact"/>
        <w:rPr>
          <w:rFonts w:ascii="Times New Roman" w:cs="Times New Roman" w:eastAsia="Times New Roman" w:hAnsi="Times New Roman"/>
          <w:sz w:val="18"/>
          <w:szCs w:val="18"/>
          <w:color w:val="auto"/>
        </w:rPr>
      </w:pPr>
    </w:p>
    <w:p>
      <w:pPr>
        <w:ind w:right="460" w:firstLine="419"/>
        <w:spacing w:after="0" w:line="282"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cash, Cash Equivalents or Investment Grade Securities, including any marketable securities portfolio owned by the Borrower and its Subsidiaries on the Closing Date;</w:t>
      </w:r>
    </w:p>
    <w:p>
      <w:pPr>
        <w:spacing w:after="0" w:line="53" w:lineRule="exact"/>
        <w:rPr>
          <w:rFonts w:ascii="Times New Roman" w:cs="Times New Roman" w:eastAsia="Times New Roman" w:hAnsi="Times New Roman"/>
          <w:sz w:val="18"/>
          <w:szCs w:val="18"/>
          <w:color w:val="auto"/>
        </w:rPr>
      </w:pPr>
    </w:p>
    <w:p>
      <w:pPr>
        <w:ind w:right="160" w:firstLine="419"/>
        <w:spacing w:after="0" w:line="266"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obsolete, worn-out, uneconomic, damaged, non-core or surplus property, equipment or other assets or property, equipment or other assets that are no longer economically practical or commercially desirable to maintain or used or useful in the business of the Borrower and its Restricted Subsidiaries whether now or hereafter owned or leased or acquired in connection with an acquisition or used or useful in the conduct of the business of the Borrower and its Restricted Subsidiaries (including by ceasing to enforce, allowing the lapse, abandonment or invalidation of or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its reasonable judgment that such action or inaction is desirable);</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governed by and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a transaction that constitutes a Change of Control;</w:t>
      </w:r>
    </w:p>
    <w:p>
      <w:pPr>
        <w:spacing w:after="0" w:line="117"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a Restricted Subsidiary to the Borrower or to another Restricted Subsidiary or as part of or pursuant to an equity incentive or compensation plan approved by the Board of Directors of the Borrower;</w:t>
      </w:r>
    </w:p>
    <w:p>
      <w:pPr>
        <w:spacing w:after="0" w:line="53" w:lineRule="exact"/>
        <w:rPr>
          <w:rFonts w:ascii="Times New Roman" w:cs="Times New Roman" w:eastAsia="Times New Roman" w:hAnsi="Times New Roman"/>
          <w:sz w:val="18"/>
          <w:szCs w:val="18"/>
          <w:color w:val="auto"/>
        </w:rPr>
      </w:pPr>
    </w:p>
    <w:p>
      <w:pPr>
        <w:ind w:right="140" w:firstLine="419"/>
        <w:spacing w:after="0" w:line="289" w:lineRule="auto"/>
        <w:tabs>
          <w:tab w:leader="none" w:pos="67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dispositions of Equity Interests, properties or assets in a single transaction or series of related transactions with a Fair Market Value (as determined in good faith by the Borrower) of less than the greater of $25.0 million and 3.0% of the Borrower’s Consolidated Net Tangible Assets determined as of the end of the Borrower’s most recently completed fiscal quarter for which internal financial statements are available;</w:t>
      </w:r>
    </w:p>
    <w:p>
      <w:pPr>
        <w:spacing w:after="0" w:line="49" w:lineRule="exact"/>
        <w:rPr>
          <w:rFonts w:ascii="Times New Roman" w:cs="Times New Roman" w:eastAsia="Times New Roman" w:hAnsi="Times New Roman"/>
          <w:sz w:val="17"/>
          <w:szCs w:val="17"/>
          <w:color w:val="auto"/>
        </w:rPr>
      </w:pPr>
    </w:p>
    <w:p>
      <w:pPr>
        <w:ind w:right="200" w:firstLine="419"/>
        <w:spacing w:after="0" w:line="282" w:lineRule="auto"/>
        <w:tabs>
          <w:tab w:leader="none" w:pos="6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that is permitted to be made, and is made,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the making of any Permitted Payment, Permitted Investment or asset sales;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00" w:name="page301"/>
    <w:bookmarkEnd w:id="300"/>
    <w:p>
      <w:pPr>
        <w:ind w:left="680" w:hanging="261"/>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in connection with Permitted Liens, Permitted Intercompany Activities and related transactions;</w:t>
      </w:r>
    </w:p>
    <w:p>
      <w:pPr>
        <w:spacing w:after="0" w:line="117" w:lineRule="exact"/>
        <w:rPr>
          <w:rFonts w:ascii="Times New Roman" w:cs="Times New Roman" w:eastAsia="Times New Roman" w:hAnsi="Times New Roman"/>
          <w:sz w:val="18"/>
          <w:szCs w:val="18"/>
          <w:color w:val="auto"/>
        </w:rPr>
      </w:pPr>
    </w:p>
    <w:p>
      <w:pPr>
        <w:ind w:right="300" w:firstLine="419"/>
        <w:spacing w:after="0" w:line="282"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6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spacing w:after="0" w:line="71"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license, sublease or sublicense of any real or personal property in the ordinary course of business or consistent with industry practice;</w:t>
      </w:r>
    </w:p>
    <w:p>
      <w:pPr>
        <w:spacing w:after="0" w:line="53" w:lineRule="exact"/>
        <w:rPr>
          <w:rFonts w:ascii="Times New Roman" w:cs="Times New Roman" w:eastAsia="Times New Roman" w:hAnsi="Times New Roman"/>
          <w:sz w:val="18"/>
          <w:szCs w:val="18"/>
          <w:color w:val="auto"/>
        </w:rPr>
      </w:pPr>
    </w:p>
    <w:p>
      <w:pPr>
        <w:ind w:right="300" w:firstLine="419"/>
        <w:spacing w:after="0" w:line="282"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condemnation, expropriation, forced disposition or any similar action with respect to any property or other assets or the granting of Liens not prohibited by this Agreement;</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spacing w:after="0" w:line="67" w:lineRule="exact"/>
        <w:rPr>
          <w:rFonts w:ascii="Times New Roman" w:cs="Times New Roman" w:eastAsia="Times New Roman" w:hAnsi="Times New Roman"/>
          <w:sz w:val="18"/>
          <w:szCs w:val="18"/>
          <w:color w:val="auto"/>
        </w:rPr>
      </w:pPr>
    </w:p>
    <w:p>
      <w:pPr>
        <w:ind w:right="100" w:firstLine="419"/>
        <w:spacing w:after="0" w:line="282"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Equity Interests in, or Indebtedness or other securities of, an Unrestricted Subsidiary or any other disposition of Equity Interests, Indebtedness or other securities of an Unrestricted Subsidiary;</w:t>
      </w:r>
    </w:p>
    <w:p>
      <w:pPr>
        <w:spacing w:after="0" w:line="53" w:lineRule="exact"/>
        <w:rPr>
          <w:rFonts w:ascii="Times New Roman" w:cs="Times New Roman" w:eastAsia="Times New Roman" w:hAnsi="Times New Roman"/>
          <w:sz w:val="18"/>
          <w:szCs w:val="18"/>
          <w:color w:val="auto"/>
        </w:rPr>
      </w:pPr>
    </w:p>
    <w:p>
      <w:pPr>
        <w:jc w:val="both"/>
        <w:ind w:firstLine="419"/>
        <w:spacing w:after="0" w:line="261"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71" w:lineRule="exact"/>
        <w:rPr>
          <w:rFonts w:ascii="Times New Roman" w:cs="Times New Roman" w:eastAsia="Times New Roman" w:hAnsi="Times New Roman"/>
          <w:sz w:val="18"/>
          <w:szCs w:val="18"/>
          <w:color w:val="auto"/>
        </w:rPr>
      </w:pPr>
    </w:p>
    <w:p>
      <w:pPr>
        <w:ind w:right="180" w:firstLine="419"/>
        <w:spacing w:after="0" w:line="258"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w:t>
      </w:r>
    </w:p>
    <w:p>
      <w:pPr>
        <w:spacing w:after="0" w:line="75"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Securitization Assets or Receivables Assets, or participations therein, in connection with any Qualified Securitization Financing or Receivables Facility, or the disposition of an account receivable in connection with the collection or compromise thereof in the ordinary course of business or consistent with past practice;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01" w:name="page302"/>
    <w:bookmarkEnd w:id="301"/>
    <w:p>
      <w:pPr>
        <w:ind w:firstLine="419"/>
        <w:spacing w:after="0" w:line="261"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Leaseback Transactions and asset securitizations, not prohibited by this Agreement;</w:t>
      </w:r>
    </w:p>
    <w:p>
      <w:pPr>
        <w:spacing w:after="0" w:line="71" w:lineRule="exact"/>
        <w:rPr>
          <w:rFonts w:ascii="Times New Roman" w:cs="Times New Roman" w:eastAsia="Times New Roman" w:hAnsi="Times New Roman"/>
          <w:sz w:val="18"/>
          <w:szCs w:val="18"/>
          <w:color w:val="auto"/>
        </w:rPr>
      </w:pPr>
    </w:p>
    <w:p>
      <w:pPr>
        <w:ind w:right="260" w:firstLine="419"/>
        <w:spacing w:after="0" w:line="282"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transfers or other dispositions of Investments in joint ventures or similar entities to the extent required by, or made pursuant to customary buy/sell arrangements between, the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surrender or waiver of contractual, tort, litigation or other claims of any kind;</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Cash Management Obligations or Hedge Agreements;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or assets subject to Casualty Events upon receipt of the net proceeds of such Casualty Event;</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to a Captive Insurance Subsidiary;</w:t>
      </w:r>
    </w:p>
    <w:p>
      <w:pPr>
        <w:spacing w:after="0" w:line="117" w:lineRule="exact"/>
        <w:rPr>
          <w:rFonts w:ascii="Times New Roman" w:cs="Times New Roman" w:eastAsia="Times New Roman" w:hAnsi="Times New Roman"/>
          <w:sz w:val="18"/>
          <w:szCs w:val="18"/>
          <w:color w:val="auto"/>
        </w:rPr>
      </w:pPr>
    </w:p>
    <w:p>
      <w:pPr>
        <w:ind w:right="60" w:firstLine="419"/>
        <w:spacing w:after="0" w:line="289" w:lineRule="auto"/>
        <w:tabs>
          <w:tab w:leader="none" w:pos="76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disposition of any assets (including Equity Interests) (i) acquired in a transaction after the Closing Date, which assets are not useful in the core or principal business of the Borrower and its Restricted Subsidiaries, or (ii) made in connection with the approval of any applicable antitrust authority or otherwise necessary or advisable in the reasonable determination of the Borrower to consummate any acquisition;</w:t>
      </w:r>
    </w:p>
    <w:p>
      <w:pPr>
        <w:spacing w:after="0" w:line="49" w:lineRule="exact"/>
        <w:rPr>
          <w:rFonts w:ascii="Times New Roman" w:cs="Times New Roman" w:eastAsia="Times New Roman" w:hAnsi="Times New Roman"/>
          <w:sz w:val="17"/>
          <w:szCs w:val="17"/>
          <w:color w:val="auto"/>
        </w:rPr>
      </w:pPr>
    </w:p>
    <w:p>
      <w:pPr>
        <w:ind w:right="60" w:firstLine="419"/>
        <w:spacing w:after="0" w:line="261"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charter or lease of any equipment or other properties or assets entered into in the ordinary course of business and with respect to which the Borrower or any of its Restricted Subsidiaries is the lessor or Person granting the charter, except any such charter or lease that provides for the acquisition of such properties or assets by the lessee during or at the end of the term thereof for an amount that is less than the Fair Market Value thereof at the time the right to acquire such properties or assets occurs;</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conveyance or other disposition of any property or assets other than the Collateral; and</w:t>
      </w:r>
    </w:p>
    <w:p>
      <w:pPr>
        <w:spacing w:after="0" w:line="117" w:lineRule="exact"/>
        <w:rPr>
          <w:rFonts w:ascii="Times New Roman" w:cs="Times New Roman" w:eastAsia="Times New Roman" w:hAnsi="Times New Roman"/>
          <w:sz w:val="18"/>
          <w:szCs w:val="18"/>
          <w:color w:val="auto"/>
        </w:rPr>
      </w:pPr>
    </w:p>
    <w:p>
      <w:pPr>
        <w:ind w:right="300" w:firstLine="419"/>
        <w:spacing w:after="0" w:line="282" w:lineRule="auto"/>
        <w:tabs>
          <w:tab w:leader="none" w:pos="7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non-revenue producing assets to a Person who is providing services related to such assets, the provision of which have been or are to be outsourced by the Borrower or any Restricted Subsidiary to such Person.</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40"/>
          </w:cols>
          <w:pgMar w:left="880" w:top="270" w:right="479" w:bottom="1440" w:gutter="0" w:footer="0" w:header="0"/>
        </w:sectPr>
      </w:pPr>
    </w:p>
    <w:bookmarkStart w:id="302" w:name="page303"/>
    <w:bookmarkEnd w:id="30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 transaction (or any portion thereof) meets the criteria of a permitted Disposition and would also be a Permitted Investment or an Investment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the Borrower, in its sole discretion, will be entitled to divide and classify such transaction (or a portion thereof) as a Disposition and/or one or more of the types of Permitted Investments or Investments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For the avoidance of doubt, the entry into a Hedge Agreement (including any call, capped call or warrant transaction) any settlement, unwind or termination thereof shall not constitute a Disposition.</w:t>
      </w:r>
    </w:p>
    <w:p>
      <w:pPr>
        <w:spacing w:after="0" w:line="179"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w:t>
      </w:r>
      <w:r>
        <w:rPr>
          <w:rFonts w:ascii="Times New Roman" w:cs="Times New Roman" w:eastAsia="Times New Roman" w:hAnsi="Times New Roman"/>
          <w:sz w:val="18"/>
          <w:szCs w:val="18"/>
          <w:color w:val="auto"/>
        </w:rPr>
        <w:t>” means, with respect to any Person, any Equity Interests of such Person which by its terms (or by the terms of any security into which it is convertible or for which it is exchangeable) or upon the happening of any event:</w:t>
      </w:r>
    </w:p>
    <w:p>
      <w:pPr>
        <w:spacing w:after="0" w:line="51" w:lineRule="exact"/>
        <w:rPr>
          <w:sz w:val="20"/>
          <w:szCs w:val="20"/>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for cash or in exchange for Indebtedness pursuant to a sinking fund obligation or otherwise; 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become (in accordance with its terms) upon the occurrence of certain events or otherwise redeemable or repurchasable for cash or in exchange for Indebtedness at the option of the holder of the Equity Interests in whole or in part,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each case on or prior to the earlier of (a) the Latest Maturity Date of the Loans or (b) the date on which there are no Loans or Obligations outstanding; provided, however, that (i) only the portion of Equity Interests which so matures or is mandatorily redeemable, is so convertible or exchangeable or is so redeemable at the option of the holder thereof prior to such date will be deemed to be Disqualified Equity Interests and (ii) any Equity Interests that would constitute Disqualified Equity Interests solely because the holders thereof have the right to require the Borrower to repurchase such Equity Interests upon the occurrence of a change of control or asset sale (howsoever defined or referred to) shall not constitute Disqualified Equity Interests if any such redemption or repurchase obligation is subject to compliance by the relevant Person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provided, however, that if such Equity Interests are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Borrower, any of its Subsidiaries, any Parent Entity or any other entity in which the Borrower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Borrower or its Subsidiaries or by any such plan to such employees (or their respective Controlled Investment Affiliates or Immediate Family Members), such Equity Interests shall not constitute Disqualified Equity Interests solely because it may be required to be repurchased by the Borrower or its Subsidiaries in order to satisfy applicable statutory or regulatory obligations.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380" w:firstLine="419"/>
        <w:spacing w:after="0" w:line="266" w:lineRule="auto"/>
        <w:tabs>
          <w:tab w:leader="none" w:pos="110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competitors of the Borrower and their Subsidiaries identified in writing by or on behalf of the Borrower (i) to the Administrative Agent on or prior to the Closing Date and (ii) to the Administrative Agent from time to time on or after the Closing Date subject to the Administrative Agent’s consent (such consent not to be unreasonably withheld, conditioned or delayed);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03" w:name="page304"/>
    <w:bookmarkEnd w:id="303"/>
    <w:p>
      <w:pPr>
        <w:ind w:left="440" w:firstLine="419"/>
        <w:spacing w:after="0" w:line="261" w:lineRule="auto"/>
        <w:tabs>
          <w:tab w:leader="none" w:pos="11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Persons that are engaged as principals primarily in private equity, mezzanine financing or venture capital and (ii) those particular banks, financial institutions, other institutional lenders and other Persons,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identified in writing by or on behalf of the Borrower to the Administrative Agent on or prior to the Closing Date or after the Closing Date subject to the Administrative Agent’s consent (such consent not to be unreasonably withheld, conditioned or delayed);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Affiliate of the Persons described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each case, other than any Affiliates that are banks, financial institutions,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debt funds or investment vehicles that are engaged in making, purchasing, holding or otherwise investing in commercial loans, bonds and similar extensions of credit in the ordinary course (except to the extent separately identified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in each case, that are either reasonably identifiable as such on the basis of their name or are identified as such in writing by or on behalf of the Borrower (i) to the Administrative Agent on or prior to the Closing Date, or (ii) to the Administrative Agent from time to time on or after the Closing Date; and</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with respect to any action (or proposed action) in connection with which, a Net Short Representation is required to be made (or deemed made) hereunder, any Lender (or prospective Lender) that has breached its Net Short Representation at such time or in connection with such action (or proposed action).</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any Persons identified as Disqualified Lenders on or after the Closing Date shall be added to the list of Disqualified Lenders, and such designation as a Disqualified Lender will take effect, three (3) Business Days after such designation or identification is made in writing and received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transfer is made in anticipation of such designation or otherwise in bad faith by any Lender or Participant during such three (3) Business Day period, such transaction shall be subject to the applicable provisions of </w:t>
      </w:r>
      <w:r>
        <w:rPr>
          <w:rFonts w:ascii="Times New Roman" w:cs="Times New Roman" w:eastAsia="Times New Roman" w:hAnsi="Times New Roman"/>
          <w:sz w:val="18"/>
          <w:szCs w:val="18"/>
          <w:u w:val="single" w:color="auto"/>
          <w:color w:val="auto"/>
        </w:rPr>
        <w:t>Section 11.29(a)</w:t>
      </w:r>
      <w:r>
        <w:rPr>
          <w:rFonts w:ascii="Times New Roman" w:cs="Times New Roman" w:eastAsia="Times New Roman" w:hAnsi="Times New Roman"/>
          <w:sz w:val="18"/>
          <w:szCs w:val="18"/>
          <w:color w:val="auto"/>
        </w:rPr>
        <w:t xml:space="preserve"> (and the Borrower shall be entitled to seek specific performance in any applicable court of law or equity to enforce this sentence). The Administrative Agent shall make the list of Disqualified Lenders available to any Lender, Participant or prospective Lender or Participant upon request by such Lender, Participant or prospective Lender or Participant;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Participant or prospective Lender or Participant shall only make such request, to the extent and only to the extent, necessary to determine whether a proposed assignment, participation or disclosure of Information is permitted.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DNB</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Amount</w:t>
      </w:r>
      <w:r>
        <w:rPr>
          <w:rFonts w:ascii="Times New Roman" w:cs="Times New Roman" w:eastAsia="Times New Roman" w:hAnsi="Times New Roman"/>
          <w:sz w:val="18"/>
          <w:szCs w:val="18"/>
          <w:color w:val="auto"/>
        </w:rPr>
        <w:t>” means, at any time:</w:t>
      </w:r>
    </w:p>
    <w:p>
      <w:pPr>
        <w:spacing w:after="0" w:line="121" w:lineRule="exact"/>
        <w:rPr>
          <w:sz w:val="20"/>
          <w:szCs w:val="20"/>
          <w:color w:val="auto"/>
        </w:rPr>
      </w:pPr>
    </w:p>
    <w:p>
      <w:pPr>
        <w:ind w:left="5420" w:right="40" w:hanging="4561"/>
        <w:spacing w:after="0" w:line="454" w:lineRule="auto"/>
        <w:tabs>
          <w:tab w:leader="none" w:pos="111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denominated in Dollars, the principal amount thereof then outstanding (or in which such participation is held); 34</w:t>
      </w:r>
    </w:p>
    <w:p>
      <w:pPr>
        <w:sectPr>
          <w:pgSz w:w="11900" w:h="16838" w:orient="portrait"/>
          <w:cols w:equalWidth="0" w:num="1">
            <w:col w:w="10920"/>
          </w:cols>
          <w:pgMar w:left="440" w:top="270" w:right="539" w:bottom="1440" w:gutter="0" w:footer="0" w:header="0"/>
        </w:sectPr>
      </w:pPr>
    </w:p>
    <w:bookmarkStart w:id="304" w:name="page305"/>
    <w:bookmarkEnd w:id="304"/>
    <w:p>
      <w:pPr>
        <w:ind w:left="1124" w:hanging="261"/>
        <w:spacing w:after="0"/>
        <w:tabs>
          <w:tab w:leader="none" w:pos="112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Letter of Credit Obligation (or any risk participation therein), the amount thereof; and</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1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amount (i) if denominated in Dollars, the amount thereof and (ii) if denominated in any currency other than Dollars, the equivalent amount thereof in Dollars as determined by the Administrative Agent or the applicable Issuing Bank, as applicable, on the basis of the Exchange Rate (determined in respect of the most recent relevant date of determination) for the purchase of Dollars with such currency.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Domestic Subsidiary</w:t>
      </w:r>
      <w:r>
        <w:rPr>
          <w:rFonts w:ascii="Times New Roman" w:cs="Times New Roman" w:eastAsia="Times New Roman" w:hAnsi="Times New Roman"/>
          <w:sz w:val="17"/>
          <w:szCs w:val="17"/>
          <w:color w:val="auto"/>
        </w:rPr>
        <w:t>” means any Subsidiary that is organized under the Laws of the United States, any state thereof or the District of Columbia.</w:t>
      </w:r>
    </w:p>
    <w:p>
      <w:pPr>
        <w:spacing w:after="0" w:line="237"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11.07(b)(v)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Persons shall not be Eligible Assignees: (a) any Defaulting Lender, and (b) any Disqualified Lender (other than a Net Short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persons become Disqualified Lenders after the Closing Date in accordance with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the definition thereof, the inclusion of such persons as Disqualified Lenders shall not retroactively apply to prior assignments or participations made in compliance with applicable assignment or participation provisions.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w:t>
      </w:r>
      <w:r>
        <w:rPr>
          <w:rFonts w:ascii="Times New Roman" w:cs="Times New Roman" w:eastAsia="Times New Roman" w:hAnsi="Times New Roman"/>
          <w:sz w:val="18"/>
          <w:szCs w:val="18"/>
          <w:color w:val="auto"/>
        </w:rPr>
        <w:t>” means the Economic and Monetary Union as contemplated in the EU Treaty.</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 Legislation</w:t>
      </w:r>
      <w:r>
        <w:rPr>
          <w:rFonts w:ascii="Times New Roman" w:cs="Times New Roman" w:eastAsia="Times New Roman" w:hAnsi="Times New Roman"/>
          <w:sz w:val="18"/>
          <w:szCs w:val="18"/>
          <w:color w:val="auto"/>
        </w:rPr>
        <w:t>” means the legislative measures of the EMU for the introduction of, changeover to, or operation of the Euro in one or more member states.</w:t>
      </w:r>
    </w:p>
    <w:p>
      <w:pPr>
        <w:spacing w:after="0" w:line="155"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Claim</w:t>
      </w:r>
      <w:r>
        <w:rPr>
          <w:rFonts w:ascii="Times New Roman" w:cs="Times New Roman" w:eastAsia="Times New Roman" w:hAnsi="Times New Roman"/>
          <w:sz w:val="17"/>
          <w:szCs w:val="17"/>
          <w:color w:val="auto"/>
        </w:rPr>
        <w:t>” means any and all administrative, regulatory or judicial actions, suits, demands, demand letters, claims, liens, notices of noncompliance or violation, or proceedings with respect to any Environmental Liability or pursuant to Environmental Law, including those (a) by any Governmental Authority for enforcement, cleanup, removal, response, remedial or other actions or damages pursuant to any Environmental Law and</w:t>
      </w:r>
    </w:p>
    <w:p>
      <w:pPr>
        <w:spacing w:after="0" w:line="1" w:lineRule="exact"/>
        <w:rPr>
          <w:sz w:val="20"/>
          <w:szCs w:val="20"/>
          <w:color w:val="auto"/>
        </w:rPr>
      </w:pPr>
    </w:p>
    <w:p>
      <w:pPr>
        <w:ind w:left="264" w:hanging="264"/>
        <w:spacing w:after="0"/>
        <w:tabs>
          <w:tab w:leader="none" w:pos="26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seeking damages, contribution, indemnification, cost recovery, compensation or injunctive relief pursuant to any Environmental Law.</w:t>
      </w:r>
    </w:p>
    <w:p>
      <w:pPr>
        <w:spacing w:after="0" w:line="139" w:lineRule="exact"/>
        <w:rPr>
          <w:rFonts w:ascii="Times New Roman" w:cs="Times New Roman" w:eastAsia="Times New Roman" w:hAnsi="Times New Roman"/>
          <w:sz w:val="18"/>
          <w:szCs w:val="18"/>
          <w:color w:val="auto"/>
        </w:rPr>
      </w:pPr>
    </w:p>
    <w:p>
      <w:pPr>
        <w:ind w:left="5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305" w:name="page306"/>
    <w:bookmarkEnd w:id="305"/>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Laws relating to the protection of the environment or, to the extent relating to exposure to Hazardous Materials, human health.</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including but not limited to those assumed by contract, written agreement, or other consensual written agreement) of any Loan Party or any of its Subsidiaries directly resulting from or based upon (a) violation of any Environmental Law, (b) the generation, use, handling, transportation, storage, treatment or disposal of any Hazardous Materials, (c) exposure of any Person to any Hazardous Materials, or (d) the release or threatened release of any Hazardous Materials into the environment.</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or issued pursuant to any Environmental Law.</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Equal Priority Intercreditor Agreement</w:t>
      </w:r>
      <w:r>
        <w:rPr>
          <w:rFonts w:ascii="Times New Roman" w:cs="Times New Roman" w:eastAsia="Times New Roman" w:hAnsi="Times New Roman"/>
          <w:sz w:val="18"/>
          <w:szCs w:val="18"/>
          <w:color w:val="auto"/>
        </w:rPr>
        <w:t xml:space="preserve">” means a “pari passu” intercreditor agreement substantially in the form attached hereto as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xml:space="preserve"> (as the same may be modified in a manner satisfactory to the Administrative Agent, the Collateral Agent, the Required Lenders and the Borrower), or, if requested by the providers of Indebtedness permitted hereunder to be Pari Passu Lien Debt, another pari passu intercreditor arrangement reasonably satisfactory to the Administrative Agent, the Collateral Agent, the Required Lenders and the Borrower, in each case as amended, restated, amended and restated, modified or supplemented from time to time in accordance with the terms hereof and thereof. Upon the request of the Borrower, the Administrative Agent and the Collateral Agent will execute and deliver an Equal Priority Intercreditor Agreement (or a joinder or supplement to an existing Equal Priority Intercreditor Agreement) with one or more Debt Representatives for Pari Passu Lien Debt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make such request unless such Indebtedness and related Liens are permitted by (including with respect to priority) the Loan Documents.</w:t>
      </w:r>
    </w:p>
    <w:p>
      <w:pPr>
        <w:spacing w:after="0" w:line="188"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of any Person means any and all shares of, rights to purchase or acquire, warrants (including, for the avoidance of doubt, the Jones Act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71" w:lineRule="exact"/>
        <w:rPr>
          <w:sz w:val="20"/>
          <w:szCs w:val="20"/>
          <w:color w:val="auto"/>
        </w:rPr>
      </w:pPr>
    </w:p>
    <w:p>
      <w:pPr>
        <w:jc w:val="both"/>
        <w:ind w:right="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Offering</w:t>
      </w:r>
      <w:r>
        <w:rPr>
          <w:rFonts w:ascii="Times New Roman" w:cs="Times New Roman" w:eastAsia="Times New Roman" w:hAnsi="Times New Roman"/>
          <w:sz w:val="17"/>
          <w:szCs w:val="17"/>
          <w:color w:val="auto"/>
        </w:rPr>
        <w:t>” means (x) a sale of Equity Interests (other than through the issuance of Disqualified Equity Interests) other than (a) offerings registered on Form S-8 (or any successor form) under the Securities Act or any similar offering in other jurisdictions or other securities of the Borrower or any Parent Entity and (b) issuances of Equity Interests to any Subsidiary of the Borrower or (y) a cash equity contribution to the Borrower.</w:t>
      </w:r>
    </w:p>
    <w:p>
      <w:pPr>
        <w:spacing w:after="0" w:line="153"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“ERISA Affiliate” includes any Person who was, as to the time of such past event or period of time, an ERISA Affiliate within the meaning of the preceding sentence.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66" w:right="499" w:bottom="1440" w:gutter="0" w:footer="0" w:header="0"/>
        </w:sectPr>
      </w:pPr>
    </w:p>
    <w:bookmarkStart w:id="306" w:name="page307"/>
    <w:bookmarkEnd w:id="306"/>
    <w:p>
      <w:pPr>
        <w:ind w:left="4" w:right="16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ERISA Event</w:t>
      </w:r>
      <w:r>
        <w:rPr>
          <w:rFonts w:ascii="Times New Roman" w:cs="Times New Roman" w:eastAsia="Times New Roman" w:hAnsi="Times New Roman"/>
          <w:sz w:val="17"/>
          <w:szCs w:val="17"/>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on it or written notification that a Multiemployer Plan is insolvent within the meaning of Title IV of ERISA or in endangered or critical status within the meaning of Section 432 of the Code or Section 305 of ERISA;</w:t>
      </w:r>
    </w:p>
    <w:p>
      <w:pPr>
        <w:spacing w:after="0" w:line="4" w:lineRule="exact"/>
        <w:rPr>
          <w:sz w:val="20"/>
          <w:szCs w:val="20"/>
          <w:color w:val="auto"/>
        </w:rPr>
      </w:pPr>
    </w:p>
    <w:p>
      <w:pPr>
        <w:ind w:left="4" w:right="80" w:hanging="4"/>
        <w:spacing w:after="0" w:line="265" w:lineRule="auto"/>
        <w:tabs>
          <w:tab w:leader="none" w:pos="25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under Section 4041(c) of ERISA of a notice of intent to terminate a Pension Plan, the treatment of a Pension Plan or Multiemployer Plan amendment as a termination under Sections 4041 or 4041A of ERISA, the commencement of proceedings by the PBGC to terminate a Pension Plan or Multiemployer Plan, or the written notification from the PBGC or a plan administrator relating to an intention to terminate or to appoint a trustee to administer any Pension Plan or Multiemployer Plan under Section 4042 of ERISA; (e) the imposition of any liability under Title IV of ERISA, other than for the payment of plan contributions or PBGC premiums due but not delinquent under Section 4007 of ERISA, upon any Loan Party; (f) the failure to satisfy the minimum funding standards (within the meaning of Section 412 of the Code or Section 302 of ERISA) with respect to any Pension Plan; (g) the application for a minimum funding waiver under Section 412 of the Code or Section 302(c) of ERISA with respect to a Pension Plan;</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Loan Party or any of their respective ERISA Affiliates to make any required contribution to any Pension Plan or any Multiemployer Plan; (i) the imposition of a lien on the assets of a Loan Party under Section 430(k) of the Code or Section 303(k) of ERISA with respect to any Pension Plan; or (j) a determination that any Pension Plan is in “at risk” status (within the meaning of Section 430(i) of the Code or Section 303(i) of ERISA).</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Subrogation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Treaty</w:t>
      </w:r>
      <w:r>
        <w:rPr>
          <w:rFonts w:ascii="Times New Roman" w:cs="Times New Roman" w:eastAsia="Times New Roman" w:hAnsi="Times New Roman"/>
          <w:sz w:val="18"/>
          <w:szCs w:val="18"/>
          <w:color w:val="auto"/>
        </w:rPr>
        <w:t>” means the Treaty on European Union.</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307" w:name="page308"/>
    <w:bookmarkEnd w:id="307"/>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single currency of the Participating Member States introduced in accordance with the provisions of Article 109(i)4 of the EU Treaty.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 as amended.</w:t>
      </w:r>
    </w:p>
    <w:p>
      <w:pPr>
        <w:spacing w:after="0" w:line="155"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Business Days later;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w:t>
      </w:r>
    </w:p>
    <w:p>
      <w:pPr>
        <w:spacing w:after="0" w:line="18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xml:space="preserve">” means each of the following Deposit Accounts and Securities Accounts of the Borrower or a Guarantor (and all cash, Cash Equivalents and other securities or investments credited thereto or deposited therein): (a) Deposit Accounts and Securities Accounts exclusively used for withholding, payroll, payroll Taxes, workers compensation and employee benefits, or withholding, sales, use, value added or similar taxes, (b) Deposit Accounts and Securities Accounts held in trust for a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accounts consist solely of funds set aside for such purpose,</w:t>
      </w:r>
    </w:p>
    <w:p>
      <w:pPr>
        <w:spacing w:after="0" w:line="3" w:lineRule="exact"/>
        <w:rPr>
          <w:sz w:val="20"/>
          <w:szCs w:val="20"/>
          <w:color w:val="auto"/>
        </w:rPr>
      </w:pPr>
    </w:p>
    <w:p>
      <w:pPr>
        <w:ind w:left="4" w:right="120" w:hanging="4"/>
        <w:spacing w:after="0" w:line="251" w:lineRule="auto"/>
        <w:tabs>
          <w:tab w:leader="none" w:pos="24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escrow accounts that have an overnight balance of which in the aggregate, together with the overnight balance of all such other escrow accounts excluded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do not exceed $5,000,000, (d) each Deposit Account holding the cash constituting cash collateral in respect of letters of credit permitted to be issued pursuant to this Agreement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other cash collateral permitted under </w:t>
      </w:r>
      <w:r>
        <w:rPr>
          <w:rFonts w:ascii="Times New Roman" w:cs="Times New Roman" w:eastAsia="Times New Roman" w:hAnsi="Times New Roman"/>
          <w:sz w:val="18"/>
          <w:szCs w:val="18"/>
          <w:u w:val="single" w:color="auto"/>
          <w:color w:val="auto"/>
        </w:rPr>
        <w:t>Section 7.01(k)(i)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7.01(mm)</w:t>
      </w:r>
      <w:r>
        <w:rPr>
          <w:rFonts w:ascii="Times New Roman" w:cs="Times New Roman" w:eastAsia="Times New Roman" w:hAnsi="Times New Roman"/>
          <w:sz w:val="18"/>
          <w:szCs w:val="18"/>
          <w:color w:val="auto"/>
        </w:rPr>
        <w:t xml:space="preserve">, (e) any zero balance accounts so long as the relevant Borrower or Guarantor shall ACH or wire transfer no less frequently than daily to a Blocked Account all amounts on deposit in each such zero balance account, (f) any bank account opened in, or under the laws of, a jurisdiction outside of the United States, (g) those Deposit Accounts and Securities Accounts that have an overnight balance of which in the aggregate, together with the overnight balance of all such other Deposit Accounts, Securities Accounts and Commodity Accounts excluded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that do not exceed $5,000,000, (h) any Deposit Accounts and Securities Accounts holding exclusively Subsidized Indebtedness Specified Cash and (i) other Deposit Accounts and Securities Accounts, provided that the aggregate balance in such accounts excluded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at the end of any Business Day shall not exceed $5.0 million in the aggregate.</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6"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Excluded Asset</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firstLine="419"/>
        <w:spacing w:after="0" w:line="251" w:lineRule="auto"/>
        <w:tabs>
          <w:tab w:leader="none" w:pos="6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 (including, to the extent applicable, any equipment or inventory owned by the Borrower or a Guarantor that is subject to a Permitted Lien pursuant to </w:t>
      </w:r>
      <w:r>
        <w:rPr>
          <w:rFonts w:ascii="Times New Roman" w:cs="Times New Roman" w:eastAsia="Times New Roman" w:hAnsi="Times New Roman"/>
          <w:sz w:val="18"/>
          <w:szCs w:val="18"/>
          <w:u w:val="single" w:color="auto"/>
          <w:color w:val="auto"/>
        </w:rPr>
        <w:t>Section 7.01(n)</w:t>
      </w:r>
      <w:r>
        <w:rPr>
          <w:rFonts w:ascii="Times New Roman" w:cs="Times New Roman" w:eastAsia="Times New Roman" w:hAnsi="Times New Roman"/>
          <w:sz w:val="18"/>
          <w:szCs w:val="18"/>
          <w:color w:val="auto"/>
        </w:rPr>
        <w:t xml:space="preserve">), lease, license, franchise, charter, authorization, contract or agreement to which the Borrower or a Guarantor is a party, together with any rights or interest thereunder, in each case, if and to the extent security interests therein (A) are prohibited by or in violation of any applicable law, (B) require any governmental consent that has not been obtained or consent of a third party (that is not the Borrower or a Restricted Subsidiary) that has not been obtained pursuant to any contract or agreement binding on such asset at the time of its acquisition and not entered into in contemplation of such acquisition, (C) in the case of any lease, license, franchise, charter, authorization, contract or agreement, are prohibited by or in violation of a term, provision or condition of any such lease, license, franchise, charter, authorization, contract or agreement to which the Borrower or a Guarantor is a party or create a right of termination in favor of any other party thereto (other than the Borrower or a Restricted Subsidiary), except,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that such prohibition or restriction would be rendered ineffective under the Uniform Commercial Code or other applicable law or principle of equity or (D) in the case of any property subject to a lien securing permitted purchase money indebtedness, capitalized lease obligation indebtedness, government or quasi-government provided, supported, guaranteed or subsidized Indebtedness or similar arrangement, but only to the extent that a grant of a security interest therein to secure the Loans would violate or invalidate such purchase money, capital lease, government or quasi-government provided, supported, guaranteed or subsidized Indebtedness or similar arrangement (including as a result of any requirement to obtain the consent, approval, license or authorization of any third party unless such consent has been obtained (and it being understood and agreed that neither the Borrower nor any Guarantor shall have any obligation to procure any such consent, approval, license or authorization)) or create a right of termination in favor of any other party thereto (other than the Borrower, a Guarantor or a Restricted Subsidiary) after giving effect to the applicable anti-assignment provisions of the Uniform Commercial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the Collateral includes, at such time as the contractual or legal prohibition shall no longer be applicable, and, to the extent severable, any portion of such asset, lease, license, franchise, charter, authorization, contract or agreement not subject to the prohibitions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each case, after giving effect to the applicable anti-assignment provisions of the Uniform Commercial Code or other applicable law);</w:t>
      </w:r>
    </w:p>
    <w:p>
      <w:pPr>
        <w:spacing w:after="0" w:line="9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Excluded Equity Interests and any assets of any Subsidiary that is not a Guarantor;</w:t>
      </w:r>
    </w:p>
    <w:p>
      <w:pPr>
        <w:spacing w:after="0" w:line="117" w:lineRule="exact"/>
        <w:rPr>
          <w:rFonts w:ascii="Times New Roman" w:cs="Times New Roman" w:eastAsia="Times New Roman" w:hAnsi="Times New Roman"/>
          <w:sz w:val="18"/>
          <w:szCs w:val="18"/>
          <w:color w:val="auto"/>
        </w:rPr>
      </w:pPr>
    </w:p>
    <w:p>
      <w:pPr>
        <w:ind w:right="480" w:firstLine="419"/>
        <w:spacing w:after="0" w:line="282" w:lineRule="auto"/>
        <w:tabs>
          <w:tab w:leader="none" w:pos="6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Securitization Assets or Receivables Assets, or participations therein, in connection with any Qualified Securitization Financing or Receivables Facility;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66" w:right="459" w:bottom="1440" w:gutter="0" w:footer="0" w:header="0"/>
        </w:sectPr>
      </w:pPr>
    </w:p>
    <w:bookmarkStart w:id="309" w:name="page310"/>
    <w:bookmarkEnd w:id="309"/>
    <w:p>
      <w:pPr>
        <w:ind w:right="100" w:firstLine="419"/>
        <w:spacing w:after="0" w:line="258" w:lineRule="auto"/>
        <w:tabs>
          <w:tab w:leader="none" w:pos="6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“intent-to-use” trademark applications prior to the filing and acceptance of a “Statement of Use” pursuant to Section 1(d) of the Lanham Act or an “Amendment to Allege Use” pursuant to Section 1(c) of the Lanham Act with respect thereto, to the extent that, and solely during the period, if any, in which, the grant of a security interest therein would impair the validity or enforceability of any registration that issues from such intent-to-use application under applicable federal law (it being understood that, after such period, such intent-to-use application will automatically be included in the Collateral);</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leasehold interest (including any ground lease interest) in real property, including leasehold improvements, (B) any fee interest in owned real property, and (C) any fixtures affixed to any real property to the extent a security interest in such fixtures may not be perfected by the filing of a Uniform Commercial Code financing statement in the jurisdiction of organization of the applicable Borrower or Guarantor;</w:t>
      </w:r>
    </w:p>
    <w:p>
      <w:pPr>
        <w:spacing w:after="0" w:line="67" w:lineRule="exact"/>
        <w:rPr>
          <w:rFonts w:ascii="Times New Roman" w:cs="Times New Roman" w:eastAsia="Times New Roman" w:hAnsi="Times New Roman"/>
          <w:sz w:val="18"/>
          <w:szCs w:val="18"/>
          <w:color w:val="auto"/>
        </w:rPr>
      </w:pPr>
    </w:p>
    <w:p>
      <w:pPr>
        <w:ind w:right="380" w:firstLine="419"/>
        <w:spacing w:after="0" w:line="282" w:lineRule="auto"/>
        <w:tabs>
          <w:tab w:leader="none" w:pos="64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(other than Vessel Collateral) subject to any notice or consent of governmental authorities under the Federal Assignment of Claims Act or any similar or commensurate legislation under the Laws of the United States or a jurisdiction thereof;</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as-extracted collateral, (B) timber to be cut, (C) farm products, (D) manufactured homes and (E) healthcare insurance receivables;</w:t>
      </w:r>
    </w:p>
    <w:p>
      <w:pPr>
        <w:spacing w:after="0" w:line="117" w:lineRule="exact"/>
        <w:rPr>
          <w:rFonts w:ascii="Times New Roman" w:cs="Times New Roman" w:eastAsia="Times New Roman" w:hAnsi="Times New Roman"/>
          <w:sz w:val="18"/>
          <w:szCs w:val="18"/>
          <w:color w:val="auto"/>
        </w:rPr>
      </w:pPr>
    </w:p>
    <w:p>
      <w:pPr>
        <w:ind w:right="80" w:firstLine="419"/>
        <w:spacing w:after="0" w:line="312" w:lineRule="auto"/>
        <w:tabs>
          <w:tab w:leader="none" w:pos="678"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particular asset, if the pledge thereof or the security interest therein would result in material adverse Tax consequences to any Parent Entity, the Borrower or any Guarantor as reasonably determined by the Borrower in good faith in consultation with the Administrative Agent;</w:t>
      </w:r>
    </w:p>
    <w:p>
      <w:pPr>
        <w:spacing w:after="0" w:line="31" w:lineRule="exact"/>
        <w:rPr>
          <w:rFonts w:ascii="Times New Roman" w:cs="Times New Roman" w:eastAsia="Times New Roman" w:hAnsi="Times New Roman"/>
          <w:sz w:val="17"/>
          <w:szCs w:val="17"/>
          <w:color w:val="auto"/>
        </w:rPr>
      </w:pPr>
    </w:p>
    <w:p>
      <w:pPr>
        <w:ind w:right="120" w:firstLine="419"/>
        <w:spacing w:after="0" w:line="312" w:lineRule="auto"/>
        <w:tabs>
          <w:tab w:leader="none" w:pos="638"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particular asset, if the pledge thereof or the security interest therein would result in material adverse Tax consequences to any Parent Entity, Borrower or any Guarantor as reasonably determined by the Borrower in good faith in consultation with the Administrative Agent;</w:t>
      </w:r>
    </w:p>
    <w:p>
      <w:pPr>
        <w:spacing w:after="0" w:line="31" w:lineRule="exact"/>
        <w:rPr>
          <w:rFonts w:ascii="Times New Roman" w:cs="Times New Roman" w:eastAsia="Times New Roman" w:hAnsi="Times New Roman"/>
          <w:sz w:val="17"/>
          <w:szCs w:val="17"/>
          <w:color w:val="auto"/>
        </w:rPr>
      </w:pPr>
    </w:p>
    <w:p>
      <w:pPr>
        <w:ind w:right="420" w:firstLine="419"/>
        <w:spacing w:after="0" w:line="261" w:lineRule="auto"/>
        <w:tabs>
          <w:tab w:leader="none" w:pos="6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specifically identified asset with respect to which the Administrative Agent has determined in its reasonable judgement (in consultation with the Borrower) that the costs of obtaining, perfecting or maintaining a security interest or pledge in such asset outweighs the benefit to be obtained on account thereof (including if such actions exceed the fair market value thereof, as determined by the Borrower in its reasonable judgement) or the practical benefit to the Lenders afforded thereby;</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letter-of-credit rights, except to the extent constituting a supporting obligation for other Collateral as to which perfection of the security interest in such other Collateral is accomplished by the filing of UCC-1 financing statements;</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6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(i) existing as of the date hereof and (ii) arising after the Closing Date where, in the case of this clause (ii), the amount of the damages reasonably expected to be realized by the applicable Borrower or Guarantor (as determined by the Borrower in good faith) is not in excess of an amount equal to the greater of (a) $40.0 million and (b) an amount equal to 5.0% of the Borrower’s Consolidated Net Tangible Assets determined as of the end of the Borrower’s most recently completed fiscal quarter for which internal financial statements are available;</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80"/>
          </w:cols>
          <w:pgMar w:left="880" w:top="270" w:right="439" w:bottom="1440" w:gutter="0" w:footer="0" w:header="0"/>
        </w:sectPr>
      </w:pPr>
    </w:p>
    <w:bookmarkStart w:id="310" w:name="page311"/>
    <w:bookmarkEnd w:id="310"/>
    <w:p>
      <w:pPr>
        <w:jc w:val="both"/>
        <w:ind w:right="80" w:firstLine="419"/>
        <w:spacing w:after="0" w:line="258" w:lineRule="auto"/>
        <w:tabs>
          <w:tab w:leader="none" w:pos="7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motor vehicles, aircraft, recreational vessels and other assets (other than Vessels (other than recreational vessels)) subject to certificates of title or ownership (including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Borrower or Guarantor under Section 9-307 of the Uniform Commercial Code) of the applicable Borrower or Guarantor;</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Accounts;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Vessels;</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assets and assets located in or governed by any non-U.S. jurisdiction or agreement (other than stock certificates otherwise required to be pledged and other than Vessels flagged under an Approved Flag Jurisdiction if the Borrower has expressly elected to include such Vessel as Vessel Collateral) or credit support with respect to such foreign assets or any property or assets owned by a FSHCO, Foreign Subsidiary, Subsidiary of a FSHCO or Foreign Subsidiary, or an Unrestricted Subsidiary;</w:t>
      </w:r>
    </w:p>
    <w:p>
      <w:pPr>
        <w:spacing w:after="0" w:line="71"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(other than any Vessel Collateral) subject to any notice, consent or other action of or in respect of governmental authorities under the Federal Assignment of Claims Act or any similar or commensurate legislation under the Laws of the United States or a jurisdiction thereof;</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acquired pursuant to an acquisition, merger, consolidation or other Investments after the Closing Date permitted hereunder that are financed by or constitute collateral in respect of Acquired Indebtedness permitted hereunder or that are prohibited from having a Lien granted thereon by any enforceable contract or other agreement (in each case, binding on the assets at the time of such consummation and not created or entered into in contemplation thereof), solely to the extent and for so long as such contract or other agreement (or a permitted refinancing or replacement thereof) finances, is secured by or prohibits such security interest;</w:t>
      </w:r>
    </w:p>
    <w:p>
      <w:pPr>
        <w:spacing w:after="0" w:line="7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Borrower, in its sole discretion may (upon written notice to the Collateral Agent) cause any assets (including Vessels)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qualify as Excluded Assets under any of the clauses above to become Collateral and thereafter such assets shall not constitute “Excluded Assets” (or, if applicable, Excluded Vessels) until such time as the Lien in such assets is released in accordance with the terms of this Agreement, the applicable Collateral Document or the applicable Intercreditor Agreement,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Excluded Assets referred to above shall not include any proceeds or receivables of any such Excluded Asset (except to the extent such proceeds or receivables constitute Excluded Assets). For the avoidance of doubt, the foregoing is subject to the Permitted Reflagging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has the meaning specified in the Collateral Agreement.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40"/>
          </w:cols>
          <w:pgMar w:left="880" w:top="270" w:right="479" w:bottom="1440" w:gutter="0" w:footer="0" w:header="0"/>
        </w:sectPr>
      </w:pPr>
    </w:p>
    <w:bookmarkStart w:id="311" w:name="page312"/>
    <w:bookmarkEnd w:id="311"/>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Excluded Foreign Flag Vessel</w:t>
      </w:r>
      <w:r>
        <w:rPr>
          <w:rFonts w:ascii="Times New Roman" w:cs="Times New Roman" w:eastAsia="Times New Roman" w:hAnsi="Times New Roman"/>
          <w:sz w:val="18"/>
          <w:szCs w:val="18"/>
          <w:color w:val="auto"/>
        </w:rPr>
        <w:t>” means any Vessel that is registered under the laws and flag of an Approved Flag Jurisdiction other than the United States of America or is a U.S. Non-Jones Act Vessel (a) as of the Closing Date, (b) if acquired by the Borrower or a Restricted Subsidiary after the Closing Date from a Person other than the Borrower or a Restricted Subsidiary, as of the date of such acquisition or (c) as of any date after the Closing Date if (i) on a pro forma basis, following the reflagging of such Vessel, the Collateral Coverage Ratio shall not be less than 1.50:1.00 and the RCF Collateral Coverage Ratio shall not be less than 3.00:1.00, (ii) a reflagging of Vessel Collateral is, in the good faith judgment of the Borrower, necessary or desirable in order to pursue customer opportunities in non-U.S. jurisdictions, and (iii) any of the following is true with respect to the Vessel to be reflagged:</w:t>
      </w:r>
    </w:p>
    <w:p>
      <w:pPr>
        <w:spacing w:after="0" w:line="79" w:lineRule="exact"/>
        <w:rPr>
          <w:sz w:val="20"/>
          <w:szCs w:val="20"/>
          <w:color w:val="auto"/>
        </w:rPr>
      </w:pPr>
    </w:p>
    <w:p>
      <w:pPr>
        <w:ind w:left="740" w:hanging="304"/>
        <w:spacing w:after="0"/>
        <w:tabs>
          <w:tab w:leader="none" w:pos="7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Vessel is a Mid-Spec Vessel or a Low-Spec Vessel; or</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Vessel is registered under the laws and flag of an Approved Flag Jurisdiction other than the United States of America; or</w:t>
      </w:r>
    </w:p>
    <w:p>
      <w:pPr>
        <w:spacing w:after="0" w:line="221" w:lineRule="exact"/>
        <w:rPr>
          <w:rFonts w:ascii="Times New Roman" w:cs="Times New Roman" w:eastAsia="Times New Roman" w:hAnsi="Times New Roman"/>
          <w:sz w:val="18"/>
          <w:szCs w:val="18"/>
          <w:color w:val="auto"/>
        </w:rPr>
      </w:pPr>
    </w:p>
    <w:p>
      <w:pPr>
        <w:ind w:right="560" w:firstLine="436"/>
        <w:spacing w:after="0" w:line="286" w:lineRule="auto"/>
        <w:tabs>
          <w:tab w:leader="none" w:pos="72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Vessel is registered under the laws and flag of the United States of America but is not a Jones Act Vessel (a “</w:t>
      </w:r>
      <w:r>
        <w:rPr>
          <w:rFonts w:ascii="Times New Roman" w:cs="Times New Roman" w:eastAsia="Times New Roman" w:hAnsi="Times New Roman"/>
          <w:sz w:val="18"/>
          <w:szCs w:val="18"/>
          <w:b w:val="1"/>
          <w:bCs w:val="1"/>
          <w:color w:val="auto"/>
        </w:rPr>
        <w:t>U.S. Non-Jones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Vessel</w:t>
      </w:r>
      <w:r>
        <w:rPr>
          <w:rFonts w:ascii="Times New Roman" w:cs="Times New Roman" w:eastAsia="Times New Roman" w:hAnsi="Times New Roman"/>
          <w:sz w:val="18"/>
          <w:szCs w:val="18"/>
          <w:color w:val="auto"/>
        </w:rPr>
        <w:t>”); or</w:t>
      </w:r>
    </w:p>
    <w:p>
      <w:pPr>
        <w:spacing w:after="0" w:line="158" w:lineRule="exact"/>
        <w:rPr>
          <w:rFonts w:ascii="Times New Roman" w:cs="Times New Roman" w:eastAsia="Times New Roman" w:hAnsi="Times New Roman"/>
          <w:sz w:val="18"/>
          <w:szCs w:val="18"/>
          <w:color w:val="auto"/>
        </w:rPr>
      </w:pPr>
    </w:p>
    <w:p>
      <w:pPr>
        <w:ind w:right="100" w:firstLine="436"/>
        <w:spacing w:after="0" w:line="258" w:lineRule="auto"/>
        <w:tabs>
          <w:tab w:leader="none" w:pos="7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its reflagging such Vessel is a (i) Jones Act Vessel and (ii) is a High-Spec Vessel or Ultra High-Spec Vessel and after giving effect to its re-flagging, no more than seven (7) vessels that were (i) Jones Act Vessels and (ii) High-Spec Vessels or Ultra High-Spec Vessels owned by the Borrower or a Restricted Subsidiary as of the Closing Date have become Excluded Foreign Flag Vessels or U.S. Non-Jones Act Vessels;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of such seven (7) Vessels, no more than three (3) such Vessels so re-flagged or converted into U.S. Non-Jones Act Vessels may be Ultra High-Spec Vessels;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more than one (1) of such Vessels may be the HOS Centerline or the HOS Strongline; or</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71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re-flagging, in respect of any Jones Act Vessels that are Vessel Collateral that are acquired by the Borrower or a Restricted Subsidiary after the Closing Date, no more than (x) thirty percent (30%) of such Vessel Collateral which are High-Spec Vessels (the “</w:t>
      </w:r>
      <w:r>
        <w:rPr>
          <w:rFonts w:ascii="Times New Roman" w:cs="Times New Roman" w:eastAsia="Times New Roman" w:hAnsi="Times New Roman"/>
          <w:sz w:val="18"/>
          <w:szCs w:val="18"/>
          <w:b w:val="1"/>
          <w:bCs w:val="1"/>
          <w:color w:val="auto"/>
        </w:rPr>
        <w:t>After-Acquired High Specification Vessels</w:t>
      </w:r>
      <w:r>
        <w:rPr>
          <w:rFonts w:ascii="Times New Roman" w:cs="Times New Roman" w:eastAsia="Times New Roman" w:hAnsi="Times New Roman"/>
          <w:sz w:val="18"/>
          <w:szCs w:val="18"/>
          <w:color w:val="auto"/>
        </w:rPr>
        <w:t>”) would have become Excluded Foreign Flag Vessels or U.S. Non-Jones Act Vessels and (y) ten percent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After-Acquired High Specification Vessels which are Ultra High-Spec Vessels would have become Excluded Foreign Flag Vessels or U.S. Non-Jones Act Vessels;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there is available capacity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in respect of Vessels owned as of the Closing Date, the Borrower may elect in its sole discretion to consummate a re-flagging described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using available capacity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such election shall reduce the corresponding availability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Restricted Subsidiary of the Borrower or a Guarantor,</w:t>
      </w:r>
    </w:p>
    <w:p>
      <w:pPr>
        <w:spacing w:after="0" w:line="117" w:lineRule="exact"/>
        <w:rPr>
          <w:rFonts w:ascii="Times New Roman" w:cs="Times New Roman" w:eastAsia="Times New Roman" w:hAnsi="Times New Roman"/>
          <w:sz w:val="18"/>
          <w:szCs w:val="18"/>
          <w:color w:val="auto"/>
        </w:rPr>
      </w:pPr>
    </w:p>
    <w:p>
      <w:pPr>
        <w:ind w:left="5420" w:right="1860" w:hanging="4561"/>
        <w:spacing w:after="0" w:line="454" w:lineRule="auto"/>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FSHCO, (ii) Foreign Subsidiary or (iii) any Restricted Subsidiary of any FSHCO or Foreign Subsidiary, 42</w:t>
      </w:r>
    </w:p>
    <w:p>
      <w:pPr>
        <w:sectPr>
          <w:pgSz w:w="11900" w:h="16838" w:orient="portrait"/>
          <w:cols w:equalWidth="0" w:num="1">
            <w:col w:w="10980"/>
          </w:cols>
          <w:pgMar w:left="440" w:top="266" w:right="479" w:bottom="1440" w:gutter="0" w:footer="0" w:header="0"/>
        </w:sectPr>
      </w:pPr>
    </w:p>
    <w:bookmarkStart w:id="312" w:name="page313"/>
    <w:bookmarkEnd w:id="312"/>
    <w:p>
      <w:pPr>
        <w:ind w:left="440" w:right="140" w:firstLine="419"/>
        <w:spacing w:after="0" w:line="256" w:lineRule="auto"/>
        <w:tabs>
          <w:tab w:leader="none" w:pos="11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Subsidiary that is prohibited or restricted by applicable Law from providing a Guaranty or by a binding contractual obligation existing on the Closing Date or at the time of the acquisition of such Restricted Subsidiary (and not incurred in contemplation of the Closing Date or such acquisition) from providing a Guaranty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the Borrower or a Restricted Subsidiary) consent, approval, license or authorization, unless such consent, approval, license or authorization has been obtained,</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securitization vehicle (or similar entity), including any Securitization Subsidiary created pursuant to a transaction permitted under this Agreement,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a not-for-profit organization,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to the extent the provision of a guarantee by such Restricted Subsidiary would result in material adverse Tax consequences to any Parent Entity (to the extent such material adverse Tax consequences are related to its ownership of the Equity Interests in the Borrower and its subsidiaries), the Borrower or any of their subsidiaries as reasonably determined by the Borrower in good faith and in consultation with the Administrative Agent;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115"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in its sole discretion (or in the case of any Foreign Subsidiary, in consultation with the Administrative Agent),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cause any Restricted Subsidiary that qualifies as an Excluded Subsidiary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to become a Guarantor in accordance with the definition thereof (subject to completion of any requested “know your customer” and similar requirements of the Administrative Agent and the Lenders) and thereafter such Restricted Subsidiary shall not constitute an “Excluded Subsidiary” (unless and until the Borrower elects, in its sole discretion, to designate such Persons as an Excluded Subsidiary).</w:t>
      </w:r>
    </w:p>
    <w:p>
      <w:pPr>
        <w:spacing w:after="0" w:line="18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313" w:name="page314"/>
    <w:bookmarkEnd w:id="313"/>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79"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xml:space="preserve">” means any of the following Taxes imposed on or with respect to a Recipient or required to be withheld or deducted from a payment to a Recipient, (i) Taxes imposed on or measured by income (however denominated), branch profits, franchise or similar Taxes, in each case, that are (A) imposed by the jurisdiction (or political subdivision thereof) under the laws of which it is organized or in which its principal office is located or, in the case of any Lender, in which its applicable Lending Office is located, or (B) Other Connection Taxes, (ii) any Tax that is (or would be) required to be withheld with respect to amounts payable hereunder in respect of an Eligible Assignee (pursuant to an assignment under </w:t>
      </w:r>
      <w:r>
        <w:rPr>
          <w:rFonts w:ascii="Times New Roman" w:cs="Times New Roman" w:eastAsia="Times New Roman" w:hAnsi="Times New Roman"/>
          <w:sz w:val="17"/>
          <w:szCs w:val="17"/>
          <w:u w:val="single" w:color="auto"/>
          <w:color w:val="auto"/>
        </w:rPr>
        <w:t>Section 11.07</w:t>
      </w:r>
      <w:r>
        <w:rPr>
          <w:rFonts w:ascii="Times New Roman" w:cs="Times New Roman" w:eastAsia="Times New Roman" w:hAnsi="Times New Roman"/>
          <w:sz w:val="17"/>
          <w:szCs w:val="17"/>
          <w:color w:val="auto"/>
        </w:rPr>
        <w:t xml:space="preserve">) on the date it becomes an assignee to the extent such Tax is in excess of the Tax that would have been applicable had such assigning Lender not assigned its interest arising under any Loan Document (unless such assignment is at the express written request of the Borrower), (iii) withholding Taxes imposed on amounts payable to or for the account of a Recipient with respect to an applicable interest in a Loan or Commitment pursuant to a Law in effect on the date on which (A) such Lender, Agent or Issuing Bank acquires such interest in the Loan or Commitment (other than pursuant to an assignment request by the Borrower under </w:t>
      </w:r>
      <w:r>
        <w:rPr>
          <w:rFonts w:ascii="Times New Roman" w:cs="Times New Roman" w:eastAsia="Times New Roman" w:hAnsi="Times New Roman"/>
          <w:sz w:val="17"/>
          <w:szCs w:val="17"/>
          <w:u w:val="single" w:color="auto"/>
          <w:color w:val="auto"/>
        </w:rPr>
        <w:t>Section 3.07</w:t>
      </w:r>
      <w:r>
        <w:rPr>
          <w:rFonts w:ascii="Times New Roman" w:cs="Times New Roman" w:eastAsia="Times New Roman" w:hAnsi="Times New Roman"/>
          <w:sz w:val="17"/>
          <w:szCs w:val="17"/>
          <w:color w:val="auto"/>
        </w:rPr>
        <w:t xml:space="preserve">) or (B) such Lender changes its Lending Office (other than at the written request of the Borrower to change such Lending Office), except in each case to the extent that pursuant to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amounts with respect to such Taxes were payable to such Recipient’s assignor immediately before such Recipient became a party hereto, or to such Lender immediately before it changed its Lending Office,</w:t>
      </w:r>
    </w:p>
    <w:p>
      <w:pPr>
        <w:spacing w:after="0" w:line="5" w:lineRule="exact"/>
        <w:rPr>
          <w:sz w:val="20"/>
          <w:szCs w:val="20"/>
          <w:color w:val="auto"/>
        </w:rPr>
      </w:pPr>
    </w:p>
    <w:p>
      <w:pPr>
        <w:ind w:left="4" w:right="200" w:hanging="4"/>
        <w:spacing w:after="0" w:line="260" w:lineRule="auto"/>
        <w:tabs>
          <w:tab w:leader="none" w:pos="30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Taxes imposed as a result of the failure of any Recipient to comply with the provisions of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(in the case of any Foreign Lender, as defined below),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or 3.01(e) (in the case of any U.S. Lender, as defined below), and (v) any Taxes imposed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-35560</wp:posOffset>
            </wp:positionV>
            <wp:extent cx="3549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5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Vessel</w:t>
      </w:r>
      <w:r>
        <w:rPr>
          <w:rFonts w:ascii="Times New Roman" w:cs="Times New Roman" w:eastAsia="Times New Roman" w:hAnsi="Times New Roman"/>
          <w:sz w:val="18"/>
          <w:szCs w:val="18"/>
          <w:color w:val="auto"/>
        </w:rPr>
        <w:t>” means any Vessel owned from time to time by the Borrower or any Guarantor (i) that is an Excluded Foreign Flag Vessel,</w:t>
      </w:r>
    </w:p>
    <w:p>
      <w:pPr>
        <w:spacing w:after="0" w:line="31" w:lineRule="exact"/>
        <w:rPr>
          <w:sz w:val="20"/>
          <w:szCs w:val="20"/>
          <w:color w:val="auto"/>
        </w:rPr>
      </w:pPr>
    </w:p>
    <w:p>
      <w:pPr>
        <w:ind w:left="4" w:right="40" w:hanging="4"/>
        <w:spacing w:after="0" w:line="260" w:lineRule="auto"/>
        <w:tabs>
          <w:tab w:leader="none" w:pos="26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under construction and has not been delivered to the Borrower or a Guarantor, (iii) that is a Low-Spec Vessel or (iv) that is an Excluded Asset, other than any such Vessel that the Borrower has elected to cause to become Collateral.</w:t>
      </w:r>
    </w:p>
    <w:p>
      <w:pPr>
        <w:spacing w:after="0" w:line="177"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Junior Lien Intercreditor Agreement</w:t>
      </w:r>
      <w:r>
        <w:rPr>
          <w:rFonts w:ascii="Times New Roman" w:cs="Times New Roman" w:eastAsia="Times New Roman" w:hAnsi="Times New Roman"/>
          <w:sz w:val="18"/>
          <w:szCs w:val="18"/>
          <w:color w:val="auto"/>
        </w:rPr>
        <w:t>” means that certain Intercreditor Agreement, dated as of September 4, 2020, among the administrative agent and collateral agent under the Second Lien Credit Agreement (the “</w:t>
      </w:r>
      <w:r>
        <w:rPr>
          <w:rFonts w:ascii="Times New Roman" w:cs="Times New Roman" w:eastAsia="Times New Roman" w:hAnsi="Times New Roman"/>
          <w:sz w:val="18"/>
          <w:szCs w:val="18"/>
          <w:b w:val="1"/>
          <w:bCs w:val="1"/>
          <w:color w:val="auto"/>
        </w:rPr>
        <w:t>Second Lien Agent</w:t>
      </w:r>
      <w:r>
        <w:rPr>
          <w:rFonts w:ascii="Times New Roman" w:cs="Times New Roman" w:eastAsia="Times New Roman" w:hAnsi="Times New Roman"/>
          <w:sz w:val="18"/>
          <w:szCs w:val="18"/>
          <w:color w:val="auto"/>
        </w:rPr>
        <w:t xml:space="preserve">”), the Administrative Agent, the Collateral Agent, the Loan Parties and each “Additional Representative” party thereto (and as defined therein), which together with all amendments, supplements and joinders thereto is attached hereto as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as supplemented by that certain First Lien Joinder Agreement, dated as of the date hereof, by and between the Second Lien Agent, the Administrative Agent, the Collateral Agent and the Loan Parties party thereto.</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70" w:right="439" w:bottom="1440" w:gutter="0" w:footer="0" w:header="0"/>
        </w:sectPr>
      </w:pPr>
    </w:p>
    <w:bookmarkStart w:id="314" w:name="page315"/>
    <w:bookmarkEnd w:id="314"/>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means any letter of credit previously issued that (a) will remain outstanding on and after the Closing Date and (b) is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Commitments</w:t>
      </w:r>
      <w:r>
        <w:rPr>
          <w:rFonts w:ascii="Times New Roman" w:cs="Times New Roman" w:eastAsia="Times New Roman" w:hAnsi="Times New Roman"/>
          <w:sz w:val="18"/>
          <w:szCs w:val="18"/>
          <w:color w:val="auto"/>
        </w:rPr>
        <w:t>” means the Commitments held by an Extending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means the Revolving Loans made pursuant to Extended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means each Lender accepting an Extension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Commitments, Revolving Loans, any Extension Commitments and Extended Loans or any Refinancing Loans, as the context may require.</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may be conclusively established by means of a certificate from a Responsible Officer or resolutions of the Board of Directors setting out such fair market value as determined by such Responsible Officer or such Board of Directors in good faith.</w:t>
      </w:r>
    </w:p>
    <w:p>
      <w:pPr>
        <w:spacing w:after="0" w:line="15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to the extent such version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the foregoing.</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Rate for any day is less than 0.00%, the Federal Funds Rate for such day will be deemed to be 0.00%.</w:t>
      </w:r>
    </w:p>
    <w:p>
      <w:pPr>
        <w:spacing w:after="0" w:line="176"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the Fee Letter, dated as of August 13, 2024, by and among the Borrower, the Administrative Agent and the Lenders, as amended, restated, amended and restated, supplemented or otherwise modified from time to time in accordance with the terms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Blocking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9.01(b)(ii)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315" w:name="page316"/>
    <w:bookmarkEnd w:id="315"/>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audited consolidated balance sheets of the Borrower as of December 31, 2023, the related consolidated statements of operations, changes in stockholders’ equity and cash flows for the Borrower for the fiscal year then ended.</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Debt</w:t>
      </w:r>
      <w:r>
        <w:rPr>
          <w:rFonts w:ascii="Times New Roman" w:cs="Times New Roman" w:eastAsia="Times New Roman" w:hAnsi="Times New Roman"/>
          <w:sz w:val="18"/>
          <w:szCs w:val="18"/>
          <w:color w:val="auto"/>
        </w:rPr>
        <w:t>” means Indebtedness that is secured by a Lien on the Collateral on a pari passu basis with the Liens securing the Obligations and is subject to an Equal Priority Intercreditor Agreement and, if requested by the Borrower, the Collateral Trust Agreement.</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means, with respect to any Person on any determination date, the ratio of Consolidated Adjusted EBITDA of such Person for the most recent four consecutive fiscal quarters ending immediately prior to such determination date (the “</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xml:space="preserve">”) for which consolidated financial statements are available (which may, at the Borrower’s election, be internal consolidated financial statements) to the Fixed Charges of such Person for the reference period. In the event that the Borrower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reference period but prior to or simultaneously with the event for which the calculation of the Fixed Charge Coverage Ratio is made (the </w:t>
      </w:r>
      <w:r>
        <w:rPr>
          <w:rFonts w:ascii="Times New Roman" w:cs="Times New Roman" w:eastAsia="Times New Roman" w:hAnsi="Times New Roman"/>
          <w:sz w:val="18"/>
          <w:szCs w:val="18"/>
          <w:b w:val="1"/>
          <w:bCs w:val="1"/>
          <w:color w:val="auto"/>
        </w:rPr>
        <w:t>“Fixed Charge Coverage Ratio Calculation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the Fixed Charge Coverage Ratio shall be calculated giving pro forma effect to such incurrence, deemed incurrence, assumption, guarantee,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redemption, defeasance, retirement or extinguishment of Indebtedness, or such issuance or redemption of Disqualified Equity Interests or Preferred Stock, as if the same had occurred at the beginning of the applicable four-quarter period.</w:t>
      </w:r>
    </w:p>
    <w:p>
      <w:pPr>
        <w:spacing w:after="0" w:line="1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ratio-based test.</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definition, whenever pro forma effect is to be given to a transaction, the pro forma calculations shall be made in good faith by a responsible financial or chief accounting officer of the Borrower (and may include, for the avoidance of doubt, cost savings, operating expenses reductions and synergies resulting from such transactions which is being given pro forma effect) and will include any QSC Adjustment. If any Indebtedness bears a floating rate of interest and is being given pro forma effect, the interest on such Indebtedness shall be calculated as if the rate in effect on the Fixed Charge Coverage Ratio Calculation Date had been the applicable rate for the entire reference period (taking into account any Swap Obligations applicable to such Indebtedness).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316" w:name="page317"/>
    <w:bookmarkEnd w:id="31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means, with respect to any Person for any period, the sum of (without duplication):</w:t>
      </w:r>
    </w:p>
    <w:p>
      <w:pPr>
        <w:spacing w:after="0" w:line="121" w:lineRule="exact"/>
        <w:rPr>
          <w:sz w:val="20"/>
          <w:szCs w:val="20"/>
          <w:color w:val="auto"/>
        </w:rPr>
      </w:pPr>
    </w:p>
    <w:p>
      <w:pPr>
        <w:ind w:left="1120" w:hanging="261"/>
        <w:spacing w:after="0"/>
        <w:tabs>
          <w:tab w:leader="none" w:pos="11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Preferred Stock of any Restricted Subsidiary of such Person during such period;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Disqualified Equity Interests of such Person during such period;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scheduled amortization payments in respect of Indebtedness for borrowed money during such period.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Corporate Subsidiary</w:t>
      </w:r>
      <w:r>
        <w:rPr>
          <w:rFonts w:ascii="Times New Roman" w:cs="Times New Roman" w:eastAsia="Times New Roman" w:hAnsi="Times New Roman"/>
          <w:sz w:val="18"/>
          <w:szCs w:val="18"/>
          <w:color w:val="auto"/>
        </w:rPr>
        <w:t>” means a Foreign Subsidiary that is treated as a corporation for U.S. federal income tax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Pension Plan</w:t>
      </w:r>
      <w:r>
        <w:rPr>
          <w:rFonts w:ascii="Times New Roman" w:cs="Times New Roman" w:eastAsia="Times New Roman" w:hAnsi="Times New Roman"/>
          <w:sz w:val="18"/>
          <w:szCs w:val="18"/>
          <w:color w:val="auto"/>
        </w:rPr>
        <w:t>” means any plan, fund (including any superannuation fund) or other similar program established or maintained outside the United States by any Loan Party or any one or more of its Subsidiaries primarily for the benefit of its or their employees residing outside the United States, which plan, fund or other similar program provides, or results in, defined benefit retirement income, other than any such plan that is sponsored, maintained or administered by a Governmental Authority, and which plan is not subject to United States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 Event</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firstLine="436"/>
        <w:spacing w:after="0" w:line="258"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 obligations of a Foreign Pension Plan (based on those assumptions used to fund that Foreign Pension Plan or, if that Foreign Pension Plan is unfunded, based on those assumptions used for financial accounting statement purposes or, if accrued benefit obligations are not calculated for financial accounting purposes, based on such reasonable assumptions as may be approved by the relevant entity’s independent auditors for these purposes) materially exceeding the assets of such Foreign Pension Plan and such event would reasonably be expected to result in a Material Adverse Effect; or</w:t>
      </w:r>
    </w:p>
    <w:p>
      <w:pPr>
        <w:spacing w:after="0" w:line="18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with respect to the funding or maintenance of a Foreign Pension Plan that could reasonably be expected to result in a Material Adverse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317" w:name="page318"/>
    <w:bookmarkEnd w:id="3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direct or indirect Subsidiary of the Borrower that is not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w:t>
      </w:r>
      <w:r>
        <w:rPr>
          <w:rFonts w:ascii="Times New Roman" w:cs="Times New Roman" w:eastAsia="Times New Roman" w:hAnsi="Times New Roman"/>
          <w:sz w:val="18"/>
          <w:szCs w:val="18"/>
          <w:color w:val="auto"/>
        </w:rPr>
        <w:t>” means any direct or indirect Subsidiary that substantially all of the assets of which consist of Equity Interests and/or Indebtedness of one or more direct or indirect Foreign Corporate Subsidiaries.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the United States,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notifies the Administrative Agent that the Borrower requests an amendment to any provision of a Loan Document to eliminate the effect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 occurring after the Closing Date in GAAP or in the application thereof (including through the adoption of IFRS) (any such change,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on the operation of such provision (or if the Administrative Agent notifies the Borrower that the Required Lenders request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any provision hereof for such purpose), regardless of whether any such notice is given before or after such change in GAAP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thereof (including through the adoption of IFRS), then such provision shall be interpreted on the basis of GAAP as in effect and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before such change shall have become effective until such notice shall have been withdrawn or such provision amended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w:t>
      </w:r>
    </w:p>
    <w:p>
      <w:pPr>
        <w:spacing w:after="0" w:line="20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Event</w:t>
      </w:r>
      <w:r>
        <w:rPr>
          <w:rFonts w:ascii="Times New Roman" w:cs="Times New Roman" w:eastAsia="Times New Roman" w:hAnsi="Times New Roman"/>
          <w:sz w:val="18"/>
          <w:szCs w:val="18"/>
          <w:color w:val="auto"/>
        </w:rPr>
        <w:t>” means the occurrence of any of the following:</w:t>
      </w:r>
    </w:p>
    <w:p>
      <w:pPr>
        <w:spacing w:after="0" w:line="121" w:lineRule="exact"/>
        <w:rPr>
          <w:sz w:val="20"/>
          <w:szCs w:val="20"/>
          <w:color w:val="auto"/>
        </w:rPr>
      </w:pPr>
    </w:p>
    <w:p>
      <w:pPr>
        <w:ind w:left="1100" w:hanging="241"/>
        <w:spacing w:after="0"/>
        <w:tabs>
          <w:tab w:leader="none" w:pos="11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or acquisition by a Loan Party of a new wholly-owned Subsidiary (other than an Excluded Subsidiary);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designation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a wholly-owned Subsidiary (other than an Excluded Subsidiary) of any Loan Party as a Restricted Subsidiary;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318" w:name="page319"/>
    <w:bookmarkEnd w:id="318"/>
    <w:p>
      <w:pPr>
        <w:ind w:left="1100" w:hanging="241"/>
        <w:spacing w:after="0"/>
        <w:tabs>
          <w:tab w:leader="none" w:pos="11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becoming a wholly-owned Subsidiary (other than an Excluded Subsidiary);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wholly-owned Restricted Subsidiary of a Loan Party ceasing to be an Excluded Subsidiary.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including any such obligation, direct or indirect, contingent or otherwise, of such Person:</w:t>
      </w:r>
    </w:p>
    <w:p>
      <w:pPr>
        <w:spacing w:after="0" w:line="99" w:lineRule="exact"/>
        <w:rPr>
          <w:sz w:val="20"/>
          <w:szCs w:val="20"/>
          <w:color w:val="auto"/>
        </w:rPr>
      </w:pPr>
    </w:p>
    <w:p>
      <w:pPr>
        <w:ind w:left="440" w:right="100" w:firstLine="419"/>
        <w:spacing w:after="0" w:line="266"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primarily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term “Guarantee” will not include (x) endorsements for collection or deposit in the ordinary course of business or consistent with past practice and, (y) standard contractual indemnities or product warranties provided in the ordinary course of business, or (z) pledges or grants of liens in any assets of a Person as long as the obligations benefiting from such pledge or lien are otherwise non-recourse (or foreign law equivalent) to such Person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9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means each Restricted Subsidiary that executed a counterpart to the Guaranty (or a joinder thereto) on the Closing Date or thereafter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in each case, other than any Excluded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Guarantor shall not be released from its Guaranty by virtue of becoming an Excluded Subsidiary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Excluded Subsidiary if (x) the transaction which caused the Restricted Subsidiary to cease to be a wholly-owned Subsidiary of the Borrower or a Guarantor was done in contemplation of the release and (y) the Equity Interests in such Restricted Subsidiary that are not held by a Borrower or Guarantor are owned by an Affiliate thereof.</w:t>
      </w:r>
    </w:p>
    <w:p>
      <w:pPr>
        <w:spacing w:after="0" w:line="179"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means (a) the guaranty made by the Guarantors from time to time party thereto in favor of the Administrative Agent on behalf of the Secured Parties pursuant to the Collateral Agreement and (b) each other guaranty and guaranty supplement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319" w:name="page320"/>
    <w:bookmarkEnd w:id="3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due to their deleterious or dangerous properties or characteristics, including petroleum or petroleum products (including gasoline, crude oil or any fraction thereof), asbestos or asbestos-containing materials, polychlorinated biphenyls, radon gas and urea formaldehyde.</w:t>
      </w:r>
    </w:p>
    <w:p>
      <w:pPr>
        <w:spacing w:after="0" w:line="17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 any and all rate swap transactions, basis swaps, credit derivative transactions, forward rate transactions, commodity swaps, commodity options, forward commodity contracts, equity or equity index swaps or options, any call or capped call option warrant or substantively equivalent derivative transactions,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88" w:lineRule="exact"/>
        <w:rPr>
          <w:sz w:val="20"/>
          <w:szCs w:val="20"/>
          <w:color w:val="auto"/>
        </w:rPr>
      </w:pPr>
    </w:p>
    <w:p>
      <w:pPr>
        <w:ind w:left="4"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Bank</w:t>
      </w:r>
      <w:r>
        <w:rPr>
          <w:rFonts w:ascii="Times New Roman" w:cs="Times New Roman" w:eastAsia="Times New Roman" w:hAnsi="Times New Roman"/>
          <w:sz w:val="18"/>
          <w:szCs w:val="18"/>
          <w:color w:val="auto"/>
        </w:rPr>
        <w:t xml:space="preserve">” means any Person that is an Agent, a Lender, a Lead Arranger or an Affiliate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the time of entering into a Secured Hedge Agreement, no Hedge Bank shall be a Defaulting Lender.</w:t>
      </w:r>
    </w:p>
    <w:p>
      <w:pPr>
        <w:spacing w:after="0" w:line="176"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High-Spec</w:t>
      </w:r>
      <w:r>
        <w:rPr>
          <w:rFonts w:ascii="Times New Roman" w:cs="Times New Roman" w:eastAsia="Times New Roman" w:hAnsi="Times New Roman"/>
          <w:sz w:val="18"/>
          <w:szCs w:val="18"/>
          <w:color w:val="auto"/>
        </w:rPr>
        <w:t>” means, when referring to a Vessel, a Vessel with cargo-carrying capacity of between 3,500 and 5,000 DWT (i.e., primarily 265 to 280 class OSV notations), and dynamic-positioning systems with a DP-2 classification or higher. For the avoidance of doubt, any MPSV is a High-Spec Vessel (other than MPSVs which are Ultra High-Spec Vessels).</w:t>
      </w:r>
    </w:p>
    <w:p>
      <w:pPr>
        <w:spacing w:after="0" w:line="171" w:lineRule="exact"/>
        <w:rPr>
          <w:sz w:val="20"/>
          <w:szCs w:val="20"/>
          <w:color w:val="auto"/>
        </w:rPr>
      </w:pPr>
    </w:p>
    <w:p>
      <w:pPr>
        <w:jc w:val="both"/>
        <w:ind w:left="4" w:right="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Holding Company</w:t>
      </w:r>
      <w:r>
        <w:rPr>
          <w:rFonts w:ascii="Times New Roman" w:cs="Times New Roman" w:eastAsia="Times New Roman" w:hAnsi="Times New Roman"/>
          <w:sz w:val="17"/>
          <w:szCs w:val="17"/>
          <w:color w:val="auto"/>
        </w:rPr>
        <w:t>” means any Person so long as such Person directly or indirectly holds 100% of the total voting power of the Voting Stock of the Borrower, and at the time such Person acquired such voting power, no Person and no group (within the meaning of Section 13(d)(3) or Section 14(d)</w:t>
      </w:r>
    </w:p>
    <w:p>
      <w:pPr>
        <w:spacing w:after="0" w:line="1" w:lineRule="exact"/>
        <w:rPr>
          <w:sz w:val="20"/>
          <w:szCs w:val="20"/>
          <w:color w:val="auto"/>
        </w:rPr>
      </w:pPr>
    </w:p>
    <w:p>
      <w:pPr>
        <w:ind w:left="4" w:right="280" w:hanging="4"/>
        <w:spacing w:after="0" w:line="253" w:lineRule="auto"/>
        <w:tabs>
          <w:tab w:leader="none" w:pos="25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66" w:right="459" w:bottom="1440" w:gutter="0" w:footer="0" w:header="0"/>
        </w:sectPr>
      </w:pPr>
    </w:p>
    <w:bookmarkStart w:id="320" w:name="page321"/>
    <w:bookmarkEnd w:id="3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means, at any date of determination, each Restricted Subsidiary of the Borrower that (i) has not guaranteed any other Indebtedness of the Borrower and (ii) has Total Assets and revenues, in each case, of less than 3.5% of Total Assets and revenues and, together with all other Immaterial Subsidiaries, has Total Assets and revenues of less than 3.5% of Total Assets and revenues, in each case, measured (1) at the end of the most recent fiscal period for which consolidated financial statements are available (which may, at the Borrower’s election, be internal consolidated financial statements) on a pro forma basis giving effect to any acquisitions or dispositions of assets, Vessels, companies, division or lines of business since such balance sheet date or the start of such four quarter period, as applicable, and (2) as of the date of acquisition of any such Restricted Subsidiary.</w:t>
      </w:r>
    </w:p>
    <w:p>
      <w:pPr>
        <w:spacing w:after="0" w:line="18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xml:space="preserve">” means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thereof:</w:t>
      </w:r>
    </w:p>
    <w:p>
      <w:pPr>
        <w:spacing w:after="0" w:line="121" w:lineRule="exact"/>
        <w:rPr>
          <w:sz w:val="20"/>
          <w:szCs w:val="20"/>
          <w:color w:val="auto"/>
        </w:rPr>
      </w:pPr>
    </w:p>
    <w:p>
      <w:pPr>
        <w:ind w:left="440" w:right="400" w:firstLine="419"/>
        <w:spacing w:after="0" w:line="282"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Incremental Equivalent Debt on any date such Indebtedness is incurred (or commitments with respect thereto are made) shall not, together with any Incremental Facilities then outstanding, exceed the Incremental Amount;</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Equivalent Debt that is term Indebtedness shall not mature prior to the Latest Maturity Date of the Revolving Loans;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the incurrence of any such Indebtedness pursuant to the Inside Maturity Exception;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6" w:right="499" w:bottom="1440" w:gutter="0" w:footer="0" w:header="0"/>
        </w:sectPr>
      </w:pPr>
    </w:p>
    <w:bookmarkStart w:id="321" w:name="page322"/>
    <w:bookmarkEnd w:id="321"/>
    <w:p>
      <w:pPr>
        <w:ind w:left="440" w:right="160" w:firstLine="419"/>
        <w:spacing w:after="0" w:line="282" w:lineRule="auto"/>
        <w:tabs>
          <w:tab w:leader="none" w:pos="110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Indebtedness incurred pursuant to the Inside Maturity Exception, any mandatory prepayments of any Incremental Equivalent Debt that is term Indebtedness:</w:t>
      </w:r>
    </w:p>
    <w:p>
      <w:pPr>
        <w:spacing w:after="0" w:line="51"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59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Pari Passu Lien Debt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any corresponding mandatory prepayment of the Revolving Loans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for (A) any repayment of such Incremental Equivalent Debt at maturity and (B) any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such Incremental Equivalent Debt with the proceeds of a Refinancing Indebtedness thereof); and</w:t>
      </w:r>
    </w:p>
    <w:p>
      <w:pPr>
        <w:spacing w:after="0" w:line="7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4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comprises Junior Lien Debt or Indebtedness that is not secured by a Lien on all or any portion of the Collateral may not be made unless, to the extent required hereunder, such prepayments are first made or offered to the Loans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Representative acting on behalf of the holders of such Incremental Equivalent Debt has become party to, or is otherwise subject to the provisions of, (A) if such Incremental Equivalent Debt is Pari Passu Lien Debt, an Equal Priority Intercreditor Agreement or (B) if such Incremental Equivalent Debt is Junior Lien Debt, a Junior Lien Intercreditor Agreement and, if elected by the Borrower, the Collateral Trust Agreement;</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08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Pari Passu Lien Debt in respect of which a Loan Party is an obligor, (a) unless otherwise consented to by the Required Lenders, payments in respect of such Indebtedness are subject to the Priority Waterfall or another agreement with substantially equivalent provisions and (b) such Indebtedness shall be term Indebtedness;</w:t>
      </w:r>
    </w:p>
    <w:p>
      <w:pPr>
        <w:spacing w:after="0" w:line="67" w:lineRule="exact"/>
        <w:rPr>
          <w:rFonts w:ascii="Times New Roman" w:cs="Times New Roman" w:eastAsia="Times New Roman" w:hAnsi="Times New Roman"/>
          <w:sz w:val="18"/>
          <w:szCs w:val="18"/>
          <w:color w:val="auto"/>
        </w:rPr>
      </w:pPr>
    </w:p>
    <w:p>
      <w:pPr>
        <w:ind w:left="440" w:right="820" w:firstLine="419"/>
        <w:spacing w:after="0" w:line="282" w:lineRule="auto"/>
        <w:tabs>
          <w:tab w:leader="none" w:pos="11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 may be guaranteed solely by the Loan Parties (or Persons that become Loan Parties substantially concurrently with the incurrence of such Incremental Equivalent Debt);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Incremental Equivalent Debt shall have been consented to by all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Equivalent Debt will be deemed to include any Registered Equivalent Notes issued in exchange therefor.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322" w:name="page323"/>
    <w:bookmarkEnd w:id="3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121" w:lineRule="exact"/>
        <w:rPr>
          <w:sz w:val="20"/>
          <w:szCs w:val="20"/>
          <w:color w:val="auto"/>
        </w:rPr>
      </w:pPr>
    </w:p>
    <w:p>
      <w:pPr>
        <w:ind w:left="1120" w:hanging="261"/>
        <w:spacing w:after="0"/>
        <w:tabs>
          <w:tab w:leader="none" w:pos="11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indebtedness of such Person for borrowed money;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obligations of such Person evidenced by bonds, debentures, notes or other similar instruments;</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thirty (30) days of incurrence);</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Lease Obligations of such Person;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or liquidation preference, of such Person with respect to any Disqualified Equity Interests or, with respect to any Restricted Subsidiary, any preferred stock (but excluding, in each case, any accrued dividends);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amount of such Indebtedness will be the lesser of (a) the Fair Market Value of such asset at such date of determination (as determined in good faith by the Borrower) and (b) the amount of such Indebtedness of such other Persons;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(7)</w:t>
      </w:r>
      <w:r>
        <w:rPr>
          <w:rFonts w:ascii="Times New Roman" w:cs="Times New Roman" w:eastAsia="Times New Roman" w:hAnsi="Times New Roman"/>
          <w:sz w:val="18"/>
          <w:szCs w:val="18"/>
          <w:color w:val="auto"/>
        </w:rPr>
        <w:t xml:space="preserve"> shall not apply in respect of any Restricted Subsidiary that provides Collateral for the First Lien Debt (including the Obligations) and Junior Lien Debt (if any) that is not a guarantor of any First Lien Debt or Junior Lien Debt;</w:t>
      </w:r>
    </w:p>
    <w:p>
      <w:pPr>
        <w:spacing w:after="0" w:line="75"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such Person of the principal component of Indebtedness of the type referred to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other Persons to the extent Guaranteed by such Person; and</w:t>
      </w:r>
    </w:p>
    <w:p>
      <w:pPr>
        <w:spacing w:after="0" w:line="53"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obligations of such Person under Hedge Agreements (the amount of any such obligations to be equal at any time to the net payments under such agreement or arrangement giving rise to such obligation that would be payable by such Person at the termination of such agreement or arrangement);</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above, if and to the extent that any of the foregoing Indebtedness (other than letters of credit and obligations in respect of Hedge Agreements) would appear as a liability upon a balance sheet (excluding the footnotes thereto) of such Person prepared in accordance with GAAP.</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323" w:name="page324"/>
    <w:bookmarkEnd w:id="32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above provisions, in no event shall the following constitute Indebtedness:</w:t>
      </w:r>
    </w:p>
    <w:p>
      <w:pPr>
        <w:spacing w:after="0" w:line="117" w:lineRule="exact"/>
        <w:rPr>
          <w:sz w:val="20"/>
          <w:szCs w:val="20"/>
          <w:color w:val="auto"/>
        </w:rPr>
      </w:pPr>
    </w:p>
    <w:p>
      <w:pPr>
        <w:ind w:left="440" w:right="500" w:firstLine="419"/>
        <w:spacing w:after="0" w:line="282" w:lineRule="auto"/>
        <w:tabs>
          <w:tab w:leader="none" w:pos="11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consistent with past practice, other than guarantees or other assumptions of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concession or license of property (or Guarantee thereof) which would be considered an operating lease under GAAP as in effect on the Closing Date, Non-Financing Lease Obligations, Sale Leaseback Transactions or any prepayments of deposits received from clients or customers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license, permit or other approval (or guarantees given in respect of such obligations) incurred prior to the Closing Date or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in a timely manner;</w:t>
      </w:r>
    </w:p>
    <w:p>
      <w:pPr>
        <w:spacing w:after="0" w:line="75"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8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or in respect of Qualified Securitization Financings or Receivables Facilities;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Parent Entity appearing on the balance sheet of the Borrower solely by reason of push down accounting under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40" w:top="270" w:right="539" w:bottom="1440" w:gutter="0" w:footer="0" w:header="0"/>
        </w:sectPr>
      </w:pPr>
    </w:p>
    <w:bookmarkStart w:id="324" w:name="page325"/>
    <w:bookmarkEnd w:id="324"/>
    <w:p>
      <w:pPr>
        <w:ind w:left="1080" w:hanging="221"/>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Equity Interests (other than in the case of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above, Disqualified Equity Interests);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other than obligations in respect of Capitalized Leases; and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 for Borrowed Money</w:t>
      </w:r>
      <w:r>
        <w:rPr>
          <w:rFonts w:ascii="Times New Roman" w:cs="Times New Roman" w:eastAsia="Times New Roman" w:hAnsi="Times New Roman"/>
          <w:sz w:val="18"/>
          <w:szCs w:val="18"/>
          <w:color w:val="auto"/>
        </w:rPr>
        <w:t xml:space="preserve">” means, with respect to a Person, Indebtedness of such Person under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(to the extent relating to the foregoing clauses) of the definition of “Indebtedness”, and shall include any exchange of existing Indebtedness that results in another class of Indebtedness for borrowed money.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their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7.08(c)(xvi)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Loans</w:t>
      </w:r>
      <w:r>
        <w:rPr>
          <w:rFonts w:ascii="Times New Roman" w:cs="Times New Roman" w:eastAsia="Times New Roman" w:hAnsi="Times New Roman"/>
          <w:sz w:val="18"/>
          <w:szCs w:val="18"/>
          <w:color w:val="auto"/>
        </w:rPr>
        <w:t>” means the revolving loans denominated in Dollars equal to such Lender’s Commitment as of the Closing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Funding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Maturity Exception</w:t>
      </w:r>
      <w:r>
        <w:rPr>
          <w:rFonts w:ascii="Times New Roman" w:cs="Times New Roman" w:eastAsia="Times New Roman" w:hAnsi="Times New Roman"/>
          <w:sz w:val="18"/>
          <w:szCs w:val="18"/>
          <w:color w:val="auto"/>
        </w:rPr>
        <w:t>” means Indebtedness in an aggregate principal amount not to exceed $25,000,000 and such additional amounts as agreed by the Administrative Agent with the consent of the Required Lenders, that constitutes bridge financings, escrow or other similar arrangements, the terms of which provide for automatic and irrevocable extension of the maturity date thereof, subject to customary conditions, to a date that is not earlier than the latest maturity date of the Initial Revolving Loans, in each case, that is designated by the Borrower as being incurred pursuant to this provision, together with any Refinancing Indebtedness in respect of the foregoing.</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00"/>
          </w:cols>
          <w:pgMar w:left="440" w:top="270" w:right="559" w:bottom="1440" w:gutter="0" w:footer="0" w:header="0"/>
        </w:sectPr>
      </w:pPr>
    </w:p>
    <w:bookmarkStart w:id="325" w:name="page326"/>
    <w:bookmarkEnd w:id="325"/>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Intercompany Indebtedness</w:t>
      </w:r>
      <w:r>
        <w:rPr>
          <w:rFonts w:ascii="Times New Roman" w:cs="Times New Roman" w:eastAsia="Times New Roman" w:hAnsi="Times New Roman"/>
          <w:sz w:val="18"/>
          <w:szCs w:val="18"/>
          <w:color w:val="auto"/>
        </w:rPr>
        <w:t>” means Indebtedness by and among the Borrower or any Restricted Subsidiary, on the one hand, and the Borrower or any Restricted Subsidiary, on the other hand.</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License Agreement</w:t>
      </w:r>
      <w:r>
        <w:rPr>
          <w:rFonts w:ascii="Times New Roman" w:cs="Times New Roman" w:eastAsia="Times New Roman" w:hAnsi="Times New Roman"/>
          <w:sz w:val="18"/>
          <w:szCs w:val="18"/>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Borrower or a Restricted Subsidiary.</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Intercreditor Agreements</w:t>
      </w:r>
      <w:r>
        <w:rPr>
          <w:rFonts w:ascii="Times New Roman" w:cs="Times New Roman" w:eastAsia="Times New Roman" w:hAnsi="Times New Roman"/>
          <w:sz w:val="18"/>
          <w:szCs w:val="18"/>
          <w:color w:val="auto"/>
        </w:rPr>
        <w:t>” means any Junior Lien Intercreditor Agreement, any Equal Priority Intercreditor Agreement, any Collateral Trust Agreement and any other intercreditor agreement governing lien priority with the approval of the Required Lenders, in each case that may be executed by the Administrative Agent and Collateral Agent from time to time.</w:t>
      </w:r>
    </w:p>
    <w:p>
      <w:pPr>
        <w:spacing w:after="0" w:line="171" w:lineRule="exact"/>
        <w:rPr>
          <w:sz w:val="20"/>
          <w:szCs w:val="20"/>
          <w:color w:val="auto"/>
        </w:rPr>
      </w:pPr>
    </w:p>
    <w:p>
      <w:pPr>
        <w:ind w:right="1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Payment Date</w:t>
      </w:r>
      <w:r>
        <w:rPr>
          <w:rFonts w:ascii="Times New Roman" w:cs="Times New Roman" w:eastAsia="Times New Roman" w:hAnsi="Times New Roman"/>
          <w:sz w:val="17"/>
          <w:szCs w:val="17"/>
          <w:color w:val="auto"/>
        </w:rPr>
        <w:t xml:space="preserve">” means, (a) as to any SOFR Rate Loan, the last Business Day of each Interest Period applicable to such SOFR Rate Loan, as applicable, and the applicable Maturity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any Interest Period for a SOFR Rate Loan exceeds three months, the respective dates (which shall be a Business Day) that fall every three months after the beginning of such Interest Period shall also be Interest Payment Dates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as to any Base Rate Loan, the last Business Day of each fiscal quarter and the applicable Maturity Date.</w:t>
      </w:r>
    </w:p>
    <w:p>
      <w:pPr>
        <w:spacing w:after="0" w:line="203"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as to each SOFR Rate Loan, the period commencing on the date such SOFR Rate Loan is disbursed or converted to or continued as a SOFR Rate Loan and ending on the date one, three or six months thereafter, or to the extent consented to by each applicable Lender, twelve months (or such period of less than one month as may be consented to by each applicable Lender), as selected by the Borrower in its Committed Loan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2" w:lineRule="exact"/>
        <w:rPr>
          <w:sz w:val="20"/>
          <w:szCs w:val="20"/>
          <w:color w:val="auto"/>
        </w:rPr>
      </w:pPr>
    </w:p>
    <w:p>
      <w:pPr>
        <w:ind w:left="440" w:right="100" w:firstLine="419"/>
        <w:spacing w:after="0" w:line="266" w:lineRule="auto"/>
        <w:tabs>
          <w:tab w:leader="none" w:pos="110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w:t>
      </w:r>
    </w:p>
    <w:p>
      <w:pPr>
        <w:spacing w:after="0" w:line="22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66" w:right="499" w:bottom="1440" w:gutter="0" w:footer="0" w:header="0"/>
        </w:sectPr>
      </w:pPr>
    </w:p>
    <w:bookmarkStart w:id="326" w:name="page327"/>
    <w:bookmarkEnd w:id="32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Equity Interests, Indebtedness or other similar instruments issued by, such other Persons and all other items that are or would be classified as investments on a balance sheet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endorsements of negotiable instruments and documents in the ordinary course of business or consistent with past practice will not be deemed to be an Investment.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419"/>
        <w:spacing w:after="0" w:line="255" w:lineRule="auto"/>
        <w:tabs>
          <w:tab w:leader="none" w:pos="111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will include the portion (proportionate to the Borrower’s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a redesignation of such Subsidiary as a Restricted Subsidiary, the Borrower will be deemed to continue to have a permanent “Investment” in an Unrestricted Subsidiary in an amount (if positive) equal to (a) the Borrower’s “Investment” in such Subsidiary at the time of such redesignation less (b) the portion (proportionate to the Borrower’s equity interest in such Subsidiary) of the Fair Market Value of the net assets (as determined by the Borrower) of such Subsidiary at the time that such Subsidiary is so re-designated a Restricted Subsidiary;</w:t>
      </w:r>
    </w:p>
    <w:p>
      <w:pPr>
        <w:spacing w:after="0" w:line="80"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transferred to or from an Unrestricted Subsidiary will be valued at its Fair Market Value at the time of such transfer, in each case as determined by the Borrower;</w:t>
      </w:r>
    </w:p>
    <w:p>
      <w:pPr>
        <w:spacing w:after="0" w:line="53" w:lineRule="exact"/>
        <w:rPr>
          <w:rFonts w:ascii="Times New Roman" w:cs="Times New Roman" w:eastAsia="Times New Roman" w:hAnsi="Times New Roman"/>
          <w:sz w:val="18"/>
          <w:szCs w:val="18"/>
          <w:color w:val="auto"/>
        </w:rPr>
      </w:pPr>
    </w:p>
    <w:p>
      <w:pPr>
        <w:ind w:left="440" w:right="620" w:firstLine="419"/>
        <w:spacing w:after="0" w:line="289" w:lineRule="auto"/>
        <w:tabs>
          <w:tab w:leader="none" w:pos="111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or any Restricted Subsidiary issues, sells or otherwise disposes of Equity Interests in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the Borrower or a Restricted Subsidiary in respect of such Investment to the extent such amounts do not increase any other baskets under this Agreement.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Securities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240" w:firstLine="419"/>
        <w:spacing w:after="0" w:line="282" w:lineRule="auto"/>
        <w:tabs>
          <w:tab w:leader="none" w:pos="111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thereof (other than Cash Equivalents);</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Canadian, United Kingdom, Australian or Japanese governments, a member state of the European Union, or any agency or instrumentality thereof (other than Cash Equivalents);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327" w:name="page328"/>
    <w:bookmarkEnd w:id="327"/>
    <w:p>
      <w:pPr>
        <w:ind w:left="440" w:right="100" w:firstLine="419"/>
        <w:spacing w:after="0" w:line="261" w:lineRule="auto"/>
        <w:tabs>
          <w:tab w:leader="none" w:pos="11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Borrower and its Subsidiaries;</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fund that invests exclusively in investments of the type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which fund may also hold cash and Cash Equivalents pending investment or distribution;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instruments in countries other than the United States customarily utilized for high quality investments.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Internal Revenue Service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has the meaning specified in the definition of “Net Short Position.”</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an Issuance Notice in respect of letters of credit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xml:space="preserve">” means DNB and JPMorgan Chase Bank, N.A. as Issuing Banks hereunder, together with their permitted successors and assigns in such capacity, and any other Revolving Lender that becomes an Issuing Bank in accordance with </w:t>
      </w:r>
      <w:r>
        <w:rPr>
          <w:rFonts w:ascii="Times New Roman" w:cs="Times New Roman" w:eastAsia="Times New Roman" w:hAnsi="Times New Roman"/>
          <w:sz w:val="18"/>
          <w:szCs w:val="18"/>
          <w:u w:val="single" w:color="auto"/>
          <w:color w:val="auto"/>
        </w:rPr>
        <w:t>Section 2.04(k)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Any Issuing Bank may cause Letters of Credit to be issued by an Affiliate of such Issuing Bank or by another financial institution designated by such Issuing Bank, and all Letters of Credit issued by any such Affiliate or any such designated financial institution shall be treated as being issued by such Issuing Bank for all purposes under the Loan Documents.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Notes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Jones Act Vessel</w:t>
      </w:r>
      <w:r>
        <w:rPr>
          <w:rFonts w:ascii="Times New Roman" w:cs="Times New Roman" w:eastAsia="Times New Roman" w:hAnsi="Times New Roman"/>
          <w:sz w:val="17"/>
          <w:szCs w:val="17"/>
          <w:color w:val="auto"/>
        </w:rPr>
        <w:t>” means, when referring to a vessel, a United States-flagged vessel documented with the United States Coast Guard with a coastwise endorsement and qualified to engage in domestic coastwise trade under the U.S. citizenship and cabotage laws principally contained in 46 U.S.C. § 50501(a), (b) and (d) and 46 U.S.C. Chapters 121 and 551, as amended or modified from time to time, and any successor statutes thereto.</w:t>
      </w:r>
    </w:p>
    <w:p>
      <w:pPr>
        <w:spacing w:after="0" w:line="15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Warrants</w:t>
      </w:r>
      <w:r>
        <w:rPr>
          <w:rFonts w:ascii="Times New Roman" w:cs="Times New Roman" w:eastAsia="Times New Roman" w:hAnsi="Times New Roman"/>
          <w:sz w:val="18"/>
          <w:szCs w:val="18"/>
          <w:color w:val="auto"/>
        </w:rPr>
        <w:t>” means those certain warrants issued to certain non-U.S. citizens in settlement of certain liabilities in respect of the Chapter 11 cases in the United States Bankruptcy Court for the Southern District of Texas, Houston Division, consummated September 4, 2020 and in connection with subsequent private offerings of the Borrower’s Equity Interests.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328" w:name="page329"/>
    <w:bookmarkEnd w:id="3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Debt 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xml:space="preserve">” means any Material Indebtedness (with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proviso in the definition thereof being deemed to be limited to Intercompany Indebtedness) that is (a) contractually subordinated in right of payment to the Obligations expressly by its terms, (b) Junior Lien Debt or (c) unsecured and constitutes Ratio Debt or is incurred in reliance on </w:t>
      </w:r>
      <w:r>
        <w:rPr>
          <w:rFonts w:ascii="Times New Roman" w:cs="Times New Roman" w:eastAsia="Times New Roman" w:hAnsi="Times New Roman"/>
          <w:sz w:val="18"/>
          <w:szCs w:val="18"/>
          <w:u w:val="single" w:color="auto"/>
          <w:color w:val="auto"/>
        </w:rPr>
        <w:t>Section 7.03(a)(ii)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 Documentation</w:t>
      </w:r>
      <w:r>
        <w:rPr>
          <w:rFonts w:ascii="Times New Roman" w:cs="Times New Roman" w:eastAsia="Times New Roman" w:hAnsi="Times New Roman"/>
          <w:sz w:val="18"/>
          <w:szCs w:val="18"/>
          <w:color w:val="auto"/>
        </w:rPr>
        <w:t>” means any documentation governing any Junior Financing.</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Debt</w:t>
      </w:r>
      <w:r>
        <w:rPr>
          <w:rFonts w:ascii="Times New Roman" w:cs="Times New Roman" w:eastAsia="Times New Roman" w:hAnsi="Times New Roman"/>
          <w:sz w:val="18"/>
          <w:szCs w:val="18"/>
          <w:color w:val="auto"/>
        </w:rPr>
        <w:t xml:space="preserve">” means Indebtedness incurred in accordance with this Agreement that is secured by Liens on the Collateral (including any Vessel Collateral) having Junior Lien Priority,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issuance of any such Indebtedness, the applicable Debt Representative shall enter into a Junior Lien Intercreditor Agreement with the Collateral Agent and the Administrative Agent, among others (if applicable) and, if elected by the Borrower, the Collateral Trust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for the avoidance of doubt, that Junior Lien Debt shall not include any unsecured Indebtedness.</w:t>
      </w:r>
    </w:p>
    <w:p>
      <w:pPr>
        <w:spacing w:after="0" w:line="17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Intercreditor Agreement</w:t>
      </w:r>
      <w:r>
        <w:rPr>
          <w:rFonts w:ascii="Times New Roman" w:cs="Times New Roman" w:eastAsia="Times New Roman" w:hAnsi="Times New Roman"/>
          <w:sz w:val="18"/>
          <w:szCs w:val="18"/>
          <w:color w:val="auto"/>
        </w:rPr>
        <w:t xml:space="preserve">” means the Existing Junior Lien Intercreditor Agreement and, after termination of the Existing Junior Lien Intercreditor Agreement in connection with the Second Lien Credit Agreement Refinancing or otherwise, a junior lien intercreditor agreement in the form attached hereto as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(as the same may be modified in a manner reasonably satisfactory to the Administrative Agent, the Collateral Agent (at the direction of the Administrative Agent), the Required Lenders and the Borrower), or, if requested by the providers of Indebtedness permitted hereunder to be Junior Lien Debt, another lien subordination arrangement reasonably satisfactory to the Administrative Agent, the Collateral Agent (at the direction of the Administrative Agent), the Required Lenders and the Borrower, in each case as amended, restated, amended and restated, modified or supplemented from time to time in accordance with the terms hereof and thereof. Upon the request of the Borrower, the Administrative Agent and the Collateral Agent will execute and deliver a Junior Lien Intercreditor Agreement with one or more Debt Representatives for secured Indebtedness that is permitted to be incurred hereunder as Junior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make such request unless such Indebtedness and related Liens are permitted by (including with respect to priority) the Loan Documents.</w:t>
      </w:r>
    </w:p>
    <w:p>
      <w:pPr>
        <w:spacing w:after="0" w:line="18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Priority</w:t>
      </w:r>
      <w:r>
        <w:rPr>
          <w:rFonts w:ascii="Times New Roman" w:cs="Times New Roman" w:eastAsia="Times New Roman" w:hAnsi="Times New Roman"/>
          <w:sz w:val="18"/>
          <w:szCs w:val="18"/>
          <w:color w:val="auto"/>
        </w:rPr>
        <w:t>” means, with respect to a Lien on the Collateral, a Lien on such Collateral that is junior in priority to the Liens on the Collateral securing the Obligations pursuant to a Junior Lien Intercreditor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Incremental Loan, any Refinancing Loan or any Extended Loan, in each case as extended in accordance with this Agreement from time to time.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20"/>
          </w:cols>
          <w:pgMar w:left="440" w:top="266" w:right="539" w:bottom="1440" w:gutter="0" w:footer="0" w:header="0"/>
        </w:sectPr>
      </w:pPr>
    </w:p>
    <w:bookmarkStart w:id="329" w:name="page330"/>
    <w:bookmarkEnd w:id="329"/>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international, foreign, federal, state, provincial, territorial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has the meaning specified in the introductory paragraph to this Agreement (and, for the avoidance of doubt, includes each Revolving Lender), and their respective successors and assigns as permitted hereunder, each of which is referred to herein as a “Lender.”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sets forth the name of each Lender. Unless the context otherwise requires, the term “Lenders” includes the Issuing Banks.</w:t>
      </w:r>
    </w:p>
    <w:p>
      <w:pPr>
        <w:spacing w:after="0" w:line="18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 letter of credit issued or to be issued (or, in the case of an Existing Letter of Credit, deemed to be issued) by any Issuing Bank pursuant to this Agreement, which letter of credit shall be (a) a standby letter of credit or (b) solely to the extent agreed by the applicable Issuing Bank in its sole discretion, commercial or “trade” letter of credit.</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Advance</w:t>
      </w:r>
      <w:r>
        <w:rPr>
          <w:rFonts w:ascii="Times New Roman" w:cs="Times New Roman" w:eastAsia="Times New Roman" w:hAnsi="Times New Roman"/>
          <w:sz w:val="18"/>
          <w:szCs w:val="18"/>
          <w:color w:val="auto"/>
        </w:rPr>
        <w:t>” means, as to any Revolving Lender, such Lender’s funding of its participation in any Letter of Credit Borrowing in accordance with its Pro Rata Share.</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 together with an Issuance Notice.</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means an extension of credit resulting from a drawing under any Letter of Credit that has not been reimbursed by the Borrower on the date when made or refinanced as a Revolving Loan Borrowing.</w:t>
      </w:r>
    </w:p>
    <w:p>
      <w:pPr>
        <w:spacing w:after="0" w:line="155" w:lineRule="exact"/>
        <w:rPr>
          <w:sz w:val="20"/>
          <w:szCs w:val="20"/>
          <w:color w:val="auto"/>
        </w:rPr>
      </w:pPr>
    </w:p>
    <w:p>
      <w:pPr>
        <w:ind w:right="4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Documents</w:t>
      </w:r>
      <w:r>
        <w:rPr>
          <w:rFonts w:ascii="Times New Roman" w:cs="Times New Roman" w:eastAsia="Times New Roman" w:hAnsi="Times New Roman"/>
          <w:sz w:val="17"/>
          <w:szCs w:val="17"/>
          <w:color w:val="auto"/>
        </w:rPr>
        <w:t>” means, as to any Letter of Credit, each Letter of Credit Application and any other document, agreement and instrument entered into by the applicable Issuing Bank and the Borrower or in favor of such Issuing Bank and relating to such Letter of Credit.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66" w:right="499" w:bottom="1440" w:gutter="0" w:footer="0" w:header="0"/>
        </w:sectPr>
      </w:pPr>
    </w:p>
    <w:bookmarkStart w:id="330" w:name="page331"/>
    <w:bookmarkEnd w:id="330"/>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means the day that is five Business Days prior to the Commitment Maturity Date (or, if such day is not a Business Day, the immediately preceding Business Day).</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Extension</w:t>
      </w:r>
      <w:r>
        <w:rPr>
          <w:rFonts w:ascii="Times New Roman" w:cs="Times New Roman" w:eastAsia="Times New Roman" w:hAnsi="Times New Roman"/>
          <w:sz w:val="18"/>
          <w:szCs w:val="18"/>
          <w:color w:val="auto"/>
        </w:rPr>
        <w:t>” means, with respect to any Letter of Credit, the issuance thereof or the extension of the expiry date thereof, or the renewal or increase of the amount thereof.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Obligations</w:t>
      </w:r>
      <w:r>
        <w:rPr>
          <w:rFonts w:ascii="Times New Roman" w:cs="Times New Roman" w:eastAsia="Times New Roman" w:hAnsi="Times New Roman"/>
          <w:sz w:val="18"/>
          <w:szCs w:val="18"/>
          <w:color w:val="auto"/>
        </w:rPr>
        <w:t>”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76"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Percentage</w:t>
      </w:r>
      <w:r>
        <w:rPr>
          <w:rFonts w:ascii="Times New Roman" w:cs="Times New Roman" w:eastAsia="Times New Roman" w:hAnsi="Times New Roman"/>
          <w:sz w:val="18"/>
          <w:szCs w:val="18"/>
          <w:color w:val="auto"/>
        </w:rPr>
        <w:t xml:space="preserve">” means, (a) initially with respect to DNB, 100.00% (as may be reduced to reflect any percentage allocated to another Issuing Bank pursuant to the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and (b) from time to time after the Closing Date with respect to any other Issuing Bank, a percentage to be agreed between the Borrower and such Issuing Bank.</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the greater of (a) $25,000,000 and (b) such higher amount as the Borrower, the Revolving Lenders and the applicable Issuing Bank(s) may from time to time agree.</w:t>
      </w:r>
    </w:p>
    <w:p>
      <w:pPr>
        <w:spacing w:after="0" w:line="155" w:lineRule="exact"/>
        <w:rPr>
          <w:sz w:val="20"/>
          <w:szCs w:val="20"/>
          <w:color w:val="auto"/>
        </w:rPr>
      </w:pPr>
    </w:p>
    <w:p>
      <w:pPr>
        <w:ind w:right="6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Usage</w:t>
      </w:r>
      <w:r>
        <w:rPr>
          <w:rFonts w:ascii="Times New Roman" w:cs="Times New Roman" w:eastAsia="Times New Roman" w:hAnsi="Times New Roman"/>
          <w:sz w:val="18"/>
          <w:szCs w:val="18"/>
          <w:color w:val="auto"/>
        </w:rPr>
        <w:t>” means,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security interest, encumbrance, lien, hypothecation or charge of any kind (including any conditional sale or other title retention agreement or lease in the nature thereof); provided that in no event shall Non-Financing Lease Obligations be deemed to constitute a Lien.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Equity Interests or otherwise and which may include, for the avoidance of doubt, a transaction that may constitute a Change of Control), (2) any redemption, repurchase, defeasance, satisfaction and discharge or repayment of Indebtedness, Disqualified Equity Interests or Preferred Stock requiring irrevocable notice in advance of such redemption, repurchase, defeasance, satisfaction and discharge or repayment, (3) any Restricted Payment requiring irrevocable notice in advance thereof, (4) any asset sale or a disposition excluded from the definition of “Disposition,” and (5) any combination of any of the foregoing.</w:t>
      </w:r>
    </w:p>
    <w:p>
      <w:pPr>
        <w:spacing w:after="0" w:line="18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means, as of any date of determination, the aggregate amount of cash and Cash Equivalents that is not Restricted, in each case, of the Loan Parties and their Restricted Subsidiaries, together with unused and undrawn Commitments under this Agreement that are available to be drawn at such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331" w:name="page332"/>
    <w:bookmarkEnd w:id="3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means a Revolving Loan made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(a) this Agreement, (b) the Revolving Loan Notes, if any, (c) any Refinancing Amendment, Incremental Amendment or Extension Amendment, (d) the Guaranty, (e) the Collateral Documents, (f) any Intercreditor Agreements required to be entered into pursuant to the terms of this Agreement, (g) the Collateral Agent Fee Letter, (h) the Agency Fee Letter and (i) any other document or agreement designated as such by the Borrower and the Administrative Agent.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collectively, the Borrower and the Guarantors.</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Low-Spec Vessel</w:t>
      </w:r>
      <w:r>
        <w:rPr>
          <w:rFonts w:ascii="Times New Roman" w:cs="Times New Roman" w:eastAsia="Times New Roman" w:hAnsi="Times New Roman"/>
          <w:sz w:val="18"/>
          <w:szCs w:val="18"/>
          <w:color w:val="auto"/>
        </w:rPr>
        <w:t>” means, when referring to a Vessel, a Vessel with cargo-carrying capacity of less than 2,500 DWT (i.e., primarily 200 class OSV notations), and/or dynamic-positioning systems with a DP-1 classification or lower.</w:t>
      </w:r>
    </w:p>
    <w:p>
      <w:pPr>
        <w:spacing w:after="0" w:line="155" w:lineRule="exact"/>
        <w:rPr>
          <w:sz w:val="20"/>
          <w:szCs w:val="20"/>
          <w:color w:val="auto"/>
        </w:rPr>
      </w:pPr>
    </w:p>
    <w:p>
      <w:pPr>
        <w:jc w:val="both"/>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Advances</w:t>
      </w:r>
      <w:r>
        <w:rPr>
          <w:rFonts w:ascii="Times New Roman" w:cs="Times New Roman" w:eastAsia="Times New Roman" w:hAnsi="Times New Roman"/>
          <w:sz w:val="18"/>
          <w:szCs w:val="18"/>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Borrower or any Restricted Subsidiary:</w:t>
      </w:r>
    </w:p>
    <w:p>
      <w:pPr>
        <w:spacing w:after="0" w:line="67" w:lineRule="exact"/>
        <w:rPr>
          <w:sz w:val="20"/>
          <w:szCs w:val="20"/>
          <w:color w:val="auto"/>
        </w:rPr>
      </w:pPr>
    </w:p>
    <w:p>
      <w:pPr>
        <w:ind w:left="444" w:right="140" w:firstLine="419"/>
        <w:spacing w:after="0" w:line="261" w:lineRule="auto"/>
        <w:tabs>
          <w:tab w:leader="none" w:pos="112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Equity Interests (or similar obligations) of the Borrower, its Subsidiaries or any Parent Entity with (in the case of this </w:t>
      </w:r>
      <w:r>
        <w:rPr>
          <w:rFonts w:ascii="Times New Roman" w:cs="Times New Roman" w:eastAsia="Times New Roman" w:hAnsi="Times New Roman"/>
          <w:sz w:val="18"/>
          <w:szCs w:val="18"/>
          <w:u w:val="single" w:color="auto"/>
          <w:color w:val="auto"/>
        </w:rPr>
        <w:t>clause (1)(b)</w:t>
      </w:r>
      <w:r>
        <w:rPr>
          <w:rFonts w:ascii="Times New Roman" w:cs="Times New Roman" w:eastAsia="Times New Roman" w:hAnsi="Times New Roman"/>
          <w:sz w:val="18"/>
          <w:szCs w:val="18"/>
          <w:color w:val="auto"/>
        </w:rPr>
        <w:t>) the approval of the Board of Directors of the Borrower;</w:t>
      </w:r>
    </w:p>
    <w:p>
      <w:pPr>
        <w:spacing w:after="0" w:line="71"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2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exceeding $2.0 million .</w:t>
      </w:r>
    </w:p>
    <w:p>
      <w:pPr>
        <w:spacing w:after="0" w:line="221"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Stockholders</w:t>
      </w:r>
      <w:r>
        <w:rPr>
          <w:rFonts w:ascii="Times New Roman" w:cs="Times New Roman" w:eastAsia="Times New Roman" w:hAnsi="Times New Roman"/>
          <w:sz w:val="18"/>
          <w:szCs w:val="18"/>
          <w:color w:val="auto"/>
        </w:rPr>
        <w:t>” means the members of management of the Borrower (or any Parent Entity) or its Subsidiaries who are holders of Equity Interests of the Borrower or of any Parent Entity.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set forth in Regulation U.</w:t>
      </w:r>
    </w:p>
    <w:p>
      <w:pPr>
        <w:spacing w:after="0" w:line="22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event, circumstance or condition that has had a materially adverse effect on (a) the business, operations, assets, liabilities (actual or contingent) or financial condition of the Borrower and the Restricted Subsidiaries, taken as a whole, (b) the ability of the Loan Parties (taken as a whole) to perform their respective payment obligations under any Loan Document to which any of the Loan Parties is a party or</w:t>
      </w:r>
    </w:p>
    <w:p>
      <w:pPr>
        <w:spacing w:after="0" w:line="1" w:lineRule="exact"/>
        <w:rPr>
          <w:sz w:val="20"/>
          <w:szCs w:val="20"/>
          <w:color w:val="auto"/>
        </w:rPr>
      </w:pPr>
    </w:p>
    <w:p>
      <w:pPr>
        <w:ind w:left="5424" w:right="3280" w:hanging="5424"/>
        <w:spacing w:after="0" w:line="433" w:lineRule="auto"/>
        <w:tabs>
          <w:tab w:leader="none" w:pos="2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of the Collateral Agent or the Administrative Agent under any Loan Document. 62</w:t>
      </w:r>
    </w:p>
    <w:p>
      <w:pPr>
        <w:sectPr>
          <w:pgSz w:w="11900" w:h="16838" w:orient="portrait"/>
          <w:cols w:equalWidth="0" w:num="1">
            <w:col w:w="10984"/>
          </w:cols>
          <w:pgMar w:left="436" w:top="266" w:right="479" w:bottom="1440" w:gutter="0" w:footer="0" w:header="0"/>
        </w:sectPr>
      </w:pPr>
    </w:p>
    <w:bookmarkStart w:id="332" w:name="page333"/>
    <w:bookmarkEnd w:id="332"/>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xml:space="preserve">” means, as of any date, Indebtedness for Borrowed Money on such date of any Loan Party in an aggregate principal amount exceeding the Threshold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Indebtedness (a) Indebtedness under a Loan Document, (b) obligations in respect of a Qualified Securitization Financing, (c) Capitalized Lease Obligations, (d) Indebtedness held by a Loan Party or any Indebtedness held by an Affiliate of a Loan Party and (e) Indebtedness under Hedge Agreements.</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means, (a) with respect to any Revolving Loans, the earlier of (i) the date that is five years after the Closing Date and (ii) the date such Revolving Loans are terminated and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(b) with respect to any tranche of Extended Commitments, the earlier of (i) the final maturity date as specified in the applicable Extension Amendment and (ii) the date such tranche of Extended Commitments are terminated and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(c) with respect to any Refinancing Loans, the earlier of (i) the final maturity date as specified in the applicable Refinancing Amendment and (ii) the date such Refinancing Loans are terminated and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day is not a Business Day, the applicable Maturity Date shall be the Business Day immediately preceding such day.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Mid Specification”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Mid-Spec</w:t>
      </w:r>
      <w:r>
        <w:rPr>
          <w:rFonts w:ascii="Times New Roman" w:cs="Times New Roman" w:eastAsia="Times New Roman" w:hAnsi="Times New Roman"/>
          <w:sz w:val="18"/>
          <w:szCs w:val="18"/>
          <w:color w:val="auto"/>
        </w:rPr>
        <w:t>” means, when referring to OSVs, vessels with cargo carrying capacity of between 2,500 and 3,500 DWT (i.e., primarily 240 class OSV notations), and dynamic positioning systems with a DP-2 classification or lower.</w:t>
      </w:r>
    </w:p>
    <w:p>
      <w:pPr>
        <w:spacing w:after="0" w:line="155" w:lineRule="exact"/>
        <w:rPr>
          <w:sz w:val="20"/>
          <w:szCs w:val="20"/>
          <w:color w:val="auto"/>
        </w:rPr>
      </w:pPr>
    </w:p>
    <w:p>
      <w:pPr>
        <w:ind w:left="4" w:right="24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L/C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105% of the Fronting Exposure of the Issuing Banks with respect to Letters of Credit issued and outstanding at such time, and</w:t>
      </w:r>
    </w:p>
    <w:p>
      <w:pPr>
        <w:spacing w:after="0" w:line="1" w:lineRule="exact"/>
        <w:rPr>
          <w:sz w:val="20"/>
          <w:szCs w:val="20"/>
          <w:color w:val="auto"/>
        </w:rPr>
      </w:pPr>
    </w:p>
    <w:p>
      <w:pPr>
        <w:ind w:left="444" w:right="2920" w:hanging="444"/>
        <w:spacing w:after="0" w:line="487" w:lineRule="auto"/>
        <w:tabs>
          <w:tab w:leader="none" w:pos="25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an amount determined by the Administrative Agent and the Issuing Banks in their sole discretion.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MPSV</w:t>
      </w:r>
      <w:r>
        <w:rPr>
          <w:rFonts w:ascii="Times New Roman" w:cs="Times New Roman" w:eastAsia="Times New Roman" w:hAnsi="Times New Roman"/>
          <w:sz w:val="18"/>
          <w:szCs w:val="18"/>
          <w:color w:val="auto"/>
        </w:rPr>
        <w:t>” means a multi-purpose support vessel.</w:t>
      </w:r>
    </w:p>
    <w:p>
      <w:pPr>
        <w:spacing w:after="0" w:line="225"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 if liability to a Loan Party remains.</w:t>
      </w:r>
    </w:p>
    <w:p>
      <w:pPr>
        <w:spacing w:after="0" w:line="171"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GAAP (determined, for the avoidance of doubt, on a consolidated basis) and before any reduction in respect of preferred stock dividends.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66" w:right="459" w:bottom="1440" w:gutter="0" w:footer="0" w:header="0"/>
        </w:sectPr>
      </w:pPr>
    </w:p>
    <w:bookmarkStart w:id="333" w:name="page334"/>
    <w:bookmarkEnd w:id="333"/>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means, at any date of determination, each Lender (other than any Unrestricted Lender) that has a Net Short Position as of such date.</w:t>
      </w:r>
    </w:p>
    <w:p>
      <w:pPr>
        <w:spacing w:after="0" w:line="15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Short Position</w:t>
      </w:r>
      <w:r>
        <w:rPr>
          <w:rFonts w:ascii="Times New Roman" w:cs="Times New Roman" w:eastAsia="Times New Roman" w:hAnsi="Times New Roman"/>
          <w:sz w:val="17"/>
          <w:szCs w:val="17"/>
          <w:color w:val="auto"/>
        </w:rPr>
        <w:t>”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determining whether a Lender (other than an Unrestricted Lender) has a Net Short Position on any date of determination:</w:t>
      </w:r>
    </w:p>
    <w:p>
      <w:pPr>
        <w:spacing w:after="0" w:line="115" w:lineRule="exact"/>
        <w:rPr>
          <w:sz w:val="20"/>
          <w:szCs w:val="20"/>
          <w:color w:val="auto"/>
        </w:rPr>
      </w:pPr>
    </w:p>
    <w:p>
      <w:pPr>
        <w:jc w:val="both"/>
        <w:ind w:left="980" w:right="60" w:firstLine="408"/>
        <w:spacing w:after="0" w:line="258" w:lineRule="auto"/>
        <w:tabs>
          <w:tab w:leader="none" w:pos="159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Derivative Instruments shall be counted at the notional amount (in Dollars) of such Derivative Instrument;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spacing w:after="0" w:line="77" w:lineRule="exact"/>
        <w:rPr>
          <w:rFonts w:ascii="Times New Roman" w:cs="Times New Roman" w:eastAsia="Times New Roman" w:hAnsi="Times New Roman"/>
          <w:sz w:val="18"/>
          <w:szCs w:val="18"/>
          <w:color w:val="auto"/>
        </w:rPr>
      </w:pPr>
    </w:p>
    <w:p>
      <w:pPr>
        <w:ind w:left="980" w:firstLine="408"/>
        <w:spacing w:after="0" w:line="258" w:lineRule="auto"/>
        <w:tabs>
          <w:tab w:leader="none" w:pos="16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notional amounts of Derivative Instruments in other currencies shall be converted to the Dollar equivalent thereof by such Lender in accordance with the terms of such Derivative Instruments,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75" w:lineRule="exact"/>
        <w:rPr>
          <w:rFonts w:ascii="Times New Roman" w:cs="Times New Roman" w:eastAsia="Times New Roman" w:hAnsi="Times New Roman"/>
          <w:sz w:val="18"/>
          <w:szCs w:val="18"/>
          <w:color w:val="auto"/>
        </w:rPr>
      </w:pPr>
    </w:p>
    <w:p>
      <w:pPr>
        <w:ind w:left="980" w:right="20" w:firstLine="408"/>
        <w:spacing w:after="0" w:line="254" w:lineRule="auto"/>
        <w:tabs>
          <w:tab w:leader="none" w:pos="169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that are documented using either the 2014 ISDA Credit Derivatives Definitions or the 2003 ISDA Credit Derivatives Definitions (or any successor definitions thereof,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Loans if such Lender is a protection buyer or the equivalent thereof for such Derivative Instrument and (A)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(B) the Loans would be a “Deliverable Obligation” or an “Obligation” (as defined in the ISDA CDS Definitions) of the Loan Parties under the terms of such derivative transaction;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66" w:right="479" w:bottom="1440" w:gutter="0" w:footer="0" w:header="0"/>
        </w:sectPr>
      </w:pPr>
    </w:p>
    <w:bookmarkStart w:id="334" w:name="page335"/>
    <w:bookmarkEnd w:id="334"/>
    <w:p>
      <w:pPr>
        <w:ind w:left="984" w:right="40" w:firstLine="408"/>
        <w:spacing w:after="0" w:line="266" w:lineRule="auto"/>
        <w:tabs>
          <w:tab w:leader="none" w:pos="169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67" w:lineRule="exact"/>
        <w:rPr>
          <w:rFonts w:ascii="Times New Roman" w:cs="Times New Roman" w:eastAsia="Times New Roman" w:hAnsi="Times New Roman"/>
          <w:sz w:val="18"/>
          <w:szCs w:val="18"/>
          <w:color w:val="auto"/>
        </w:rPr>
      </w:pPr>
    </w:p>
    <w:p>
      <w:pPr>
        <w:ind w:left="984" w:firstLine="408"/>
        <w:spacing w:after="0" w:line="261" w:lineRule="auto"/>
        <w:tabs>
          <w:tab w:leader="none" w:pos="16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spacing w:after="0" w:line="176"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Representation</w:t>
      </w:r>
      <w:r>
        <w:rPr>
          <w:rFonts w:ascii="Times New Roman" w:cs="Times New Roman" w:eastAsia="Times New Roman" w:hAnsi="Times New Roman"/>
          <w:sz w:val="18"/>
          <w:szCs w:val="18"/>
          <w:color w:val="auto"/>
        </w:rPr>
        <w:t>”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specified in the penultimate paragraph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in accordance with GAAP. For the avoidance of doubt, a straight-line or operating lease shall be considered a Non-Financing Lease Obligation.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means all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arising under any Secured Hedge Agreement,</w:t>
      </w:r>
    </w:p>
    <w:p>
      <w:pPr>
        <w:spacing w:after="0" w:line="3" w:lineRule="exact"/>
        <w:rPr>
          <w:sz w:val="20"/>
          <w:szCs w:val="20"/>
          <w:color w:val="auto"/>
        </w:rPr>
      </w:pPr>
    </w:p>
    <w:p>
      <w:pPr>
        <w:ind w:left="4" w:right="100" w:hanging="4"/>
        <w:spacing w:after="0" w:line="253" w:lineRule="auto"/>
        <w:tabs>
          <w:tab w:leader="none" w:pos="2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Management Obligations and (d) Erroneous Payment Subrogation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“Obligations” shall exclude any Excluded Swap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44"/>
          </w:cols>
          <w:pgMar w:left="436" w:top="270" w:right="519" w:bottom="1440" w:gutter="0" w:footer="0" w:header="0"/>
        </w:sectPr>
      </w:pPr>
    </w:p>
    <w:bookmarkStart w:id="335" w:name="page336"/>
    <w:bookmarkEnd w:id="3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Organization Documents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500" w:firstLine="419"/>
        <w:spacing w:after="0" w:line="282" w:lineRule="auto"/>
        <w:tabs>
          <w:tab w:leader="none" w:pos="110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corporation, the certificate or articles of incorporation and the bylaws (or equivalent or comparable constitutive documents with respect to any non-U.S. jurisdiction);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liability company, the certificate or articles of formation or organization and operating agreement;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by any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for any day, the greater of (i) the Federal Funds Rate and (ii) an overnight rate determined by the Administrative Agent in accordance with banking industry rules on interbank compensation.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Lien Debt</w:t>
      </w:r>
      <w:r>
        <w:rPr>
          <w:rFonts w:ascii="Times New Roman" w:cs="Times New Roman" w:eastAsia="Times New Roman" w:hAnsi="Times New Roman"/>
          <w:sz w:val="18"/>
          <w:szCs w:val="18"/>
          <w:color w:val="auto"/>
        </w:rPr>
        <w:t xml:space="preserve">” means any Indebtedness that is secured by Liens on the Vessel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with the Liens on the Collateral (including any Vessel Collateral) that secure the Obligations. For the avoidance of doubt, “Pari Passu Lien Debt” includes the Revolving Loans (if any) and the Commitments as of the Closing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each state as described in any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66" w:right="439" w:bottom="1440" w:gutter="0" w:footer="0" w:header="0"/>
        </w:sectPr>
      </w:pPr>
    </w:p>
    <w:bookmarkStart w:id="336" w:name="page337"/>
    <w:bookmarkEnd w:id="336"/>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Title IV of ERISA or Section 302 of ERISA or Section 412 of the Code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 if liability to a Loan Party remains.</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means the concurrent purchase and sale or exchange of assets used or useful in a Similar Business or a combination of such assets and cash, Cash Equivalents between the Borrower or any of the Restricted Subsidiaries and another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Consent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Stockholders (including any Management Stockholders holding Equity Interests through an equityholding vehicle);</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acting solely as an underwriter in connection with a public or private offering of Equity Interests of any Parent Entity or the Borrower, acting in such capacity;</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such group and without giving effect to the existence of such group or any other group, Persons referred to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collectively, have beneficial ownership of more than 50% of the total voting power of the Voting Stock of the Borrower or any Parent Entity held by such group;</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Holding Company in connection with and immediately following a Qualifying IPO or, prior to a Qualifying IPO, to the extent such Holding Company itself (or any of its Parent Entities) is listed on any United States national securities exchange; and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Plan.</w:t>
      </w:r>
    </w:p>
    <w:p>
      <w:pPr>
        <w:spacing w:after="0" w:line="117" w:lineRule="exact"/>
        <w:rPr>
          <w:sz w:val="20"/>
          <w:szCs w:val="20"/>
          <w:color w:val="auto"/>
        </w:rPr>
      </w:pPr>
    </w:p>
    <w:p>
      <w:pPr>
        <w:ind w:left="440" w:right="240"/>
        <w:spacing w:after="0" w:line="312" w:lineRule="auto"/>
        <w:rPr>
          <w:sz w:val="20"/>
          <w:szCs w:val="20"/>
          <w:color w:val="auto"/>
        </w:rPr>
      </w:pPr>
      <w:r>
        <w:rPr>
          <w:rFonts w:ascii="Times New Roman" w:cs="Times New Roman" w:eastAsia="Times New Roman" w:hAnsi="Times New Roman"/>
          <w:sz w:val="17"/>
          <w:szCs w:val="17"/>
          <w:color w:val="auto"/>
        </w:rPr>
        <w:t>Any Person or group whose acquisition of beneficial ownership constitutes a Change of Control in respect of which the Required Lenders have provided a consent in accordance with this Agreement will thereafter, together with its Affiliates, constitute an additional Permitted Holder.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66" w:right="479" w:bottom="1440" w:gutter="0" w:footer="0" w:header="0"/>
        </w:sectPr>
      </w:pPr>
    </w:p>
    <w:bookmarkStart w:id="337" w:name="page338"/>
    <w:bookmarkEnd w:id="337"/>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Intercompany Activities</w:t>
      </w:r>
      <w:r>
        <w:rPr>
          <w:rFonts w:ascii="Times New Roman" w:cs="Times New Roman" w:eastAsia="Times New Roman" w:hAnsi="Times New Roman"/>
          <w:sz w:val="18"/>
          <w:szCs w:val="18"/>
          <w:color w:val="auto"/>
        </w:rPr>
        <w:t>”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(iii) customary loyalty and rewards programs and (iv) Vessel reflagging arrangements (to the extent the reflagging is otherwise permitted hereunder); and (B) between or among the Borrower, its Restricted Subsidiaries and any Captive Insurance Subsidiary.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(in each case, by the Borrower or any of the Restricted Subsidiaries):</w:t>
      </w:r>
    </w:p>
    <w:p>
      <w:pPr>
        <w:spacing w:after="0" w:line="121" w:lineRule="exact"/>
        <w:rPr>
          <w:sz w:val="20"/>
          <w:szCs w:val="20"/>
          <w:color w:val="auto"/>
        </w:rPr>
      </w:pPr>
    </w:p>
    <w:p>
      <w:pPr>
        <w:ind w:left="440" w:right="100" w:firstLine="419"/>
        <w:spacing w:after="0" w:line="266" w:lineRule="auto"/>
        <w:tabs>
          <w:tab w:leader="none" w:pos="11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a Restricted Subsidiary (including the Equity Interests of, or guarantees of obligations of, a Restricted Subsidiary) or the Borrower or (b) a Person (including the Equity Interests of any such Person) that will, upon the making of such Investment, become a Restricted Subsidiary of the Borrower;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another Person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Investment was not acquired by such Person in contemplation of such acquisition, merger, amalgamation,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transfer or conveyance;</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Cash Equivalents or Investment Grade Securities;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receivables owing to the Borrower or any Restricted Subsidiary created or acquired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payroll, travel, entertainment, relocation, moving related and similar advances that are made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Advances;</w:t>
      </w:r>
    </w:p>
    <w:p>
      <w:pPr>
        <w:spacing w:after="0" w:line="117" w:lineRule="exact"/>
        <w:rPr>
          <w:rFonts w:ascii="Times New Roman" w:cs="Times New Roman" w:eastAsia="Times New Roman" w:hAnsi="Times New Roman"/>
          <w:sz w:val="18"/>
          <w:szCs w:val="18"/>
          <w:color w:val="auto"/>
        </w:rPr>
      </w:pPr>
    </w:p>
    <w:p>
      <w:pPr>
        <w:ind w:left="440" w:firstLine="419"/>
        <w:spacing w:after="0" w:line="272" w:lineRule="auto"/>
        <w:tabs>
          <w:tab w:leader="none" w:pos="1118"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Borrower or any such Restricted Subsidiary, (c) as a result of foreclosure, perfection or enforcement of any Lien,</w:t>
      </w:r>
    </w:p>
    <w:p>
      <w:pPr>
        <w:spacing w:after="0" w:line="1" w:lineRule="exact"/>
        <w:rPr>
          <w:rFonts w:ascii="Times New Roman" w:cs="Times New Roman" w:eastAsia="Times New Roman" w:hAnsi="Times New Roman"/>
          <w:sz w:val="17"/>
          <w:szCs w:val="17"/>
          <w:color w:val="auto"/>
        </w:rPr>
      </w:pPr>
    </w:p>
    <w:p>
      <w:pPr>
        <w:ind w:left="440" w:right="100" w:hanging="4"/>
        <w:spacing w:after="0" w:line="255"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66" w:right="499" w:bottom="1440" w:gutter="0" w:footer="0" w:header="0"/>
        </w:sectPr>
      </w:pPr>
    </w:p>
    <w:bookmarkStart w:id="338" w:name="page339"/>
    <w:bookmarkEnd w:id="338"/>
    <w:p>
      <w:pPr>
        <w:ind w:left="4" w:right="20" w:firstLine="419"/>
        <w:spacing w:after="0" w:line="282" w:lineRule="auto"/>
        <w:tabs>
          <w:tab w:leader="none" w:pos="68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made as a result of the receipt of promissory notes or other non-cash consideration (including earn-outs) from a sale or other disposition of property or assets that complies with or is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340" w:firstLine="419"/>
        <w:spacing w:after="0" w:line="256" w:lineRule="auto"/>
        <w:tabs>
          <w:tab w:leader="none" w:pos="68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or pursuant to binding commitments, agreements or arrangements in effect on the Closing Date and any modification, replacement, renewal, reinvestment or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w:t>
      </w:r>
    </w:p>
    <w:p>
      <w:pPr>
        <w:spacing w:after="0" w:line="79"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 respect of Hedge Agreements, which transactions or obligations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82" w:lineRule="auto"/>
        <w:tabs>
          <w:tab w:leader="none" w:pos="765"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with respect to leases or utilities provided to third parties in the ordinary course of business or Liens otherwise made in connection with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77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to the extent made using Equity Interests of the Borrower (other than Disqualified Equity Interests) or Equity Interests of any Parent Entity or any Unrestricted Subsidiary as consideration;</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purchases or other acquisitions of inventory, supplies, materials, equipment and similar assets or</w:t>
      </w:r>
    </w:p>
    <w:p>
      <w:pPr>
        <w:spacing w:after="0" w:line="27" w:lineRule="exact"/>
        <w:rPr>
          <w:rFonts w:ascii="Times New Roman" w:cs="Times New Roman" w:eastAsia="Times New Roman" w:hAnsi="Times New Roman"/>
          <w:sz w:val="18"/>
          <w:szCs w:val="18"/>
          <w:color w:val="auto"/>
        </w:rPr>
      </w:pPr>
    </w:p>
    <w:p>
      <w:pPr>
        <w:ind w:left="4" w:right="220" w:hanging="4"/>
        <w:spacing w:after="0" w:line="255" w:lineRule="auto"/>
        <w:tabs>
          <w:tab w:leader="none" w:pos="26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p>
    <w:p>
      <w:pPr>
        <w:spacing w:after="0" w:line="77"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77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of Indebtedness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w:t>
      </w:r>
    </w:p>
    <w:p>
      <w:pPr>
        <w:spacing w:after="0" w:line="67" w:lineRule="exact"/>
        <w:rPr>
          <w:rFonts w:ascii="Times New Roman" w:cs="Times New Roman" w:eastAsia="Times New Roman" w:hAnsi="Times New Roman"/>
          <w:sz w:val="18"/>
          <w:szCs w:val="18"/>
          <w:color w:val="auto"/>
        </w:rPr>
      </w:pPr>
    </w:p>
    <w:p>
      <w:pPr>
        <w:ind w:left="4" w:right="640" w:firstLine="419"/>
        <w:spacing w:after="0" w:line="282" w:lineRule="auto"/>
        <w:tabs>
          <w:tab w:leader="none" w:pos="77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a purchase agreement, or letter of intent, or other acquisitions to the extent not otherwise prohibited by this Agreement;</w:t>
      </w:r>
    </w:p>
    <w:p>
      <w:pPr>
        <w:spacing w:after="0" w:line="53"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77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Closing Date or of an entity merged or amalgamated into or consolidated with the Borrower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4"/>
          </w:cols>
          <w:pgMar w:left="876" w:top="270" w:right="459" w:bottom="1440" w:gutter="0" w:footer="0" w:header="0"/>
        </w:sectPr>
      </w:pPr>
    </w:p>
    <w:bookmarkStart w:id="339" w:name="page340"/>
    <w:bookmarkEnd w:id="339"/>
    <w:p>
      <w:pPr>
        <w:ind w:right="460" w:firstLine="419"/>
        <w:spacing w:after="0" w:line="266" w:lineRule="auto"/>
        <w:tabs>
          <w:tab w:leader="none" w:pos="7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no Default or Event of Default has occurred and is continuing, Investments in joint ventures and similar entities and</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Unrestricted Subsidiaries having an aggregate Fair Market Value, when taken together with all other Investments made pursuant to this clause that are at the time outstanding, not to exceed the greater of (i) $25.0 million and (ii) an amount equal to 3.0%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cs="Times New Roman" w:eastAsia="Times New Roman" w:hAnsi="Times New Roman"/>
          <w:sz w:val="18"/>
          <w:szCs w:val="18"/>
          <w:u w:val="single" w:color="auto"/>
          <w:color w:val="auto"/>
        </w:rPr>
        <w:t>Section 7.06(d)(iv)</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Investment pursuant to this clause is made in any Person that is not the Borrower or a Restricted Subsidiary at the date of the making of such Investment (A) and such person becomes the Borrower or a Restricted Subsidiary after such date, such Investment shall thereafter be deemed to have been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shall cease to have been made pursuant to this clause and (B) the Borrower shall be in pro forma compliance with the Financial Covenants upon giving effect to such Investment;</w:t>
      </w:r>
    </w:p>
    <w:p>
      <w:pPr>
        <w:spacing w:after="0" w:line="84" w:lineRule="exact"/>
        <w:rPr>
          <w:rFonts w:ascii="Times New Roman" w:cs="Times New Roman" w:eastAsia="Times New Roman" w:hAnsi="Times New Roman"/>
          <w:sz w:val="18"/>
          <w:szCs w:val="18"/>
          <w:color w:val="auto"/>
        </w:rPr>
      </w:pPr>
    </w:p>
    <w:p>
      <w:pPr>
        <w:ind w:right="40" w:firstLine="419"/>
        <w:spacing w:after="0" w:line="261" w:lineRule="auto"/>
        <w:tabs>
          <w:tab w:leader="none" w:pos="7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no Default or Event of Default has occurred and is continuing, additional Investments having an aggregate Fair Market Value, taken together with all other Investments made pursuant to this clause that are at that time outstanding, not to exceed the greater of (i)</w:t>
      </w: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 million and (ii) an amount equal to 10.0% of the Borrower’s Consolidated Net Tangible Assets determined as of the end of the Borrower’s most recently completed fiscal quarter for which internal financial statements are available in the aggregate outstanding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w:t>
      </w:r>
      <w:r>
        <w:rPr>
          <w:rFonts w:ascii="Times New Roman" w:cs="Times New Roman" w:eastAsia="Times New Roman" w:hAnsi="Times New Roman"/>
          <w:sz w:val="18"/>
          <w:szCs w:val="18"/>
          <w:u w:val="single" w:color="auto"/>
          <w:color w:val="auto"/>
        </w:rPr>
        <w:t>Section 7.06(d)(iv)</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is made in any Person that is not the Borrower or a Restricted Subsidiary at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making of such Investment (A) and such Person becomes the Borrower or a Restricted Subsidiary after such date, such Investment shall thereafter be deemed to have been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shall cease to have been made pursuant to this clause and (B) the Borrower shall be in pro forma compliance with the Financial Covenants upon giving effect to such Investment;</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0"/>
          </w:cols>
          <w:pgMar w:left="880" w:top="270" w:right="459" w:bottom="1440" w:gutter="0" w:footer="0" w:header="0"/>
        </w:sectPr>
      </w:pPr>
    </w:p>
    <w:bookmarkStart w:id="340" w:name="page341"/>
    <w:bookmarkEnd w:id="340"/>
    <w:p>
      <w:pPr>
        <w:ind w:left="760" w:hanging="341"/>
        <w:spacing w:after="0"/>
        <w:tabs>
          <w:tab w:leader="none" w:pos="7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arising or made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from casualty insurance proceeds in connection with the replacement, substitution, restoration or repair of assets on account of a Casualty Event;</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 and indemnification obligations arising in connection with surety bonds issued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75" w:lineRule="exact"/>
        <w:rPr>
          <w:rFonts w:ascii="Times New Roman" w:cs="Times New Roman" w:eastAsia="Times New Roman" w:hAnsi="Times New Roman"/>
          <w:sz w:val="18"/>
          <w:szCs w:val="18"/>
          <w:color w:val="auto"/>
        </w:rPr>
      </w:pPr>
    </w:p>
    <w:p>
      <w:pPr>
        <w:ind w:right="160" w:firstLine="419"/>
        <w:spacing w:after="0" w:line="312" w:lineRule="auto"/>
        <w:tabs>
          <w:tab w:leader="none" w:pos="76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31" w:lineRule="exact"/>
        <w:rPr>
          <w:rFonts w:ascii="Times New Roman" w:cs="Times New Roman" w:eastAsia="Times New Roman" w:hAnsi="Times New Roman"/>
          <w:sz w:val="17"/>
          <w:szCs w:val="17"/>
          <w:color w:val="auto"/>
        </w:rPr>
      </w:pPr>
    </w:p>
    <w:p>
      <w:pPr>
        <w:ind w:right="240" w:firstLine="419"/>
        <w:spacing w:after="0" w:line="282"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any Captive Insurance Subsidiary in connection with the provision of insurance to the Borrower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71"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a Permitted Intercompany Activities and related transactions;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40"/>
          </w:cols>
          <w:pgMar w:left="880" w:top="270" w:right="479" w:bottom="1440" w:gutter="0" w:footer="0" w:header="0"/>
        </w:sectPr>
      </w:pPr>
    </w:p>
    <w:bookmarkStart w:id="341" w:name="page342"/>
    <w:bookmarkEnd w:id="341"/>
    <w:p>
      <w:pPr>
        <w:ind w:right="40" w:firstLine="419"/>
        <w:spacing w:after="0" w:line="261" w:lineRule="auto"/>
        <w:tabs>
          <w:tab w:leader="none" w:pos="7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Investment so long as no Default or Event of Default has occurred and is continuing and immediately after giving pro forma effect to the Investment and the incurrence of any Indebtedness the net proceeds of which are used to make such Investment, the Total Net Leverage Ratio shall be no greater than 2.00 to 1.00 and the Borrower shall be in pro forma compliance with the Financial Covenants upon giving effect to such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Debt 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Secured Refinancing Debt</w:t>
      </w:r>
      <w:r>
        <w:rPr>
          <w:rFonts w:ascii="Times New Roman" w:cs="Times New Roman" w:eastAsia="Times New Roman" w:hAnsi="Times New Roman"/>
          <w:sz w:val="18"/>
          <w:szCs w:val="18"/>
          <w:color w:val="auto"/>
        </w:rPr>
        <w:t>” means any Second Lien Credit Agreement Refinancing Indebtedness that is Junior Lien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xml:space="preserve">” means any Lien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Maritime Lien</w:t>
      </w:r>
      <w:r>
        <w:rPr>
          <w:rFonts w:ascii="Times New Roman" w:cs="Times New Roman" w:eastAsia="Times New Roman" w:hAnsi="Times New Roman"/>
          <w:sz w:val="18"/>
          <w:szCs w:val="18"/>
          <w:color w:val="auto"/>
        </w:rPr>
        <w:t>” means, at any time with respect to any Vessel Collateral:</w:t>
      </w:r>
    </w:p>
    <w:p>
      <w:pPr>
        <w:spacing w:after="0" w:line="121" w:lineRule="exact"/>
        <w:rPr>
          <w:sz w:val="20"/>
          <w:szCs w:val="20"/>
          <w:color w:val="auto"/>
        </w:rPr>
      </w:pPr>
    </w:p>
    <w:p>
      <w:pPr>
        <w:ind w:right="140" w:firstLine="419"/>
        <w:spacing w:after="0" w:line="266"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crews’ wages (including the wages of the master of any Vessel) that are incurred in the ordinary course of business and have accrued for not more than forty-five (45) days unless any such Lien is being contested in good faith and by appropriate proceedings or other acts by the relevant Loan Party and the relevant Loan Party shall have set aside on its books adequate reserves with respect to such Lien;</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salvage (including contract salvage) or general average, and Liens for wages of stevedores employed by the owner of any Vessel, the master of such Vessel or a charterer or lessee of such Vessel,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shipyard Liens and other Liens arising by operation of law arising in the ordinary course of business in operating, maintaining, repairing, modifying, refurbishing, or rebuilding any Vessel (other than those referred to in (1) and (2) above), including maritime Liens for necessaries, which in each case have accrued for not more than forty-five (45) days unless any such Lien is being contested in good faith and by appropriate proceedings or other acts by the relevant Loan Party, and such Loan Party shall have set aside on its books adequate reserves with respect to such Lien;</w:t>
      </w:r>
    </w:p>
    <w:p>
      <w:pPr>
        <w:spacing w:after="0" w:line="75"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damages arising from maritime torts which are unclaimed, or are covered by insurance and any deductible applicable thereto, or in respect of which a bond or other security has been posted on behalf of the relevant Loan Party with the appropriate court or other tribunal to prevent the arrest or secure the release of any Vessel from arrest, unless any such Lien is being contested in good faith and by appropriate proceedings or other acts by the relevant Loan Party, and such Loan Party shall have set aside on its books adequate reserves with respect to such Lien;</w:t>
      </w:r>
    </w:p>
    <w:p>
      <w:pPr>
        <w:spacing w:after="0" w:line="75" w:lineRule="exact"/>
        <w:rPr>
          <w:rFonts w:ascii="Times New Roman" w:cs="Times New Roman" w:eastAsia="Times New Roman" w:hAnsi="Times New Roman"/>
          <w:sz w:val="18"/>
          <w:szCs w:val="18"/>
          <w:color w:val="auto"/>
        </w:rPr>
      </w:pPr>
    </w:p>
    <w:p>
      <w:pPr>
        <w:ind w:right="420" w:firstLine="419"/>
        <w:spacing w:after="0" w:line="282"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as indicated by the written admission of liability therefor by an insurance company, are covered by insurance (subject to reasonable deductibles); and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40"/>
          </w:cols>
          <w:pgMar w:left="880" w:top="270" w:right="479" w:bottom="1440" w:gutter="0" w:footer="0" w:header="0"/>
        </w:sectPr>
      </w:pPr>
    </w:p>
    <w:bookmarkStart w:id="342" w:name="page343"/>
    <w:bookmarkEnd w:id="342"/>
    <w:p>
      <w:pPr>
        <w:ind w:left="440" w:right="740" w:firstLine="419"/>
        <w:spacing w:after="0" w:line="282" w:lineRule="auto"/>
        <w:tabs>
          <w:tab w:leader="none" w:pos="111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for charters or subcharters or leases or subleases, including any charter, subcharter, lease or sublease permitted under this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Pari Passu Secured Refinancing Debt</w:t>
      </w:r>
      <w:r>
        <w:rPr>
          <w:rFonts w:ascii="Times New Roman" w:cs="Times New Roman" w:eastAsia="Times New Roman" w:hAnsi="Times New Roman"/>
          <w:sz w:val="18"/>
          <w:szCs w:val="18"/>
          <w:color w:val="auto"/>
        </w:rPr>
        <w:t>” means any Second Lien Credit Agreement Refinancing Indebtedness that is Pari Passu Lien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Payment</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60" w:firstLine="419"/>
        <w:spacing w:after="0" w:line="261"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sixty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prepayment, purchase, repurchase, redemption, defeasance, discharge, retirement or other acquisition of Equity Interests, including any accrued and unpaid dividends thereon (“</w:t>
      </w:r>
      <w:r>
        <w:rPr>
          <w:rFonts w:ascii="Times New Roman" w:cs="Times New Roman" w:eastAsia="Times New Roman" w:hAnsi="Times New Roman"/>
          <w:sz w:val="18"/>
          <w:szCs w:val="18"/>
          <w:b w:val="1"/>
          <w:bCs w:val="1"/>
          <w:color w:val="auto"/>
        </w:rPr>
        <w:t>Treasury Equity Interests</w:t>
      </w:r>
      <w:r>
        <w:rPr>
          <w:rFonts w:ascii="Times New Roman" w:cs="Times New Roman" w:eastAsia="Times New Roman" w:hAnsi="Times New Roman"/>
          <w:sz w:val="18"/>
          <w:szCs w:val="18"/>
          <w:color w:val="auto"/>
        </w:rPr>
        <w:t>”) made by exchange (including any such exchange pursuant to the exercise of a conversion right or privilege in connection with which cash is paid in lieu of the issuance of fractional shares) for, or out of the proceeds of the substantially concurrent sale of, Equity Interests of the Borrower or any Parent Entity to the extent contributed to the Borrower (in each case, other than Disqualified Equity Interests) (“</w:t>
      </w:r>
      <w:r>
        <w:rPr>
          <w:rFonts w:ascii="Times New Roman" w:cs="Times New Roman" w:eastAsia="Times New Roman" w:hAnsi="Times New Roman"/>
          <w:sz w:val="18"/>
          <w:szCs w:val="18"/>
          <w:b w:val="1"/>
          <w:bCs w:val="1"/>
          <w:color w:val="auto"/>
        </w:rPr>
        <w:t>Refunding Equity Interests</w:t>
      </w:r>
      <w:r>
        <w:rPr>
          <w:rFonts w:ascii="Times New Roman" w:cs="Times New Roman" w:eastAsia="Times New Roman" w:hAnsi="Times New Roman"/>
          <w:sz w:val="18"/>
          <w:szCs w:val="18"/>
          <w:color w:val="auto"/>
        </w:rPr>
        <w:t>”) and (b) the declaration and payment of dividends on Treasury Equity Interests out of the proceeds of the substantially concurrent sale or issuance (other than to a Subsidiary of the Borrower or to an employee stock ownership plan or any trust established by a Parent Entity, the Borrower or any of its Subsidiaries) of Refunding Equity Interests;</w:t>
      </w:r>
    </w:p>
    <w:p>
      <w:pPr>
        <w:spacing w:after="0" w:line="80"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retirement or other acquisition of Junior Financing made by exchange for, or out of the proceeds of the substantially concurrent sale of, any Refinancing Indebtedness or Second Lien Credit Agreement Refinancing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retirement or other acquisition of preferred stock of the Borrower or a Restricted Subsidiary made by exchange for, or out of the proceeds of the substantially concurrent sale of, preferred stock of the Borrower or a Restricted Subsidiary, as the case may be, that, in each case, is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1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purchase, repurchase, redemption, defeasance, discharge, retirement or other acquisition of Subordinated Indebtedness of the Issuer or a Restricted Subsidiary to the extent required by the agreement governing such Subordinated Indebtedness, following the occurrence of (i) a Change of Control (or other similar event described therein as a “change of control”) or (ii) an asset disposition (or other similar event described therein as an “asset disposition” or “asset sale”), but only if the Borrower shall have first complied with the terms described under “—Change of Control” or “— Limitation on Sales of Assets and Subsidiary Stock,” as applicable, and purchased all notes tendered pursuant to the offer to repurchase all the notes required thereby, prior to purchasing, repurchasing, redeeming, defeasing or otherwise acquiring or retiring such Subordinated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343" w:name="page344"/>
    <w:bookmarkEnd w:id="343"/>
    <w:p>
      <w:pPr>
        <w:ind w:firstLine="419"/>
        <w:spacing w:after="0" w:line="252" w:lineRule="auto"/>
        <w:tabs>
          <w:tab w:leader="none" w:pos="6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Restricted Payment to pay for the prepayment, purchase, repurchase, redemption, defeasance, discharge, retirement or other acquisition of Equity Interests of the Borrower or any Parent Entity held by any future, present or former employee, director, officer, manager, contractor, consultant or advisor (or their respective Controlled Investment Affiliates or Immediate Family Members) of the Borrower,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Borrower or any Parent Entity in connection with such prepayment, purchase, repurchase, redemption, defeasance, discharge, retirement or other acquisition), including any Equity Interests rolled over, accelerated or paid out by or to any employee, director, officer, manager, contractor, consultant or advisor (or their respective Controlled Investment Affiliates or Immediate Family Members) of the Borrower, any of its Subsidiaries or any Parent Entity in connection with any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aggregate Restricted Payments made under this clause do not exceed (x) the greater of (i) $15.0 million and (ii) an amount equal to 1.5%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or (y) subsequent to the consummation of a Qualifying IPO of the Borrower or any Parent Entity, the greater of (i) $25.0 million and (ii) an amount equal to 3.0% of the Borrower’s Consolidated Net Tangible Assets determined as of the end of the Borrower’s most recently completed fiscal quarter for which internal financial statements are available in any fiscal year (with unused amounts in any fiscal year being carried over to succeeding fiscal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amount in any fiscal year may be increased by an amount not to exceed:</w:t>
      </w:r>
    </w:p>
    <w:p>
      <w:pPr>
        <w:spacing w:after="0" w:line="98" w:lineRule="exact"/>
        <w:rPr>
          <w:rFonts w:ascii="Times New Roman" w:cs="Times New Roman" w:eastAsia="Times New Roman" w:hAnsi="Times New Roman"/>
          <w:sz w:val="18"/>
          <w:szCs w:val="18"/>
          <w:color w:val="auto"/>
        </w:rPr>
      </w:pPr>
    </w:p>
    <w:p>
      <w:pPr>
        <w:ind w:left="980" w:right="20" w:hanging="439"/>
        <w:spacing w:after="0" w:line="256" w:lineRule="auto"/>
        <w:tabs>
          <w:tab w:leader="none" w:pos="9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from the sale of Equity Interests (other than Disqualified Equity Interests) of the Borrower and, to the extent contributed to the capital of the Borrower, the cash proceeds from the sale of Equity Interests of any Parent Entity, in each case, to any future, present or former employee, director, officer, manager, contractor, consultant or advisor (or their respective Controlled Investment Affiliates or Immediate Family Members) of the Borrower, any of its Subsidiaries or any Parent Entity that occurred after the Closing Date, to the extent the cash proceeds from the sale of such Equity Interests have not otherwise been applied to the payment of Restricted Payments by virtue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preceding paragraph; plus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80"/>
          </w:cols>
          <w:pgMar w:left="880" w:top="270" w:right="439" w:bottom="1440" w:gutter="0" w:footer="0" w:header="0"/>
        </w:sectPr>
      </w:pPr>
    </w:p>
    <w:bookmarkStart w:id="344" w:name="page345"/>
    <w:bookmarkEnd w:id="344"/>
    <w:p>
      <w:pPr>
        <w:ind w:left="980" w:right="120" w:hanging="439"/>
        <w:spacing w:after="0" w:line="282" w:lineRule="auto"/>
        <w:tabs>
          <w:tab w:leader="none" w:pos="9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cash proceeds of key man life insurance policies received by the Borrower or its Restricted Subsidiaries (or any Parent Entity to the extent contributed to the Borrower) after the Closing Date; less</w:t>
      </w:r>
    </w:p>
    <w:p>
      <w:pPr>
        <w:spacing w:after="0" w:line="65" w:lineRule="exact"/>
        <w:rPr>
          <w:rFonts w:ascii="Times New Roman" w:cs="Times New Roman" w:eastAsia="Times New Roman" w:hAnsi="Times New Roman"/>
          <w:sz w:val="18"/>
          <w:szCs w:val="18"/>
          <w:color w:val="auto"/>
        </w:rPr>
      </w:pPr>
    </w:p>
    <w:p>
      <w:pPr>
        <w:ind w:left="980" w:hanging="439"/>
        <w:spacing w:after="0" w:line="254" w:lineRule="auto"/>
        <w:tabs>
          <w:tab w:leader="none" w:pos="9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Restricted Payments made in previous calendar years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clause;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elect to apply all or any portion of the aggregate increase contemplated by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clause in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 cancellation of Indebtedness owing to the Borrower or any Restricted Subsidiary from any future, present or former employee, director, officer, manager, contractor, consultant or advisor (or their respective Controlled Investment Affiliates or Immediate Family Members) of the Borrower or Restricted Subsidiaries or any Parent Entity in connection with a repurchase of Equity Interests of the Borrower or any Parent Entity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will not be deemed to constitute a Restricted Payment for purposes of this covenant or any other provision of this Agreement;</w:t>
      </w:r>
    </w:p>
    <w:p>
      <w:pPr>
        <w:spacing w:after="0" w:line="79" w:lineRule="exact"/>
        <w:rPr>
          <w:rFonts w:ascii="Times New Roman" w:cs="Times New Roman" w:eastAsia="Times New Roman" w:hAnsi="Times New Roman"/>
          <w:sz w:val="18"/>
          <w:szCs w:val="18"/>
          <w:color w:val="auto"/>
        </w:rPr>
      </w:pPr>
    </w:p>
    <w:p>
      <w:pPr>
        <w:ind w:right="580" w:firstLine="419"/>
        <w:spacing w:after="0" w:line="282" w:lineRule="auto"/>
        <w:tabs>
          <w:tab w:leader="none" w:pos="67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declaration and payment of dividends on Disqualified Equity Interests of the Borrower or any of its Restricted Subsidiaries or preferred stock of a Restricted Subsidiary, issued in accordance with the covenant described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80" w:firstLine="419"/>
        <w:spacing w:after="0" w:line="255" w:lineRule="auto"/>
        <w:tabs>
          <w:tab w:leader="none" w:pos="67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the Borrower or any Restricted Subsidiary in respect of withholding or similar Taxes payable in connection with the exercise or vesting of Equity Interests or any other equity award by any future, present or former employee, director, officer, manager, contractor, consultant or advisor (or their respective Controlled Investment Affiliates or Immediate Family Members) of the Borrower or any Restricted Subsidiary or any Parent Entity and purchases, repurchases, redemptions, defeasances or other acquisitions or retirements of Equity Interests deemed to occur upon the exercise, conversion or exchange of stock options, warrants, equity-based awards or other rights in respect thereof if such Equity Interests represents a portion of the exercise price thereof or payments in respect of withholding or similar Taxes payable upon exercise or vesting thereof;</w:t>
      </w:r>
    </w:p>
    <w:p>
      <w:pPr>
        <w:spacing w:after="0" w:line="80"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declaration and payment of dividends on the common stock, common equity interests or Jones Act Warrants (including, for the avoidance of doubt, in the form of notes, warrants or similar Indebtedness) of the Borrower or any Parent Entity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following a public offering of such common stock, common equity interests or Jones Act Warrants (or such exchangeable securities, as applicable), in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60"/>
          </w:cols>
          <w:pgMar w:left="880" w:top="270" w:right="459" w:bottom="1440" w:gutter="0" w:footer="0" w:header="0"/>
        </w:sectPr>
      </w:pPr>
    </w:p>
    <w:bookmarkStart w:id="345" w:name="page346"/>
    <w:bookmarkEnd w:id="34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amount in any fiscal year not to exceed 6% of the amount of net cash proceeds received by or contributed to the Borrower or any of its Restricted Subsidiaries from any such public offering; or (b) in lieu of all or a portion of the dividends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prepayment, purchase, repurchase, redemption, defeasance, discharge, retirement or other acquisition of the Borrower’s Equity Interests (and any equivalent declaration and payment of a distribution of any security exchangeable for such common stock, common equity interests or Jones Act Warrants to the extent required by the terms of any such exchangeable securities and any Restricted Payment to any such Parent Entity to fund the payment by such Parent Entity of dividends on such entity’s Equity Interests) for aggregate consideration that, when taken together with dividends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does not exceed the amount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firstLine="419"/>
        <w:spacing w:after="0" w:line="261" w:lineRule="auto"/>
        <w:tabs>
          <w:tab w:leader="none" w:pos="7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Borrower, or loans, advances, dividends or distributions to any Parent Entity to make payments, to holders of Equity Interests of the Borrower or any Parent Entity in lieu of the issuance of fractional shares of such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payment, loan, advance, dividend or distribution shall not be for the purpose of evading any limitation of this covenant or otherwise to facilitate any dividend or other return of capital to the holders of such Equity Interests (as determined in good faith by the Borrower);</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76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by dividend or otherwise, or other transfer or disposition of shares of Equity Interests of, or equity interests in, an Unrestricted Subsidiary (or a Restricted Subsidiary that owns one or more Unrestricted Subsidiaries and no other material assets), or Indebtedness owed to the Borrower or a Restricted Subsidiary by an Unrestricted Subsidiary (or a Restricted Subsidiary that owns one or more Unrestricted Subsidiaries and no other material assets), in each case, other than Unrestricted Subsidiaries, substantially all of the assets of which are cash and Cash Equivalents;</w:t>
      </w:r>
    </w:p>
    <w:p>
      <w:pPr>
        <w:spacing w:after="0" w:line="75"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7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7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so long as, immediately after giving pro forma effect to the payment of any such Restricted Payment and the incurrence of any Indebtedness the net proceeds of which are used to make such Restricted Payment, no Default or Event of Default has occurred and is continuing (or would result therefrom), Restricted Payments (including, for the avoidance of doubt, in the form of notes, warrants or similar Indebtedness and including loans or advances) in an aggregate amount outstanding at the time made not to exceed the greater of (x) $50.0 million and (y) an amount equal to 6.0% of the Borrower’s Consolidated Net Tangible Assets determined as of the end of the Borrower’s most recently completed fiscal quarter for which internal financial statements are available, and (ii) any Restricted Payments, so long as, immediately after giving pro forma effect to the payment of any such Restricted Payment and the incurrence of any Indebtedness the net proceeds of which are used to make such Restricted Payment, (A) no Default or Event of Default has occurred and is continuing (or would result therefrom) and (B) the Total Net Leverage Ratio shall be no greater than 1.50 to 1.00;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case of this clause (13), the Borrower shall be in pro forma compliance with the Financial Covenants upon giving effect thereto;</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40"/>
          </w:cols>
          <w:pgMar w:left="880" w:top="270" w:right="479" w:bottom="1440" w:gutter="0" w:footer="0" w:header="0"/>
        </w:sectPr>
      </w:pPr>
    </w:p>
    <w:bookmarkStart w:id="346" w:name="page347"/>
    <w:bookmarkEnd w:id="346"/>
    <w:p>
      <w:pPr>
        <w:jc w:val="both"/>
        <w:ind w:left="440" w:right="40" w:firstLine="419"/>
        <w:spacing w:after="0" w:line="266" w:lineRule="auto"/>
        <w:tabs>
          <w:tab w:leader="none" w:pos="12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40" w:firstLine="419"/>
        <w:spacing w:after="0" w:line="258" w:lineRule="auto"/>
        <w:tabs>
          <w:tab w:leader="none" w:pos="12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made in connection with a Permitted Intercompany Activity or related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Restricted Payments in connection with Permitted Intercompany Activities between the Borrower and Restricted Subsidiaries that are Loan Parties, on the one hand, and Restricted Subsidiaries that are not Loan Parties or any other Person, on the other hand, shall only be permitted so long as an Event of Default has not occurred and is continuing (other than, for the avoidance of doubt, Permitted Intercompany Activities in accordance with clause (A)(i) of the definition thereof); and</w:t>
      </w:r>
    </w:p>
    <w:p>
      <w:pPr>
        <w:spacing w:after="0" w:line="7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2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(i) cash payments made by the Borrower or any of its Restricted Subsidiaries in satisfaction of the conversion obligation upon conversion into the Borrower equity of convertible Indebtedness issued in a convertible notes offering (it being understood that the satisfaction of such conversion obligation in cash shall not increase the Available Amount) and (ii) any payments by the Borrower or any of its Restricted Subsidiaries pursuant to the initiation, exercise, settlement or termination of any Hedge Agreement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Plan</w:t>
      </w:r>
      <w:r>
        <w:rPr>
          <w:rFonts w:ascii="Times New Roman" w:cs="Times New Roman" w:eastAsia="Times New Roman" w:hAnsi="Times New Roman"/>
          <w:sz w:val="18"/>
          <w:szCs w:val="18"/>
          <w:color w:val="auto"/>
        </w:rPr>
        <w:t>” means any employee benefits plan of the Borrower or any of its Affiliates and any Person acting in its capacity as trustee, agent or other fiduciary or administrator of any such plan.</w:t>
      </w:r>
    </w:p>
    <w:p>
      <w:pPr>
        <w:spacing w:after="0" w:line="15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Reflagging Transaction</w:t>
      </w:r>
      <w:r>
        <w:rPr>
          <w:rFonts w:ascii="Times New Roman" w:cs="Times New Roman" w:eastAsia="Times New Roman" w:hAnsi="Times New Roman"/>
          <w:sz w:val="18"/>
          <w:szCs w:val="18"/>
          <w:color w:val="auto"/>
        </w:rPr>
        <w:t>” means any transaction or action by a Loan Party resulting in (i) the Vessel Collateral being reflagged under the laws of another Approved Flag Jurisdiction so long as no less than five (5) Business Days prior written notice has been provided to the Administrative Agent (or such shorter period as the Administrative Agent shall agree in its discretion) and either (A) such Vessel would thereafter constitute an Excluded Foreign Flag Vessel or (B) the Required Lenders have provided their consent thereto (such consent not to be unreasonably withheld, conditioned or delayed) or (ii) any Excluded Vessel being reflagged (x) from a non-Approved Flag Jurisdiction to another non-Approved Flag Jurisdiction or to an Approved Flag Jurisdiction or (x) from an Approved Flag Jurisdiction to another Approved Flag Jurisdiction.</w:t>
      </w:r>
    </w:p>
    <w:p>
      <w:pPr>
        <w:spacing w:after="0" w:line="182"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Tax Amount</w:t>
      </w:r>
      <w:r>
        <w:rPr>
          <w:rFonts w:ascii="Times New Roman" w:cs="Times New Roman" w:eastAsia="Times New Roman" w:hAnsi="Times New Roman"/>
          <w:sz w:val="18"/>
          <w:szCs w:val="18"/>
          <w:color w:val="auto"/>
        </w:rPr>
        <w:t>” means for any taxable year (or portion thereof) in which Borrower is a member of a group filing a consolidated, combined group, affiliated, unitary or similar Tax return with any Parent Entity that is a parent of such group, any dividends or other distributions to fund any income taxes for which such Parent Entity is liable up to an amount not to exceed the amount of any such Taxes that the Borrower and its subsidiaries would have been required to pay on a separate company basis or on a consolidated basis calculated as if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347" w:name="page348"/>
    <w:bookmarkEnd w:id="34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and its subsidiaries had paid Tax on a consolidated, combined, group, affiliated, unitary or similar basis on behalf of a consolidated, combined affiliated, unitary or similar group consisting only of the Borrower and its subsidiaries with the Borrower treated as the parent corporation for U.S. federal income tax purposes, taking into account any net operating losses or other attributes of the Borrower and its subsidiaries, less any amounts paid directly by the Borrower and its subsidiaries with respect to such income taxes; provided that in the case of any such amounts attributable to any Taxes of any Unrestricted Subsidiaries, the Borrower shall use commercially reasonable efforts to cause such Unrestricted Subsidiary (or any other Unrestricted Subsidiary) to make cash distributions to such Borrower or its Restricted Subsidiaries in an aggregate amount that the Borrower determines in its reasonable discretion equals the Tax liability of the Unrestricted Subsidiary had such Unrestricted Subsidiary been required to pay Taxes on a separate company basis.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Refinancing Debt</w:t>
      </w:r>
      <w:r>
        <w:rPr>
          <w:rFonts w:ascii="Times New Roman" w:cs="Times New Roman" w:eastAsia="Times New Roman" w:hAnsi="Times New Roman"/>
          <w:sz w:val="18"/>
          <w:szCs w:val="18"/>
          <w:color w:val="auto"/>
        </w:rPr>
        <w:t>” means any Second Lien Credit Agreement Refinancing Indebtedness that is unsecured debt.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material “employee benefit plan” (as such term is defined in Section 3(3) of ERISA) established, sponsored, maintained or contributed to (or required to be contributed to) by any Loan Party or, with respect to any such plan that (i) is subject to Section 412 of the Code, Section 302 of ERISA or Title IV of ERISA or (ii) for which any Loan Party has liability under ERISA or the Code as a result of being in a “controlled group” with any of their respective ERISA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has the meaning specified in the Collateral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Equity</w:t>
      </w:r>
      <w:r>
        <w:rPr>
          <w:rFonts w:ascii="Times New Roman" w:cs="Times New Roman" w:eastAsia="Times New Roman" w:hAnsi="Times New Roman"/>
          <w:sz w:val="18"/>
          <w:szCs w:val="18"/>
          <w:color w:val="auto"/>
        </w:rPr>
        <w:t>” has the meaning specified in the Collateral Agreement.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Pre-Approved Lender</w:t>
      </w:r>
      <w:r>
        <w:rPr>
          <w:rFonts w:ascii="Times New Roman" w:cs="Times New Roman" w:eastAsia="Times New Roman" w:hAnsi="Times New Roman"/>
          <w:sz w:val="18"/>
          <w:szCs w:val="18"/>
          <w:color w:val="auto"/>
        </w:rPr>
        <w:t>” means each bank or financial institution set forth on a list agreed to between the Borrower and the Administrative Agent and distributed to the Lenders prior to the date of this Agreement.</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applied to the Equity Interests of any Person, means Equity Interests of any class or classes (however designated) which is preferred as to the payment of dividends or as to the distribution of assets upon any voluntary or involuntary liquidation or dissolution of such Person, over shares of Equity Interests of any other class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Notice</w:t>
      </w:r>
      <w:r>
        <w:rPr>
          <w:rFonts w:ascii="Times New Roman" w:cs="Times New Roman" w:eastAsia="Times New Roman" w:hAnsi="Times New Roman"/>
          <w:sz w:val="18"/>
          <w:szCs w:val="18"/>
          <w:color w:val="auto"/>
        </w:rPr>
        <w:t xml:space="preserve">” means a written notice made pursuant to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348" w:name="page349"/>
    <w:bookmarkEnd w:id="348"/>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“Prime Rate” </w:t>
      </w:r>
      <w:r>
        <w:rPr>
          <w:rFonts w:ascii="Times New Roman" w:cs="Times New Roman" w:eastAsia="Times New Roman" w:hAnsi="Times New Roman"/>
          <w:sz w:val="18"/>
          <w:szCs w:val="18"/>
          <w:color w:val="auto"/>
        </w:rPr>
        <w:t>means the rate of interest last quoted by The Wall Street Journal as the “Prime Rate” in the U.S. or, if The Wall Street Journal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ceases to quote such rate, the highest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Priority Waterfall</w:t>
      </w:r>
      <w:r>
        <w:rPr>
          <w:rFonts w:ascii="Times New Roman" w:cs="Times New Roman" w:eastAsia="Times New Roman" w:hAnsi="Times New Roman"/>
          <w:sz w:val="18"/>
          <w:szCs w:val="18"/>
          <w:color w:val="auto"/>
        </w:rPr>
        <w:t xml:space="preserve">” means the provisions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Private-Side Information</w:t>
      </w:r>
      <w:r>
        <w:rPr>
          <w:rFonts w:ascii="Times New Roman" w:cs="Times New Roman" w:eastAsia="Times New Roman" w:hAnsi="Times New Roman"/>
          <w:sz w:val="18"/>
          <w:szCs w:val="18"/>
          <w:color w:val="auto"/>
        </w:rPr>
        <w:t>” means any information with respect to the Borrower and its Subsidiaries that is not Public-Side Information.</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xml:space="preserve">” mean, with respect to compliance with any test or covenant or calculation hereunder, the determination or calculation of such test, covenant or ratio in accordance with the definition of “Consolidated Adjusted EBITDA”, the definition of “Fixed Charge Coverage Ratio” and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(a) with respect to all payments, computations and other matters relating to the Commitment of any Lender at any time a fraction (expressed as a percentage, carried out to the ninth decimal place), the numerator of which is the unused Commitment of that Lender and the denominator of which is the aggregate unused Commitments of all Lenders at such time and (b) with respect to all payments, computations and other matters relating to the Revolving Loans of any Lender and any Letters of Credit issued or participations purchased therein by any Lender (expressed as a percentage, carried out to the ninth decimal place), the numerator of which is the amount of the Revolving Exposure of that Lender and the denominator of which is the aggregate Revolving Exposure of all Lenders at such time.</w:t>
      </w:r>
    </w:p>
    <w:p>
      <w:pPr>
        <w:spacing w:after="0" w:line="182"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Lenders</w:t>
      </w:r>
      <w:r>
        <w:rPr>
          <w:rFonts w:ascii="Times New Roman" w:cs="Times New Roman" w:eastAsia="Times New Roman" w:hAnsi="Times New Roman"/>
          <w:sz w:val="18"/>
          <w:szCs w:val="18"/>
          <w:color w:val="auto"/>
        </w:rPr>
        <w:t>” means Lenders that do not wish to receive Private-Side Information.</w:t>
      </w:r>
    </w:p>
    <w:p>
      <w:pPr>
        <w:spacing w:after="0" w:line="225"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Public-Side Information</w:t>
      </w:r>
      <w:r>
        <w:rPr>
          <w:rFonts w:ascii="Times New Roman" w:cs="Times New Roman" w:eastAsia="Times New Roman" w:hAnsi="Times New Roman"/>
          <w:sz w:val="18"/>
          <w:szCs w:val="18"/>
          <w:color w:val="auto"/>
        </w:rPr>
        <w:t>” means (a) at any time prior to a Parent Entity or the Borrower or any of their respective Subsidiaries becoming the issuer of any Traded Securities, information that the Borrower determines (i) would be required by applicable Law to be publicly disclosed in connection with an issuance by such Parent Entity or the Borrower or any of their respective Subsidiaries of its debt or equity securities pursuant to a registered public offering made at such time or (ii) not material to make an investment decision with respect to securities of such Parent Entity or the Borrower or any of their respective Subsidiaries (for purposes of United States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6" w:right="459" w:bottom="1440" w:gutter="0" w:footer="0" w:header="0"/>
        </w:sectPr>
      </w:pPr>
    </w:p>
    <w:bookmarkStart w:id="349" w:name="page350"/>
    <w:bookmarkEnd w:id="34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state or other applicable securities laws), and (b) at any time on or after such Parent Entity or the Borrower or any of their respective Subsidiaries becoming the issuer of any Traded Securities, information that does not constitute material non-public information (within the meaning of United States federal, state or other applicable securities laws) with respect to such Parent Entity or the Borrower or any of their respective Subsidiaries or any of their respective securities.</w:t>
      </w:r>
    </w:p>
    <w:p>
      <w:pPr>
        <w:spacing w:after="0" w:line="176"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expansion, construction, installation, replacement, repair or improvement of property (real or personal), equipment or assets (including Equity Interests), and whether acquired through the direct acquisition of such property or assets, or the acquisition of the Equity Interests of any Person owning such property or assets,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QSC Adjustment</w:t>
      </w:r>
      <w:r>
        <w:rPr>
          <w:rFonts w:ascii="Times New Roman" w:cs="Times New Roman" w:eastAsia="Times New Roman" w:hAnsi="Times New Roman"/>
          <w:sz w:val="18"/>
          <w:szCs w:val="18"/>
          <w:color w:val="auto"/>
        </w:rPr>
        <w:t>” has the meaning specified in the definition of “Consolidated Adjusted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the Borrower and its Restricted Subsidiaries, (ii) all sales of Securitization Assets and related assets by the Borrower or any Restricted Subsidiary to the Securitization Subsidiary or any other Person are made for fair consideration (as determined in good faith by the Borrower) and (iii) the financing terms, covenants, termination events and other provisions thereof shall be fair and reasonable terms (as determined in good faith by the Borrower) and may include Standard Securitization Undertakings.</w:t>
      </w:r>
    </w:p>
    <w:p>
      <w:pPr>
        <w:spacing w:after="0" w:line="1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Services Contract</w:t>
      </w:r>
      <w:r>
        <w:rPr>
          <w:rFonts w:ascii="Times New Roman" w:cs="Times New Roman" w:eastAsia="Times New Roman" w:hAnsi="Times New Roman"/>
          <w:sz w:val="18"/>
          <w:szCs w:val="18"/>
          <w:color w:val="auto"/>
        </w:rPr>
        <w:t>” means, with respect to any newly delivered, acquired or reactivated Specified Vessel (including, without limitation, offshore supply vessel, offshore service vessel, multi-purpose support vessels, service operation vessels, commissioning service operation vessels, other offshore wind-related vessels, construction support offshore vessels, flotels, other specialty vessels, other construction vessels, crewboats, fast supply vessels, anchor handling and towing supply vessels, tankers, tugs and tank barges) within 365 days of such vessel’s original delivery date, acquisition date or reactivation date, as applicable, a contract that the Board of Directors, acting in good faith, designates as a “Qualified Services Contract”, which contract: (a) provides for services to be performed by the Borrower or one of its Restricted Subsidiaries involving the use of such vessel or a charter (bareboat or otherwise) of such vessel by the Borrower or one of its Restricted Subsidiaries, in either case for a minimum period of at least 3 months; and (b) provides for a fixed or minimum dayrate or fixed or minimum volume or freight rates (including, if applicable, lay time and demurrage) for such vessel.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350" w:name="page351"/>
    <w:bookmarkEnd w:id="350"/>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Qualifying IPO</w:t>
      </w:r>
      <w:r>
        <w:rPr>
          <w:rFonts w:ascii="Times New Roman" w:cs="Times New Roman" w:eastAsia="Times New Roman" w:hAnsi="Times New Roman"/>
          <w:sz w:val="18"/>
          <w:szCs w:val="18"/>
          <w:color w:val="auto"/>
        </w:rPr>
        <w:t>” means (a) an underwritten public Equity Offering of the Borrower or any Parent Entity or (b) a transaction where the Equity Interests of the Borrower or any Parent Entity thereof is listed on any United States national securities exchange.</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 Collateral Coverage Ratio</w:t>
      </w:r>
      <w:r>
        <w:rPr>
          <w:rFonts w:ascii="Times New Roman" w:cs="Times New Roman" w:eastAsia="Times New Roman" w:hAnsi="Times New Roman"/>
          <w:sz w:val="18"/>
          <w:szCs w:val="18"/>
          <w:color w:val="auto"/>
        </w:rPr>
        <w:t>” means, as of any Measurement Date, the ratio of (a) Collateral Value Amount to (b) Consolidated Total Debt outstanding under the Facility (including for the avoidance of doubt, under any Incremental Facilities), net of unrestricted cash and Cash Equivalents of up to $25 million, in each case, as of such date of determination.</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 Collateral Release Ratio</w:t>
      </w:r>
      <w:r>
        <w:rPr>
          <w:rFonts w:ascii="Times New Roman" w:cs="Times New Roman" w:eastAsia="Times New Roman" w:hAnsi="Times New Roman"/>
          <w:sz w:val="18"/>
          <w:szCs w:val="18"/>
          <w:color w:val="auto"/>
        </w:rPr>
        <w:t xml:space="preserve">” means the ratio of (i) the Vessel Collateral Value Amount (as determined, if the Borrower so elects, by the most recent appraisals required to be delivered under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otherwise delivered hereunder) in respect of Vessels which are not Stacked Vessels, to (ii) the aggregate principal amount of Commitments under the Facility (including for the avoidance of doubt, under any Incremental Facilities).</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Assets</w:t>
      </w:r>
      <w:r>
        <w:rPr>
          <w:rFonts w:ascii="Times New Roman" w:cs="Times New Roman" w:eastAsia="Times New Roman" w:hAnsi="Times New Roman"/>
          <w:sz w:val="18"/>
          <w:szCs w:val="18"/>
          <w:color w:val="auto"/>
        </w:rPr>
        <w:t>” means (a) any accounts receivable (including, but not limited to, trade receivables from customers and non-trade receivables, such as tax receivables from government or quasi-government agencies) owed to the Borrower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w:t>
      </w:r>
      <w:r>
        <w:rPr>
          <w:rFonts w:ascii="Times New Roman" w:cs="Times New Roman" w:eastAsia="Times New Roman" w:hAnsi="Times New Roman"/>
          <w:sz w:val="18"/>
          <w:szCs w:val="18"/>
          <w:color w:val="auto"/>
        </w:rPr>
        <w:t>” means an arrangement between the Borrower or a Subsidiary and a commercial bank, an asset based lender or other financial institution or an Affiliate thereof pursuant to which (a) the Borrower or such Subsidiary, as applicable, sells (directly or indirectly) to such commercial bank, asset based lender or other financial institution (or such Affiliate) Receivables Assets and (b) the obligations of the Borrower or such Restricted Subsidiary, as applicable, thereunder are non-recourse (except for Securitization Repurchase Obligations) to the Borrower and such Subsidiary and (c) the financing terms, covenants, termination events and other provisions thereof shall be on market terms (as determined in good faith by the Borrower) and may include Standard Securitization Undertakings, and shall include any guaranty in respect of such arrangements.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any Agent, (b) any Lender and (c) any Issuing Bank, as applicable.</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means the time determined by the Administrative Agent in its reasonable discretion.</w:t>
      </w:r>
    </w:p>
    <w:p>
      <w:pPr>
        <w:spacing w:after="0" w:line="155"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means, in respect of any Indebtedness, to refinance, extend, renew, defease, amend, increase, modify, supplement, restructure, refund, replace or repay, or to issue other indebtedness or enter into alternative financing arrangements, in exchange or replacement for such indebtedness, including by adding or replacing lenders, creditors, agents, borrowers and/or guarantors, and including in each case, but not limited to, after the original instrument giving rise to such indebtedness has been terminated.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have correlative meanings.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6" w:right="459" w:bottom="1440" w:gutter="0" w:footer="0" w:header="0"/>
        </w:sectPr>
      </w:pPr>
    </w:p>
    <w:bookmarkStart w:id="351" w:name="page352"/>
    <w:bookmarkEnd w:id="3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has the meaning assigned to such term in the definition of “Second Lien Credit Agreement Refinancing Indebtedness.”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means an amendment to this Agreement executed by each of (a) the Borrower, (b) the Administrative Agent and</w:t>
      </w:r>
    </w:p>
    <w:p>
      <w:pPr>
        <w:spacing w:after="0" w:line="31" w:lineRule="exact"/>
        <w:rPr>
          <w:sz w:val="20"/>
          <w:szCs w:val="20"/>
          <w:color w:val="auto"/>
        </w:rPr>
      </w:pPr>
    </w:p>
    <w:p>
      <w:pPr>
        <w:ind w:left="4" w:right="840" w:hanging="4"/>
        <w:spacing w:after="0" w:line="260" w:lineRule="auto"/>
        <w:tabs>
          <w:tab w:leader="none" w:pos="24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Additional Lender and Lender that agrees to provide any portion of the Refinancing Indebtedness being incurred pursuant thereto,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Commitments</w:t>
      </w:r>
      <w:r>
        <w:rPr>
          <w:rFonts w:ascii="Times New Roman" w:cs="Times New Roman" w:eastAsia="Times New Roman" w:hAnsi="Times New Roman"/>
          <w:sz w:val="18"/>
          <w:szCs w:val="18"/>
          <w:color w:val="auto"/>
        </w:rPr>
        <w:t>” means one or more Classes of Revolving Loan commitments hereunder that result from a Refinancing Amendment.</w:t>
      </w:r>
    </w:p>
    <w:p>
      <w:pPr>
        <w:spacing w:after="0" w:line="15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the Borrower that refinances Indebtedness of any Restricted Subsidiary and Indebtedness of any Restricted Subsidiary that refinances Indebtedness of the Borrower or another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78" w:lineRule="exact"/>
        <w:rPr>
          <w:sz w:val="20"/>
          <w:szCs w:val="20"/>
          <w:color w:val="auto"/>
        </w:rPr>
      </w:pPr>
    </w:p>
    <w:p>
      <w:pPr>
        <w:jc w:val="both"/>
        <w:ind w:left="984" w:firstLine="408"/>
        <w:spacing w:after="0" w:line="272" w:lineRule="auto"/>
        <w:tabs>
          <w:tab w:leader="none" w:pos="1600"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Refinancing Indebtedness has a Weighted Average Life to Maturity at the time such Refinancing Indebtedness is incurred that is not less than the remaining Weighted Average Life to Maturity of the Indebtedness being refunded, refinanced, replaced, exchanged, renewed, repaid or extended (or requires no or nominal payments in cash (other than interest payments) prior to the date that is ninety-one</w:t>
      </w:r>
    </w:p>
    <w:p>
      <w:pPr>
        <w:spacing w:after="0" w:line="1" w:lineRule="exact"/>
        <w:rPr>
          <w:rFonts w:ascii="Times New Roman" w:cs="Times New Roman" w:eastAsia="Times New Roman" w:hAnsi="Times New Roman"/>
          <w:sz w:val="17"/>
          <w:szCs w:val="17"/>
          <w:color w:val="auto"/>
        </w:rPr>
      </w:pPr>
    </w:p>
    <w:p>
      <w:pPr>
        <w:ind w:left="984" w:right="40" w:firstLine="7"/>
        <w:spacing w:after="0" w:line="253" w:lineRule="auto"/>
        <w:tabs>
          <w:tab w:leader="none" w:pos="132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Maturity Date); and (b) to the extent such Refinancing Indebtedness refinances Subordinated Indebtedness, such Refinancing Indebtedness is Subordinated Indebtedness, respectively, and, in the case of Subordinated Indebtedness, is subordinated to the Obligations on terms at least as favorable to the Lenders as those contained in the documentation governing the Indebtedness being refinanced,</w:t>
      </w:r>
    </w:p>
    <w:p>
      <w:pPr>
        <w:spacing w:after="0" w:line="80" w:lineRule="exact"/>
        <w:rPr>
          <w:rFonts w:ascii="Times New Roman" w:cs="Times New Roman" w:eastAsia="Times New Roman" w:hAnsi="Times New Roman"/>
          <w:sz w:val="18"/>
          <w:szCs w:val="18"/>
          <w:color w:val="auto"/>
        </w:rPr>
      </w:pPr>
    </w:p>
    <w:p>
      <w:pPr>
        <w:ind w:left="984" w:right="180" w:firstLine="408"/>
        <w:spacing w:after="0" w:line="261" w:lineRule="auto"/>
        <w:tabs>
          <w:tab w:leader="none" w:pos="165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Indebtedness shall not include Indebtedness of a Subsidiary of the Borrower that is not a Guarantor that refinances Indebtedness of the Borrower or a Guarantor (unless such Subsidiary was an obligor in respect of the Indebtedness so refinanced) or</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Indebtedness of the Borrower or a Restricted Subsidiary that refinances Indebtedness of an Unrestricted Subsidiary; and</w:t>
      </w:r>
    </w:p>
    <w:p>
      <w:pPr>
        <w:spacing w:after="0" w:line="99" w:lineRule="exact"/>
        <w:rPr>
          <w:sz w:val="20"/>
          <w:szCs w:val="20"/>
          <w:color w:val="auto"/>
        </w:rPr>
      </w:pPr>
    </w:p>
    <w:p>
      <w:pPr>
        <w:ind w:left="984" w:right="140" w:firstLine="408"/>
        <w:spacing w:after="0" w:line="258" w:lineRule="auto"/>
        <w:tabs>
          <w:tab w:leader="none" w:pos="1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 amount equal to any unutilized commitment relating to the Indebtedness being refinanced or otherwise then outstanding under a financing arrangement being refinanced to the extent the unutilized commitment being refinanced could be drawn in compliance with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66" w:right="459" w:bottom="1440" w:gutter="0" w:footer="0" w:header="0"/>
        </w:sectPr>
      </w:pPr>
    </w:p>
    <w:bookmarkStart w:id="352" w:name="page353"/>
    <w:bookmarkEnd w:id="352"/>
    <w:p>
      <w:pPr>
        <w:ind w:left="984" w:right="2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w:t>
      </w:r>
      <w:r>
        <w:rPr>
          <w:rFonts w:ascii="Times New Roman" w:cs="Times New Roman" w:eastAsia="Times New Roman" w:hAnsi="Times New Roman"/>
          <w:sz w:val="18"/>
          <w:szCs w:val="18"/>
          <w:color w:val="auto"/>
        </w:rPr>
        <w:t xml:space="preserve"> immediately prior to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(z) accrued and unpaid interest, dividends, premiums (including tender premiums), defeasance costs, underwriting discounts, fees, costs and expenses (including original issue discount, upfront fees or similar fees) in connection with such refinancing. Refinancing Indebtedness in respect of any Indebtedness may be incurred from time to time after the termination, discharge or repayment of any such Indebtedness.</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Refinancing Indebtedness will be deemed to include any Registered Equivalent Notes issued in exchange therefor.</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Loans</w:t>
      </w:r>
      <w:r>
        <w:rPr>
          <w:rFonts w:ascii="Times New Roman" w:cs="Times New Roman" w:eastAsia="Times New Roman" w:hAnsi="Times New Roman"/>
          <w:sz w:val="18"/>
          <w:szCs w:val="18"/>
          <w:color w:val="auto"/>
        </w:rPr>
        <w:t>” means one or more Classes of Revolving Loans that result from a Refinancing Amendment.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Equity Interests</w:t>
      </w:r>
      <w:r>
        <w:rPr>
          <w:rFonts w:ascii="Times New Roman" w:cs="Times New Roman" w:eastAsia="Times New Roman" w:hAnsi="Times New Roman"/>
          <w:sz w:val="18"/>
          <w:szCs w:val="18"/>
          <w:color w:val="auto"/>
        </w:rPr>
        <w:t>” has the meaning specified in the definition of “Permitted Payments.”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1"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Regulated Entity</w:t>
      </w:r>
      <w:r>
        <w:rPr>
          <w:rFonts w:ascii="Times New Roman" w:cs="Times New Roman" w:eastAsia="Times New Roman" w:hAnsi="Times New Roman"/>
          <w:sz w:val="17"/>
          <w:szCs w:val="17"/>
          <w:color w:val="auto"/>
        </w:rPr>
        <w:t>” 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w:t>
      </w:r>
    </w:p>
    <w:p>
      <w:pPr>
        <w:spacing w:after="0" w:line="1" w:lineRule="exact"/>
        <w:rPr>
          <w:sz w:val="20"/>
          <w:szCs w:val="20"/>
          <w:color w:val="auto"/>
        </w:rPr>
      </w:pPr>
    </w:p>
    <w:p>
      <w:pPr>
        <w:jc w:val="both"/>
        <w:ind w:left="4" w:right="160" w:hanging="4"/>
        <w:spacing w:after="0" w:line="253" w:lineRule="auto"/>
        <w:tabs>
          <w:tab w:leader="none" w:pos="26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FRB as from time to time in effect and all official rulings and interpretations thereunder or thereof, or any successor thereto.</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of an Indemnitee means (a) any controlling person or controlled affiliate of such Indemnitee, (b) the respective directors, partners, officers, or employees of such Indemnitee or any of its controlling persons or controlled affiliates and (c) the respective agents of such Indemnitee or any of its controlling persons or controlled affiliates,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68" w:right="459" w:bottom="1440" w:gutter="0" w:footer="0" w:header="0"/>
        </w:sectPr>
      </w:pPr>
    </w:p>
    <w:bookmarkStart w:id="353" w:name="page354"/>
    <w:bookmarkEnd w:id="353"/>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Related Taxes</w:t>
      </w:r>
      <w:r>
        <w:rPr>
          <w:rFonts w:ascii="Times New Roman" w:cs="Times New Roman" w:eastAsia="Times New Roman" w:hAnsi="Times New Roman"/>
          <w:sz w:val="18"/>
          <w:szCs w:val="18"/>
          <w:color w:val="auto"/>
        </w:rPr>
        <w:t>” means (i) any franchise and excise taxes, and other fees and expenses, required to maintain a Parent Entity’s corporate existence and good standing under applicable law (including any such Taxes, fees and expenses (such as any corporate operating and overhead expenses) attributable to the ownership or operation of the Borrower and its Subsidiaries); and (ii) any Permitted Tax Amount.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Actions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240" w:hanging="253"/>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Subsidiaries;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their directors, officers and employees.</w:t>
      </w:r>
    </w:p>
    <w:p>
      <w:pPr>
        <w:spacing w:after="0" w:line="2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Transactions</w:t>
      </w:r>
      <w:r>
        <w:rPr>
          <w:rFonts w:ascii="Times New Roman" w:cs="Times New Roman" w:eastAsia="Times New Roman" w:hAnsi="Times New Roman"/>
          <w:sz w:val="18"/>
          <w:szCs w:val="18"/>
          <w:color w:val="auto"/>
        </w:rPr>
        <w:t>” any reorganizations and other activities in connection with or related to a Qualifying IPO of the Borrower or any Parent Entity (including, for the avoidance of doubt, any transfer (including by contribution, merger or otherwise) of interests in the Borrower to a wholly owned domestic subsidiary of a Parent Entity).</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with respect to any Pension Plan, any of the events set forth in Section 4043(c) of ERISA or the regulations issued thereunder, other than events for which the 30 day notice period has been waived by applicable regulation.</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as of any date of determination, Lenders having or holding more than 50.1% of the sum of the aggregate Revolving Exposure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Revolving Exposure of or held by any Defaulting Lender shall be excluded for purposes of making a determination of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at any time there are three or more Lenders (who are not Affiliates of one another), “Required Lenders” must include at least two Lenders (who are not Affiliates of one another). The Commitment and Loans of any Defaulting Lender shall be disregarded in determining Required Lenders at any time.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the executive chairman, chief executive officer, president, executive vice president, senior vice president (finance), vice president (finance), chief financial officer, chief accounting officer, treasurer or assistant treasurer or other similar officer or Person performing similar functions of a Loan Party and, as to any document delivered on the Closing Date, any secretary or assistant secretary of a Loan Party. Any document delivered hereunder that is signed by a Responsible Officer of a Loan Party shall be conclusively presumed to have been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66" w:right="499" w:bottom="1440" w:gutter="0" w:footer="0" w:header="0"/>
        </w:sectPr>
      </w:pPr>
    </w:p>
    <w:bookmarkStart w:id="354" w:name="page355"/>
    <w:bookmarkEnd w:id="35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72"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means, when referring to cash or Cash Equivalents of the Borrower or any of the Restricted Subsidiaries, that such cash or Cash Equivalents appear (or would be required by GAAP to appear) as “restricted” on a consolidated balance sheet of such Borrower or such Restricted Subsidiary (unless such appearance is related to a restriction in favor of the Administrative Agent).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 Person that is (a) listed on any Sanctions List or targeted by Sanctions (whether designated by name or by reason of being included in a class of person), (b) located in or incorporated under the laws of any country or territory that is the target of comprehensive, country-or territory-wide Sanctions (at the time of this Agreement, the so—called Donetsk People’s Republic, the so- called Luhansk People’s Republic, the Crimea Region of Ukraine, Cuba, Iran, North Korea and Syria), or (c) directly or indirectly owned or controlled (as such terms are defined in applicable Sanctions) by, or acting on behalf, at the direction, or for the benefit, of a person referred to in (a) and/or (to the extent relevant under Sanctions) (b) above.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 Net Leverage Ratio</w:t>
      </w:r>
      <w:r>
        <w:rPr>
          <w:rFonts w:ascii="Times New Roman" w:cs="Times New Roman" w:eastAsia="Times New Roman" w:hAnsi="Times New Roman"/>
          <w:sz w:val="18"/>
          <w:szCs w:val="18"/>
          <w:color w:val="auto"/>
        </w:rPr>
        <w:t xml:space="preserve">” means, with respect to any Test Period, the ratio of (a) (i) the principal amount of the Loans outstanding under this Agreement as of the last day of such Test Period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the aggregate amount of cash and Cash Equivalents of the Borrower and the Restricted Subsidiaries as of such date that is not Restricted in an amount not to exceed $25,000,000 to (b) Consolidated Adjusted EBITDA of the Borrower for such Test Period.</w:t>
      </w:r>
    </w:p>
    <w:p>
      <w:pPr>
        <w:spacing w:after="0" w:line="176"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means, with respect to any Lender as of any date of determination, (a) prior to the termination of the Commitments, that Lender’s Commitment; and (b) after the termination of the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and (iii) the aggregate amount of all participations by that Lender in any outstanding Letters of Credit or any unreimbursed drawing under any Letter of Credit.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 Lender having a Commitment or other Revolving Exposure.</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Note</w:t>
      </w:r>
      <w:r>
        <w:rPr>
          <w:rFonts w:ascii="Times New Roman" w:cs="Times New Roman" w:eastAsia="Times New Roman" w:hAnsi="Times New Roman"/>
          <w:sz w:val="18"/>
          <w:szCs w:val="18"/>
          <w:color w:val="auto"/>
        </w:rPr>
        <w:t xml:space="preserve">” means a promissory note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it may be amended, restated, amended and restated, supplemented 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355" w:name="page356"/>
    <w:bookmarkEnd w:id="3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and any successor thereto.</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means a sale leaseback transaction with respect to all or any portion of any real property owned by a Loan Party or other property customarily included in such transactions.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Same Day Funds</w:t>
      </w:r>
      <w:r>
        <w:rPr>
          <w:rFonts w:ascii="Times New Roman" w:cs="Times New Roman" w:eastAsia="Times New Roman" w:hAnsi="Times New Roman"/>
          <w:sz w:val="18"/>
          <w:szCs w:val="18"/>
          <w:color w:val="auto"/>
        </w:rPr>
        <w:t>” means disbursements and payments in immediately available funds.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applicable (to any Relevant Person and/or Loan Party as the context provides) laws, regulations or orders concerning any trade, economic or financial sanctions or embargoes imposed, administered or enforced from time to time by a Sanctions Authority.</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the Norwegian State, the United Nations, the European Union, the United Kingdom, the United States of America (including the Office of Foreign Assets Control of the U.S. Department of the Treasury or the U.S. Department of State), and any of their respective legislative, executive, enforcement and/or regulatory authorities or bodies acting in connection with Sanctions.</w:t>
      </w:r>
    </w:p>
    <w:p>
      <w:pPr>
        <w:spacing w:after="0" w:line="1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means: (a) the lists of Sanctions designations and/or targets maintained by any Sanctions Authority and/or (b) any other</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Sanctions designation or target listed and/or adopted by a Sanctions Authority, in each case, as amended, supplemented or replaced from time to time.</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Agent</w:t>
      </w:r>
      <w:r>
        <w:rPr>
          <w:rFonts w:ascii="Times New Roman" w:cs="Times New Roman" w:eastAsia="Times New Roman" w:hAnsi="Times New Roman"/>
          <w:sz w:val="18"/>
          <w:szCs w:val="18"/>
          <w:color w:val="auto"/>
        </w:rPr>
        <w:t>” has the meaning specified in the definition of “Existing Junior Lien Intercreditor Agreement.”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Agreement</w:t>
      </w:r>
      <w:r>
        <w:rPr>
          <w:rFonts w:ascii="Times New Roman" w:cs="Times New Roman" w:eastAsia="Times New Roman" w:hAnsi="Times New Roman"/>
          <w:sz w:val="18"/>
          <w:szCs w:val="18"/>
          <w:color w:val="auto"/>
        </w:rPr>
        <w:t>” means that certain Second Lien Term Loan Credit Agreement, dated as of September 4, 2020, among the Borrower, as parent borrower, Hornbeck Offshore Services, LLC, as co-borrower, Wilmington Trust, National Association, as administrative agent and as collateral agent, and the lenders party thereto from time to time as amended, restated, supplemented or modified from time to time.</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Agreement Refinancing Indebtedness</w:t>
      </w:r>
      <w:r>
        <w:rPr>
          <w:rFonts w:ascii="Times New Roman" w:cs="Times New Roman" w:eastAsia="Times New Roman" w:hAnsi="Times New Roman"/>
          <w:sz w:val="18"/>
          <w:szCs w:val="18"/>
          <w:color w:val="auto"/>
        </w:rPr>
        <w:t xml:space="preserve">” means Indebtedness of a Borrower or any Restricted Subsidiary in the form of term loans, notes or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4" w:lineRule="exact"/>
        <w:rPr>
          <w:sz w:val="20"/>
          <w:szCs w:val="20"/>
          <w:color w:val="auto"/>
        </w:rPr>
      </w:pPr>
    </w:p>
    <w:p>
      <w:pPr>
        <w:ind w:left="1420" w:right="200" w:hanging="439"/>
        <w:spacing w:after="0" w:line="266" w:lineRule="auto"/>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or otherwise obtained (including by means of the extension or renewal of existing Indebtedness) in exchange for, or to extend, renew, upsize, replace, or refinance, in whole or part, Indebtedness under the Second Lien Credit Agreement or constituting Second Lien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420" w:right="120" w:hanging="439"/>
        <w:spacing w:after="0" w:line="266" w:lineRule="auto"/>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Weighted Average Life to Maturity of such Indebtedness is equal to or longer than the remaining Weighted Average Life to Maturity of the Refinanced Debt, and (ii) the final maturity date of such Second Lien Credit Agreement Refinancing Indebtedness may not be earlier than ninety-one (91) days after the latest Maturity Date then in effect;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00"/>
          </w:cols>
          <w:pgMar w:left="440" w:top="266" w:right="559" w:bottom="1440" w:gutter="0" w:footer="0" w:header="0"/>
        </w:sectPr>
      </w:pPr>
    </w:p>
    <w:bookmarkStart w:id="356" w:name="page357"/>
    <w:bookmarkEnd w:id="356"/>
    <w:p>
      <w:pPr>
        <w:ind w:left="1420" w:right="20" w:hanging="439"/>
        <w:spacing w:after="0" w:line="256" w:lineRule="auto"/>
        <w:tabs>
          <w:tab w:leader="none" w:pos="14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Second Lien Credit Agreement Refinancing Indebtedness shall be either (i) secured by the Collateral on a first lien basis with the Obligations and subject to an Equal Priority Intercreditor Agreement or on a junior lien basis with the Collateral and subject to a Junior Lien Intercreditor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any assets securing such Second Lien Credit Agreement Refinancing Indebtedness do not constitute Collateral, the Borrower shall be required to offer the Collateral Agent such additional assets as Collateral and notify the Administrative Agent of such offer, and if the Administrative Agent so requests, take all such actions required to so provide such Collateral to the Collateral Agent for the benefit of the Secured Parties or (ii) unsecured.</w:t>
      </w:r>
    </w:p>
    <w:p>
      <w:pPr>
        <w:spacing w:after="0" w:line="18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Hedge Agreement</w:t>
      </w:r>
      <w:r>
        <w:rPr>
          <w:rFonts w:ascii="Times New Roman" w:cs="Times New Roman" w:eastAsia="Times New Roman" w:hAnsi="Times New Roman"/>
          <w:sz w:val="18"/>
          <w:szCs w:val="18"/>
          <w:color w:val="auto"/>
        </w:rPr>
        <w:t>” means any Hedge Agreement that is entered into by and between any Loan Party and any Hedge Bank and designated in writing by the Hedge Bank and the Borrower to the Administrative Agent as a “Secured Hedge Agreement.”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Net Leverage Ratio</w:t>
      </w:r>
      <w:r>
        <w:rPr>
          <w:rFonts w:ascii="Times New Roman" w:cs="Times New Roman" w:eastAsia="Times New Roman" w:hAnsi="Times New Roman"/>
          <w:sz w:val="18"/>
          <w:szCs w:val="18"/>
          <w:color w:val="auto"/>
        </w:rPr>
        <w:t>” means, with respect to any Test Period, the ratio of (a) Consolidated Secured Net Debt outstanding as of the last day of such Test Period to (b) Consolidated Adjusted EBITDA of the Borrower for such Test Period.</w:t>
      </w:r>
    </w:p>
    <w:p>
      <w:pPr>
        <w:spacing w:after="0" w:line="15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xml:space="preserve">” means, collectively, the Administrative Agent, the Collateral Agent, the Lenders, each Issuing Bank, each Hedge Bank, each Cash Management Bank, the Supplemental Administrative Agent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has the meaning specified in the Uniform Commercial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Assets</w:t>
      </w:r>
      <w:r>
        <w:rPr>
          <w:rFonts w:ascii="Times New Roman" w:cs="Times New Roman" w:eastAsia="Times New Roman" w:hAnsi="Times New Roman"/>
          <w:sz w:val="18"/>
          <w:szCs w:val="18"/>
          <w:color w:val="auto"/>
        </w:rPr>
        <w:t>” means (a) any accounts receivable (whether trade or non-trade receivables), mortgage receivables, loan receivables, royalty, franchise fee, license fee, patent or other revenue streams and other rights to payment or related assets and the proceeds thereof and (b) all collateral securing such receivable or asset, all contracts and contract rights (including licenses and leases),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82"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Facility</w:t>
      </w:r>
      <w:r>
        <w:rPr>
          <w:rFonts w:ascii="Times New Roman" w:cs="Times New Roman" w:eastAsia="Times New Roman" w:hAnsi="Times New Roman"/>
          <w:sz w:val="18"/>
          <w:szCs w:val="18"/>
          <w:color w:val="auto"/>
        </w:rPr>
        <w:t>” means any of one or more securitization, financing, factoring or sales transactions, as amended, supplemented, modified, extended, renewed, restated or refunded from time to time, pursuant to which the Borrower or any of the Restricted Subsidiaries sells, transfers, pledges or otherwise conveys any Securitization Assets (whether now existing or arising in the future) to a Securitization Subsidiary or any other Person.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357" w:name="page358"/>
    <w:bookmarkEnd w:id="357"/>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Borrower or any of its Subsidiaries pursuant to which such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such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8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9" w:lineRule="exact"/>
        <w:rPr>
          <w:sz w:val="20"/>
          <w:szCs w:val="20"/>
          <w:color w:val="auto"/>
        </w:rPr>
      </w:pPr>
    </w:p>
    <w:p>
      <w:pPr>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Securitization Subsidiary</w:t>
      </w:r>
      <w:r>
        <w:rPr>
          <w:rFonts w:ascii="Times New Roman" w:cs="Times New Roman" w:eastAsia="Times New Roman" w:hAnsi="Times New Roman"/>
          <w:sz w:val="17"/>
          <w:szCs w:val="17"/>
          <w:color w:val="auto"/>
        </w:rPr>
        <w:t>” means any Subsidiary of the Borrower in each case formed for the purpose of and that solely engages in one or more Qualified Securitization Financings or Receivables Facilities and other activities reasonably related thereto or another Person formed for this purpose.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66" w:right="459" w:bottom="1440" w:gutter="0" w:footer="0" w:header="0"/>
        </w:sectPr>
      </w:pPr>
    </w:p>
    <w:bookmarkStart w:id="358" w:name="page359"/>
    <w:bookmarkEnd w:id="358"/>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5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Shipowner</w:t>
      </w:r>
      <w:r>
        <w:rPr>
          <w:rFonts w:ascii="Times New Roman" w:cs="Times New Roman" w:eastAsia="Times New Roman" w:hAnsi="Times New Roman"/>
          <w:sz w:val="18"/>
          <w:szCs w:val="18"/>
          <w:color w:val="auto"/>
        </w:rPr>
        <w:t>” means each Loan Party that owns a Vessel that is Vessel Collateral.</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Term Advances</w:t>
      </w:r>
      <w:r>
        <w:rPr>
          <w:rFonts w:ascii="Times New Roman" w:cs="Times New Roman" w:eastAsia="Times New Roman" w:hAnsi="Times New Roman"/>
          <w:sz w:val="18"/>
          <w:szCs w:val="18"/>
          <w:color w:val="auto"/>
        </w:rPr>
        <w:t>” has the meaning specified in the definition of “Indebtedness.”</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xml:space="preserve">” means (a) any businesses, services or activities engaged in by the Borrower or any of its Subsidiaries or any Associates on the Closing Date, (b) any businesses, services and activities engaged in by the Borrower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any Subsidiary thereof. For the avoidance of doubt, any Person that invests in or owns Equity Interests or Indebtedness of another Person that is engaged in a Similar Business shall be deemed to be engaged in a Similar Business.</w:t>
      </w:r>
    </w:p>
    <w:p>
      <w:pPr>
        <w:spacing w:after="0" w:line="179" w:lineRule="exact"/>
        <w:rPr>
          <w:sz w:val="20"/>
          <w:szCs w:val="20"/>
          <w:color w:val="auto"/>
        </w:rPr>
      </w:pPr>
    </w:p>
    <w:p>
      <w:pPr>
        <w:ind w:left="4"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xml:space="preserve">” means, with respect to any Business Day,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secured overnight financing rate for such Business Day published by the SOFR Administrator on the SOFR Administrator’s Website at approximately 8:00 a.m. (New York City time) on the immediately succeeding Business Day.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xml:space="preserve">” means the NYFRB’s website, currently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 for the secured overnight financing rate identified as such by the SOFR Administrator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Rate Loan</w:t>
      </w:r>
      <w:r>
        <w:rPr>
          <w:rFonts w:ascii="Times New Roman" w:cs="Times New Roman" w:eastAsia="Times New Roman" w:hAnsi="Times New Roman"/>
          <w:sz w:val="18"/>
          <w:szCs w:val="18"/>
          <w:color w:val="auto"/>
        </w:rPr>
        <w:t>” means a Loan, denominated in Dollars, that bears interest at the applicable Adjusted Term SOFR.</w:t>
      </w:r>
    </w:p>
    <w:p>
      <w:pPr>
        <w:spacing w:after="0" w:line="225" w:lineRule="exact"/>
        <w:rPr>
          <w:sz w:val="20"/>
          <w:szCs w:val="20"/>
          <w:color w:val="auto"/>
        </w:rPr>
      </w:pPr>
    </w:p>
    <w:p>
      <w:pPr>
        <w:ind w:left="4" w:right="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Solvency</w:t>
      </w:r>
      <w:r>
        <w:rPr>
          <w:rFonts w:ascii="Times New Roman" w:cs="Times New Roman" w:eastAsia="Times New Roman" w:hAnsi="Times New Roman"/>
          <w:sz w:val="17"/>
          <w:szCs w:val="17"/>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w:t>
      </w:r>
    </w:p>
    <w:p>
      <w:pPr>
        <w:spacing w:after="0" w:line="1" w:lineRule="exact"/>
        <w:rPr>
          <w:sz w:val="20"/>
          <w:szCs w:val="20"/>
          <w:color w:val="auto"/>
        </w:rPr>
      </w:pPr>
    </w:p>
    <w:p>
      <w:pPr>
        <w:ind w:left="4" w:right="200" w:hanging="4"/>
        <w:spacing w:after="0" w:line="270" w:lineRule="auto"/>
        <w:tabs>
          <w:tab w:leader="none" w:pos="25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66" w:right="459" w:bottom="1440" w:gutter="0" w:footer="0" w:header="0"/>
        </w:sectPr>
      </w:pPr>
    </w:p>
    <w:bookmarkStart w:id="359" w:name="page360"/>
    <w:bookmarkEnd w:id="3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an Event of Default pursuant to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Qualified Appraisers</w:t>
      </w:r>
      <w:r>
        <w:rPr>
          <w:rFonts w:ascii="Times New Roman" w:cs="Times New Roman" w:eastAsia="Times New Roman" w:hAnsi="Times New Roman"/>
          <w:sz w:val="18"/>
          <w:szCs w:val="18"/>
          <w:color w:val="auto"/>
        </w:rPr>
        <w:t>” means DLS Marine Survey and Appraisal, Clarksons, Fearnleys, Pareto, Seabrokers Group, S&amp;P Global, Arctic Offshore or Dufour Laskay &amp; Strouse Inc (or any successor thereof) and other appraisers with the prior consent of the Administrative Agent (such consent not to be unreasonably withheld, conditioned or delayed).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Vessel</w:t>
      </w:r>
      <w:r>
        <w:rPr>
          <w:rFonts w:ascii="Times New Roman" w:cs="Times New Roman" w:eastAsia="Times New Roman" w:hAnsi="Times New Roman"/>
          <w:sz w:val="18"/>
          <w:szCs w:val="18"/>
          <w:color w:val="auto"/>
        </w:rPr>
        <w:t>” has the meaning specified in the definition of “Consolidated Adjusted EBITDA”.</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Sponsors</w:t>
      </w:r>
      <w:r>
        <w:rPr>
          <w:rFonts w:ascii="Times New Roman" w:cs="Times New Roman" w:eastAsia="Times New Roman" w:hAnsi="Times New Roman"/>
          <w:sz w:val="18"/>
          <w:szCs w:val="18"/>
          <w:color w:val="auto"/>
        </w:rPr>
        <w:t>” means, individually or collectively, any fund, partnership, co-investment vehicles and/or similar vehicles or accounts, in each case managed or advised by Ares Management Corp., Whitebox Advisors LLC or Highbridge Capital Management, LLC or any of their respective Affiliates, or any of their respective successors.</w:t>
      </w:r>
    </w:p>
    <w:p>
      <w:pPr>
        <w:spacing w:after="0" w:line="171"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Stacked Vessel</w:t>
      </w:r>
      <w:r>
        <w:rPr>
          <w:rFonts w:ascii="Times New Roman" w:cs="Times New Roman" w:eastAsia="Times New Roman" w:hAnsi="Times New Roman"/>
          <w:sz w:val="18"/>
          <w:szCs w:val="18"/>
          <w:color w:val="auto"/>
        </w:rPr>
        <w:t>” means a Vessel that has been temporarily or permanently removed from service in the exercise of the Borrower’s reasonable judgment consistent with reasonable business practices in light of the facts known at the time the decision was made (including, without limitation, operating costs and available marketing opportunities) or in the case of any after-acquired Vessel (whether by acquiring the Vessel or the entity that owns such Vessel ) that was stacked at the time of its acquisition or thereafter.</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Borrower or any Subsidiary of the Borrower which the Borrower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79"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aggregate amount available to be drawn thereunder at such time (regardless of whether any conditions for drawing could then be met).</w:t>
      </w:r>
    </w:p>
    <w:p>
      <w:pPr>
        <w:spacing w:after="0" w:line="155" w:lineRule="exact"/>
        <w:rPr>
          <w:sz w:val="20"/>
          <w:szCs w:val="20"/>
          <w:color w:val="auto"/>
        </w:rPr>
      </w:pPr>
    </w:p>
    <w:p>
      <w:pPr>
        <w:ind w:right="5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Subordinated Indebtedness</w:t>
      </w:r>
      <w:r>
        <w:rPr>
          <w:rFonts w:ascii="Times New Roman" w:cs="Times New Roman" w:eastAsia="Times New Roman" w:hAnsi="Times New Roman"/>
          <w:sz w:val="17"/>
          <w:szCs w:val="17"/>
          <w:color w:val="auto"/>
        </w:rPr>
        <w:t>” means, with respect to any person, any Indebtedness (whether outstanding on the Closing Date or thereafter incurred) which is expressly subordinated in right of payment to the Loans pursuant to a written agreement (but excluding any First Lien Debt).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6" w:right="459" w:bottom="1440" w:gutter="0" w:footer="0" w:header="0"/>
        </w:sectPr>
      </w:pPr>
    </w:p>
    <w:bookmarkStart w:id="360" w:name="page361"/>
    <w:bookmarkEnd w:id="3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40" w:right="80" w:firstLine="419"/>
        <w:spacing w:after="0" w:line="261" w:lineRule="auto"/>
        <w:tabs>
          <w:tab w:leader="none" w:pos="11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Equity Interests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30" w:lineRule="exact"/>
        <w:rPr>
          <w:rFonts w:ascii="Times New Roman" w:cs="Times New Roman" w:eastAsia="Times New Roman" w:hAnsi="Times New Roman"/>
          <w:sz w:val="18"/>
          <w:szCs w:val="18"/>
          <w:color w:val="auto"/>
        </w:rPr>
      </w:pPr>
    </w:p>
    <w:p>
      <w:pPr>
        <w:ind w:left="1420" w:hanging="439"/>
        <w:spacing w:after="0" w:line="289" w:lineRule="auto"/>
        <w:tabs>
          <w:tab w:leader="none" w:pos="1420"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63" w:lineRule="exact"/>
        <w:rPr>
          <w:rFonts w:ascii="Times New Roman" w:cs="Times New Roman" w:eastAsia="Times New Roman" w:hAnsi="Times New Roman"/>
          <w:sz w:val="17"/>
          <w:szCs w:val="17"/>
          <w:color w:val="auto"/>
        </w:rPr>
      </w:pPr>
    </w:p>
    <w:p>
      <w:pPr>
        <w:ind w:left="1420" w:hanging="439"/>
        <w:spacing w:after="0"/>
        <w:tabs>
          <w:tab w:leader="none" w:pos="142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 or</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Borrower, any partnership, joint venture, limited liability company or similar entity of which such Person or any Subsidiary of such Person is a controlling general partner or otherwise controls such entity.</w:t>
      </w:r>
    </w:p>
    <w:p>
      <w:pPr>
        <w:spacing w:after="0" w:line="160"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“Subsidiary” shall not include Hornbeck Offshore Services de Mexico, S. de R.L. de C.V.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Hornbeck Offshore (Trinidad &amp; Tobago), Ltd.</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Subsidized Indebtedness Specified Cash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Super-Priority Debt</w:t>
      </w:r>
      <w:r>
        <w:rPr>
          <w:rFonts w:ascii="Times New Roman" w:cs="Times New Roman" w:eastAsia="Times New Roman" w:hAnsi="Times New Roman"/>
          <w:sz w:val="18"/>
          <w:szCs w:val="18"/>
          <w:color w:val="auto"/>
        </w:rPr>
        <w:t xml:space="preserve">” means First Lien Debt that has the same payment priority as the Obligations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equivalent section) of the Equal Priority Intercreditor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 xml:space="preserve">” have the meanings specified in </w:t>
      </w:r>
      <w:r>
        <w:rPr>
          <w:rFonts w:ascii="Times New Roman" w:cs="Times New Roman" w:eastAsia="Times New Roman" w:hAnsi="Times New Roman"/>
          <w:sz w:val="18"/>
          <w:szCs w:val="18"/>
          <w:u w:val="single" w:color="auto"/>
          <w:color w:val="auto"/>
        </w:rPr>
        <w:t>Section 10.12(a)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66" w:right="499" w:bottom="1440" w:gutter="0" w:footer="0" w:header="0"/>
        </w:sectPr>
      </w:pPr>
    </w:p>
    <w:bookmarkStart w:id="361" w:name="page362"/>
    <w:bookmarkEnd w:id="361"/>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xml:space="preserve">” means, for the applicable Corresponding Tenor as of the applicable Reference Time, the forward-looking term rate based on SOFR that has been selected or recommended by the Relevant Governmental Body;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“Term SOFR” with respect to any Revolving Loans shall in no event be less than 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Adjustment</w:t>
      </w:r>
      <w:r>
        <w:rPr>
          <w:rFonts w:ascii="Times New Roman" w:cs="Times New Roman" w:eastAsia="Times New Roman" w:hAnsi="Times New Roman"/>
          <w:sz w:val="18"/>
          <w:szCs w:val="18"/>
          <w:color w:val="auto"/>
        </w:rPr>
        <w:t xml:space="preserve">” means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0.10%.</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Notice</w:t>
      </w:r>
      <w:r>
        <w:rPr>
          <w:rFonts w:ascii="Times New Roman" w:cs="Times New Roman" w:eastAsia="Times New Roman" w:hAnsi="Times New Roman"/>
          <w:sz w:val="18"/>
          <w:szCs w:val="18"/>
          <w:color w:val="auto"/>
        </w:rPr>
        <w:t>” means a notification by the Administrative Agent to the Lenders and the Borrower of the occurrence of a Term SOFR Transition Event.</w:t>
      </w:r>
    </w:p>
    <w:p>
      <w:pPr>
        <w:spacing w:after="0" w:line="155"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SOFR Transition Event</w:t>
      </w:r>
      <w:r>
        <w:rPr>
          <w:rFonts w:ascii="Times New Roman" w:cs="Times New Roman" w:eastAsia="Times New Roman" w:hAnsi="Times New Roman"/>
          <w:sz w:val="17"/>
          <w:szCs w:val="17"/>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in accordance with this </w:t>
      </w:r>
      <w:r>
        <w:rPr>
          <w:rFonts w:ascii="Times New Roman" w:cs="Times New Roman" w:eastAsia="Times New Roman" w:hAnsi="Times New Roman"/>
          <w:sz w:val="17"/>
          <w:szCs w:val="17"/>
          <w:u w:val="single" w:color="auto"/>
          <w:color w:val="auto"/>
        </w:rPr>
        <w:t>Section 3.09</w:t>
      </w:r>
      <w:r>
        <w:rPr>
          <w:rFonts w:ascii="Times New Roman" w:cs="Times New Roman" w:eastAsia="Times New Roman" w:hAnsi="Times New Roman"/>
          <w:sz w:val="17"/>
          <w:szCs w:val="17"/>
          <w:color w:val="auto"/>
        </w:rPr>
        <w:t xml:space="preserve"> that is not Adjusted Term SOFR.</w:t>
      </w:r>
    </w:p>
    <w:p>
      <w:pPr>
        <w:spacing w:after="0" w:line="15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Conditions</w:t>
      </w:r>
      <w:r>
        <w:rPr>
          <w:rFonts w:ascii="Times New Roman" w:cs="Times New Roman" w:eastAsia="Times New Roman" w:hAnsi="Times New Roman"/>
          <w:sz w:val="18"/>
          <w:szCs w:val="18"/>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105% of the maximum drawable amount of any such Letter of Credit or otherwise in an amount and/or in a manner reasonably acceptable to the Issuing Banks).</w:t>
      </w:r>
    </w:p>
    <w:p>
      <w:pPr>
        <w:spacing w:after="0" w:line="179"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or, in the case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(which may be internal financial statements except (i) to the extent this Agreement otherwise expressly states that the Test Period is specified in a Compliance Certificate, in which case such financial statements shall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the Test Period set forth in such Compliance Certificate or (ii) for purposes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Test Period may be designated by reference to the last day thereof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Test Period” of a particular year refers to the period of four consecutive fiscal quarters of the Borrower ended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such year), and a Test Period shall be deemed to end on the last day thereof.</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$25.0 million.</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8"/>
          <w:szCs w:val="18"/>
          <w:color w:val="auto"/>
        </w:rPr>
        <w:t>” means, as of any date, the total consolidated assets of the Borrower and its Restricted Subsidiaries on a consolidated basis, as shown on the most recent consolidated balance sheet of the Borrower and its Restricted Subsidiaries, determined in accordance with GAAP.</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Net Leverage Ratio</w:t>
      </w:r>
      <w:r>
        <w:rPr>
          <w:rFonts w:ascii="Times New Roman" w:cs="Times New Roman" w:eastAsia="Times New Roman" w:hAnsi="Times New Roman"/>
          <w:sz w:val="18"/>
          <w:szCs w:val="18"/>
          <w:color w:val="auto"/>
        </w:rPr>
        <w:t>” means, with respect to any Test Period, the ratio of (a) Consolidated Net Debt as of the last day of such Test Period to (b) Consolidated Adjusted EBITDA of the Borrower for such Test Period.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66" w:right="459" w:bottom="1440" w:gutter="0" w:footer="0" w:header="0"/>
        </w:sectPr>
      </w:pPr>
    </w:p>
    <w:bookmarkStart w:id="362" w:name="page363"/>
    <w:bookmarkEnd w:id="362"/>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Total Utilization of Commitments</w:t>
      </w:r>
      <w:r>
        <w:rPr>
          <w:rFonts w:ascii="Times New Roman" w:cs="Times New Roman" w:eastAsia="Times New Roman" w:hAnsi="Times New Roman"/>
          <w:sz w:val="18"/>
          <w:szCs w:val="18"/>
          <w:color w:val="auto"/>
        </w:rPr>
        <w:t>” means, as of any date of determination, the sum of (i) the aggregate principal amount of all outstanding Revolving Loans other than Revolving Loans made for the purpose of reimbursing the Issuing Banks for any amount drawn under any Letter of Credit, but not yet so applied, and (ii) the Letter of Credit Usage.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Traded Securities</w:t>
      </w:r>
      <w:r>
        <w:rPr>
          <w:rFonts w:ascii="Times New Roman" w:cs="Times New Roman" w:eastAsia="Times New Roman" w:hAnsi="Times New Roman"/>
          <w:sz w:val="18"/>
          <w:szCs w:val="18"/>
          <w:color w:val="auto"/>
        </w:rPr>
        <w:t>” means any debt or equity securities issued pursuant to a public offering or Rule 144A offering.</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any fees or expenses incurred or paid by the Borrower or any of its Subsidiaries in connection with the Transactions, this Agreement and the other Loan Documents and the transactions contemplated hereby and thereby, including any amortization thereof in any period.</w:t>
      </w:r>
    </w:p>
    <w:p>
      <w:pPr>
        <w:spacing w:after="0" w:line="17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occurrence of the Closing Date under this Agreement and (b) the payment of the Transaction Expenses.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Equity Interests</w:t>
      </w:r>
      <w:r>
        <w:rPr>
          <w:rFonts w:ascii="Times New Roman" w:cs="Times New Roman" w:eastAsia="Times New Roman" w:hAnsi="Times New Roman"/>
          <w:sz w:val="18"/>
          <w:szCs w:val="18"/>
          <w:color w:val="auto"/>
        </w:rPr>
        <w:t>” has the meaning specified in the definition of “Permitted Payment.”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TTM Consolidated Adjusted EBITDA</w:t>
      </w:r>
      <w:r>
        <w:rPr>
          <w:rFonts w:ascii="Times New Roman" w:cs="Times New Roman" w:eastAsia="Times New Roman" w:hAnsi="Times New Roman"/>
          <w:sz w:val="18"/>
          <w:szCs w:val="18"/>
          <w:color w:val="auto"/>
        </w:rPr>
        <w:t>” means, as of any date of determination, the Consolidated Adjusted EBITDA of the Borrower and the Restricted Subsidiaries, determined on a Pro Forma Basis, for the four consecutive fiscal quarters most recently ended prior to such date for which financial statements are internally available.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means, with respect to a Loan, its character as a Base Rate Loan or a SOFR Rate Loan.</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Ultra High 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Ultra High-Spec</w:t>
      </w:r>
      <w:r>
        <w:rPr>
          <w:rFonts w:ascii="Times New Roman" w:cs="Times New Roman" w:eastAsia="Times New Roman" w:hAnsi="Times New Roman"/>
          <w:sz w:val="18"/>
          <w:szCs w:val="18"/>
          <w:color w:val="auto"/>
        </w:rPr>
        <w:t>” means, when referring to Vessels, Vessels with cargo-carrying capacity of greater than 5,000 DWT (i.e., 300 class OSV notations or higher), and dynamic-positioning systems with a DP-2 classification or higher. For the avoidance of doubt, any MPSV of greater than 5,000 DWT is an Ultra High-Spec Vessel.</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440" w:top="266" w:right="499" w:bottom="1440" w:gutter="0" w:footer="0" w:header="0"/>
        </w:sectPr>
      </w:pPr>
    </w:p>
    <w:bookmarkStart w:id="363" w:name="page364"/>
    <w:bookmarkEnd w:id="363"/>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Advances/Participations</w:t>
      </w:r>
      <w:r>
        <w:rPr>
          <w:rFonts w:ascii="Times New Roman" w:cs="Times New Roman" w:eastAsia="Times New Roman" w:hAnsi="Times New Roman"/>
          <w:sz w:val="18"/>
          <w:szCs w:val="18"/>
          <w:color w:val="auto"/>
        </w:rPr>
        <w:t xml:space="preserve">” 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and (ii) with respect to which a corresponding amount shall not in fact have been returned to the Administrative Agent by such Borrower or made available to the Administrative Agent by any such Lender and (b) with respect to the Issuing Banks, the aggregate amount, if any, of amounts drawn under Letters of Credit in respect of which a Revolving Lender shall have failed to make amounts available to the applicable Issuing Banks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right="1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Unrestricted Lender</w:t>
      </w:r>
      <w:r>
        <w:rPr>
          <w:rFonts w:ascii="Times New Roman" w:cs="Times New Roman" w:eastAsia="Times New Roman" w:hAnsi="Times New Roman"/>
          <w:sz w:val="17"/>
          <w:szCs w:val="17"/>
          <w:color w:val="auto"/>
        </w:rPr>
        <w:t>” means any Regulated Entity, any Revolving Lender as of the Closing Date, any Lead Arranger or any of their respective Affiliates (other than, for the avoidance of doubt, any participants of any such Persons unless such participants constitute an Unrestricted Lender).</w:t>
      </w:r>
    </w:p>
    <w:p>
      <w:pPr>
        <w:spacing w:after="0" w:line="13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subsequent to the date hereof, in each case, until such Person ceases to be an Unrestricted Subsidiary of the Borrower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ceases to be a Subsidiary of the Borrower.</w:t>
      </w:r>
    </w:p>
    <w:p>
      <w:pPr>
        <w:spacing w:after="0" w:line="171" w:lineRule="exact"/>
        <w:rPr>
          <w:sz w:val="20"/>
          <w:szCs w:val="20"/>
          <w:color w:val="auto"/>
        </w:rPr>
      </w:pPr>
    </w:p>
    <w:p>
      <w:pPr>
        <w:ind w:right="5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3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Vessel Collateral</w:t>
      </w:r>
      <w:r>
        <w:rPr>
          <w:rFonts w:ascii="Times New Roman" w:cs="Times New Roman" w:eastAsia="Times New Roman" w:hAnsi="Times New Roman"/>
          <w:sz w:val="18"/>
          <w:szCs w:val="18"/>
          <w:color w:val="auto"/>
        </w:rPr>
        <w:t xml:space="preserve">” means, collectively, each of the Vessels set forth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any Vessel subject to a Vessel Mortgage pursuant to </w:t>
      </w:r>
      <w:r>
        <w:rPr>
          <w:rFonts w:ascii="Times New Roman" w:cs="Times New Roman" w:eastAsia="Times New Roman" w:hAnsi="Times New Roman"/>
          <w:sz w:val="18"/>
          <w:szCs w:val="18"/>
          <w:u w:val="single" w:color="auto"/>
          <w:color w:val="auto"/>
        </w:rPr>
        <w:t>Section 6.11(d)(i)</w:t>
      </w:r>
      <w:r>
        <w:rPr>
          <w:rFonts w:ascii="Times New Roman" w:cs="Times New Roman" w:eastAsia="Times New Roman" w:hAnsi="Times New Roman"/>
          <w:sz w:val="18"/>
          <w:szCs w:val="18"/>
          <w:color w:val="auto"/>
        </w:rPr>
        <w:t xml:space="preserve">, and any other Vessel over which a Loan Party has, by its sole election, granted a Vessel Mortgage, in each case, until such Vessel is released from Vessel Collateral in accordance with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the Borrower shall not be restricted in its ability, at its sole election, to designate any Vessel Collateral as Stacked Vessels following the Closing Date.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6" w:right="459" w:bottom="1440" w:gutter="0" w:footer="0" w:header="0"/>
        </w:sectPr>
      </w:pPr>
    </w:p>
    <w:bookmarkStart w:id="364" w:name="page365"/>
    <w:bookmarkEnd w:id="364"/>
    <w:p>
      <w:pPr>
        <w:ind w:firstLine="440"/>
        <w:spacing w:after="0" w:line="22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Vessel Collateral Value Amount</w:t>
      </w:r>
      <w:r>
        <w:rPr>
          <w:rFonts w:ascii="Times New Roman" w:cs="Times New Roman" w:eastAsia="Times New Roman" w:hAnsi="Times New Roman"/>
          <w:sz w:val="18"/>
          <w:szCs w:val="18"/>
          <w:color w:val="auto"/>
        </w:rPr>
        <w:t>” means the fair market value of each Vessel constituting Collateral (calculated in the aggregate), as determined by (a)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successor thereof) or (b) at the Borrower’s sole election, a Specified Qualified Appraiser;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ceases to exist, (ii) if access to such information originating from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becomes (x) commercially unavailable or impractical to obtain or (y) otherwise materially more costly to obtain, then the Borrower shall (or, with respect to </w:t>
      </w:r>
      <w:r>
        <w:rPr>
          <w:rFonts w:ascii="Times New Roman" w:cs="Times New Roman" w:eastAsia="Times New Roman" w:hAnsi="Times New Roman"/>
          <w:sz w:val="18"/>
          <w:szCs w:val="18"/>
          <w:u w:val="single" w:color="auto"/>
          <w:color w:val="auto"/>
        </w:rPr>
        <w:t>clause (ii)(y)</w:t>
      </w:r>
      <w:r>
        <w:rPr>
          <w:rFonts w:ascii="Times New Roman" w:cs="Times New Roman" w:eastAsia="Times New Roman" w:hAnsi="Times New Roman"/>
          <w:sz w:val="18"/>
          <w:szCs w:val="18"/>
          <w:color w:val="auto"/>
        </w:rPr>
        <w:t>, may at its sole election) select a Specified Qualified Appraiser or another appraiser that is reasonably acceptable to the Administrative Agent to determine the Vessel Collateral Value Amount in place of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Vessel Mortgage</w:t>
      </w:r>
      <w:r>
        <w:rPr>
          <w:rFonts w:ascii="Times New Roman" w:cs="Times New Roman" w:eastAsia="Times New Roman" w:hAnsi="Times New Roman"/>
          <w:sz w:val="18"/>
          <w:szCs w:val="18"/>
          <w:color w:val="auto"/>
        </w:rPr>
        <w:t xml:space="preserve">” means a first preferred single vessel mortgage or fleet mortgage, as applicable, in substantially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as the same may be amended, modified or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Vessels</w:t>
      </w:r>
      <w:r>
        <w:rPr>
          <w:rFonts w:ascii="Times New Roman" w:cs="Times New Roman" w:eastAsia="Times New Roman" w:hAnsi="Times New Roman"/>
          <w:sz w:val="18"/>
          <w:szCs w:val="18"/>
          <w:color w:val="auto"/>
        </w:rPr>
        <w:t>” means marine vessels (other than recreational vessels), and “</w:t>
      </w:r>
      <w:r>
        <w:rPr>
          <w:rFonts w:ascii="Times New Roman" w:cs="Times New Roman" w:eastAsia="Times New Roman" w:hAnsi="Times New Roman"/>
          <w:sz w:val="18"/>
          <w:szCs w:val="18"/>
          <w:b w:val="1"/>
          <w:bCs w:val="1"/>
          <w:color w:val="auto"/>
        </w:rPr>
        <w:t>Vessel</w:t>
      </w:r>
      <w:r>
        <w:rPr>
          <w:rFonts w:ascii="Times New Roman" w:cs="Times New Roman" w:eastAsia="Times New Roman" w:hAnsi="Times New Roman"/>
          <w:sz w:val="18"/>
          <w:szCs w:val="18"/>
          <w:color w:val="auto"/>
        </w:rPr>
        <w:t>” shall mean any of such Vessels.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all classes of Equity Interests of such Person then outstanding and normally entitled to vote in the election of directors.</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quotient (in number of years) obtained by dividing:</w:t>
      </w:r>
    </w:p>
    <w:p>
      <w:pPr>
        <w:spacing w:after="0" w:line="64" w:lineRule="exact"/>
        <w:rPr>
          <w:sz w:val="20"/>
          <w:szCs w:val="20"/>
          <w:color w:val="auto"/>
        </w:rPr>
      </w:pPr>
    </w:p>
    <w:p>
      <w:pPr>
        <w:ind w:left="1420" w:right="260" w:hanging="439"/>
        <w:spacing w:after="0" w:line="266" w:lineRule="auto"/>
        <w:tabs>
          <w:tab w:leader="none" w:pos="14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Equity Interests or Preferred Stock, by (ii) the amount of such payment, by</w:t>
      </w:r>
    </w:p>
    <w:p>
      <w:pPr>
        <w:spacing w:after="0" w:line="81" w:lineRule="exact"/>
        <w:rPr>
          <w:rFonts w:ascii="Times New Roman" w:cs="Times New Roman" w:eastAsia="Times New Roman" w:hAnsi="Times New Roman"/>
          <w:sz w:val="18"/>
          <w:szCs w:val="18"/>
          <w:color w:val="auto"/>
        </w:rPr>
      </w:pPr>
    </w:p>
    <w:p>
      <w:pPr>
        <w:ind w:left="1420" w:right="40" w:hanging="439"/>
        <w:spacing w:after="0" w:line="266" w:lineRule="auto"/>
        <w:tabs>
          <w:tab w:leader="none" w:pos="14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 provided that, for purposes of determining the Weighted Average Life to Maturity of any Indebtedness, the effects of any prepayments or amortization made on such Indebtedness prior to the date of such determination will be disregarded;</w:t>
      </w:r>
    </w:p>
    <w:p>
      <w:pPr>
        <w:spacing w:after="0" w:line="17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for purposes of determining the Weighted Average Life to Maturity of (i) any Refinanced Debt or (ii) any Indebtedness that is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modified, refinanced, refunded, renewed, replaced or extended (in any such case, the “</w:t>
      </w:r>
      <w:r>
        <w:rPr>
          <w:rFonts w:ascii="Times New Roman" w:cs="Times New Roman" w:eastAsia="Times New Roman" w:hAnsi="Times New Roman"/>
          <w:sz w:val="17"/>
          <w:szCs w:val="17"/>
          <w:b w:val="1"/>
          <w:bCs w:val="1"/>
          <w:color w:val="auto"/>
        </w:rPr>
        <w:t>Applicable Indebtedness</w:t>
      </w:r>
      <w:r>
        <w:rPr>
          <w:rFonts w:ascii="Times New Roman" w:cs="Times New Roman" w:eastAsia="Times New Roman" w:hAnsi="Times New Roman"/>
          <w:sz w:val="17"/>
          <w:szCs w:val="17"/>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62"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wholly-owned Subsidiaries of such Person.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66" w:right="479" w:bottom="1440" w:gutter="0" w:footer="0" w:header="0"/>
        </w:sectPr>
      </w:pPr>
    </w:p>
    <w:bookmarkStart w:id="365" w:name="page366"/>
    <w:bookmarkEnd w:id="365"/>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the liability to a Multiemployer Plan as a result of a complete or partial withdrawal from such Multiemployer Plan, as such term is defined in Part I of Subtitle E of Title IV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Borrower, any Guarantor or the Administrative Agent.</w:t>
      </w:r>
    </w:p>
    <w:p>
      <w:pPr>
        <w:spacing w:after="0" w:line="225"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ind w:left="680" w:hanging="244"/>
        <w:spacing w:after="0"/>
        <w:tabs>
          <w:tab w:leader="none" w:pos="6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words “herein,” “hereto,” “hereof” and “hereunder” and words of similar import when used in any Loan Document shall refer to such Loan Document as a whole and not to any particular provision thereof; (ii)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 (iii) the term “including” is by way of example and not limitation; (iv) the term “documents” includes any and all instruments, documents, agreements, certificates, notices, reports, financial statements and other writings, however evidenced, whether in physical or electronic form; (v) the term “continuing” means, with respect to a Default or Event of Default, that it has not been cured or waived; and (vi) in the computation of periods of time from a specified date to a later specified date, the word “from” means “from and including;” the words “to” and “until” each mean “to but excluding;” and the word “through” means “to and including.”</w:t>
      </w:r>
    </w:p>
    <w:p>
      <w:pPr>
        <w:spacing w:after="0" w:line="19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66" w:right="459" w:bottom="1440" w:gutter="0" w:footer="0" w:header="0"/>
        </w:sectPr>
      </w:pPr>
    </w:p>
    <w:bookmarkStart w:id="366" w:name="page367"/>
    <w:bookmarkEnd w:id="366"/>
    <w:p>
      <w:pPr>
        <w:ind w:firstLine="436"/>
        <w:spacing w:after="0" w:line="258"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and Finance Terms; Accounting Periods; Unrestricted Subsidiaries</w:t>
      </w:r>
      <w:r>
        <w:rPr>
          <w:rFonts w:ascii="Times New Roman" w:cs="Times New Roman" w:eastAsia="Times New Roman" w:hAnsi="Times New Roman"/>
          <w:sz w:val="18"/>
          <w:szCs w:val="18"/>
          <w:color w:val="auto"/>
        </w:rPr>
        <w:t>. All accounting terms, financial terms or components of such terms not specifically or completely defined herein shall be construed in conformity with GAAP to the extent GAAP defines such term or a component of such term. To the extent GAAP does not define such term or a component of such term, such term shall be calculated by the Borrower in good faith.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and any reference to a “fiscal quarter” shall refer to a fiscal quarter of the Borrower ending March 31, June 30, September 30 or December 31.</w:t>
      </w:r>
    </w:p>
    <w:p>
      <w:pPr>
        <w:spacing w:after="0" w:line="189"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satisfied in order for a specific action to be permitted under this Agreement or any other Loan Document shall be calculated by dividing the appropriate component by the other component, carrying the result to one decimal place more than the number of decimal places by which such ratio is expressed herein (the “</w:t>
      </w:r>
      <w:r>
        <w:rPr>
          <w:rFonts w:ascii="Times New Roman" w:cs="Times New Roman" w:eastAsia="Times New Roman" w:hAnsi="Times New Roman"/>
          <w:sz w:val="18"/>
          <w:szCs w:val="18"/>
          <w:b w:val="1"/>
          <w:bCs w:val="1"/>
          <w:color w:val="auto"/>
        </w:rPr>
        <w:t>applicable decimal place</w:t>
      </w:r>
      <w:r>
        <w:rPr>
          <w:rFonts w:ascii="Times New Roman" w:cs="Times New Roman" w:eastAsia="Times New Roman" w:hAnsi="Times New Roman"/>
          <w:sz w:val="18"/>
          <w:szCs w:val="18"/>
          <w:color w:val="auto"/>
        </w:rPr>
        <w:t>”) and rounding the result up or down to the applicable decimal place.</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Laws, Etc</w:t>
      </w:r>
      <w:r>
        <w:rPr>
          <w:rFonts w:ascii="Times New Roman" w:cs="Times New Roman" w:eastAsia="Times New Roman" w:hAnsi="Times New Roman"/>
          <w:sz w:val="18"/>
          <w:szCs w:val="18"/>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Pro Forma Calculations; Limited Condition Transactions; Basket and Ratio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36"/>
        <w:spacing w:after="0" w:line="256"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Revolving Credit Facility Net Leverage Ratio, the Collateral Coverage Ratio, the RCF Collateral Coverage Ratio, the Total Net Leverage Ratio, the Fixed Charge Coverage Ratio and the Secured Net Leverage Ratio shall be calculated in the manner prescribed by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when calculating the Revolving Credit Facility Net Leverage Ratio, the Collateral Coverage Ratio and the RCF Collateral Coverage Ratio, in each case, for purposes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events described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that occurred subsequent to the end of the applicable Test Period shall not be given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40"/>
          </w:cols>
          <w:pgMar w:left="440" w:top="270" w:right="519" w:bottom="1440" w:gutter="0" w:footer="0" w:header="0"/>
        </w:sectPr>
      </w:pPr>
    </w:p>
    <w:bookmarkStart w:id="367" w:name="page368"/>
    <w:bookmarkEnd w:id="367"/>
    <w:p>
      <w:pPr>
        <w:ind w:firstLine="436"/>
        <w:spacing w:after="0" w:line="253" w:lineRule="auto"/>
        <w:tabs>
          <w:tab w:leader="none" w:pos="6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calculating the Revolving Credit Facility Net Leverage Ratio, the Collateral Coverage Ratio, the RCF Collateral Coverage Ratio, the Total Net Leverage Ratio, the Fixed Charge Coverage Ratio and the Secured Net Leverage Ratio, in addition to the adjustments provided for in the definition of “Consolidated Adjusted EBITDA” and “Fixed Charge Coverage Ratio” (including any QSC Adjustment), (i) any transaction or series of related transactions that results in a Person becoming a Restricted Subsidiary, (ii) any designation of a Subsidiary as a Restricted Subsidiary or an Unrestricted Subsidiary, (iii) any transaction or series of related transactions that results in a Restricted Subsidiary ceasing to be a Subsidiary of the Borrower, (iv) any acquisition or disposition of any assets constituting a business unit, line of business or division of another Person or a facility or an acquisition or disposition of any Vessel, (v) any incurrence or repayment of Indebtedness and (vi) any payment or Investment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that have been made or occurred (i) during the applicable Test Period or (ii) (other than for purposes of calculating the Financial Covenants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subsequent to such Test Period and prior to or simultaneously with the event for which the calculation of any such ratio is made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transactions (and any increase or decrease in Consolidated Adjusted EBITDA and the component financial definitions used therein attributable to any such transaction) had occurred on the first day of the applicable Test Period.</w:t>
      </w:r>
    </w:p>
    <w:p>
      <w:pPr>
        <w:spacing w:after="0" w:line="191"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Borrower or any Restricted Subsidiary incurs (including by assumption or guarantees) or repays (including by redemption, repayment, retirement or extinguishment) any Indebtedness included in the calculations of the Revolving Credit Facility Net Leverage Ratio, the Collateral Coverage Ratio, the RCF Collateral Coverage Ratio, the Fixed Charge Coverage Ratio, the Total Net Leverage Ratio and the Secured Net Leverage Ratio, as the case may be (in each case, other than, except for purposes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 during the applicable Test Period or (ii) subsequent to the end of the applicable Test Period and prior to or simultaneously with the event for which the calculation of any such ratio is made, then the Revolving Credit Facility Net Leverage Ratio, the Collateral Coverage Ratio, the RCF Collateral Coverage Ratio, the Fixed Charge Coverage Ratio, the Total Net Leverage Ratio and the Secured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or repayment of Indebtedness, to the extent required, as if the same had occurred on the last day of the applicable Test Period with respect to leverage ratios or the first day of such Test Period with respect to the Fixed Charge Coverage Ratio.</w:t>
      </w:r>
    </w:p>
    <w:p>
      <w:pPr>
        <w:spacing w:after="0" w:line="188"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classification under GAAP of any Person, business, assets or operations in respect of which a definitive agreement for the disposition thereof has been entered into as discontinued operations, no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shall be given to any discontinued operations (and the Consolidated Adjusted EBITDA attributable to any such Person, business, assets or operations shall not be excluded for any purposes hereunder) until such disposition shall have been consummated.</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Loan Document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368" w:name="page369"/>
    <w:bookmarkEnd w:id="368"/>
    <w:p>
      <w:pPr>
        <w:ind w:right="20" w:firstLine="419"/>
        <w:spacing w:after="0" w:line="258" w:lineRule="auto"/>
        <w:tabs>
          <w:tab w:leader="none" w:pos="63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their sole discretion, at any later time divide, classify or reclassify such transaction (or any portion thereof) in any manner that complies with the available baskets and exceptions hereunder at such later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reclassification of Indebtedness and Liens, any such reclassification shall be subject to the parameters of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as applicable),</w:t>
      </w:r>
    </w:p>
    <w:p>
      <w:pPr>
        <w:spacing w:after="0" w:line="75" w:lineRule="exact"/>
        <w:rPr>
          <w:rFonts w:ascii="Times New Roman" w:cs="Times New Roman" w:eastAsia="Times New Roman" w:hAnsi="Times New Roman"/>
          <w:sz w:val="18"/>
          <w:szCs w:val="18"/>
          <w:color w:val="auto"/>
        </w:rPr>
      </w:pPr>
    </w:p>
    <w:p>
      <w:pPr>
        <w:ind w:firstLine="419"/>
        <w:spacing w:after="0" w:line="255" w:lineRule="auto"/>
        <w:tabs>
          <w:tab w:leader="none" w:pos="6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Borrower elects otherwise, if the Borrower or its Restricted Subsidiaries in connection with any transaction or series of related transactions (A) incurs Indebtedness, creates Liens, makes Dispositions, makes Investments, designates any Subsidiary as restricted or unrestricted or repays any Indebtedness or takes any other action under or as permitted by a ratio-based basket and (B) incurs Indebtedness, creates Liens, makes Dispositions, makes Investments, designates any Subsidiary as restricted or unrestricted or repays any Indebtedness or takes any other action under a non-ratio-based basket (which shall occur within five Business Days of the events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then the applicable ratio will be calculated with respect to any such action under the applicable ratio-based basket without regard to any such action under such non-ratio-based basket made in connection with such transaction or series of related transactions,</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73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its Restricted Subsidiaries enters into any revolving, delayed draw or other committed debt facility, the Borrower may elect by written notice to the Administrative Agent (or shall be deemed to have elected with respect to any Incremental Loans)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such applicable ratio-based basket hereunder, in lieu of determining such compliance on any subsequent date (including any date on which Indebtedness is incurred pursuant to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future calculation of such ratio-based basket shall only include amounts borrowed and outstanding as of such date of determination, and</w:t>
      </w:r>
    </w:p>
    <w:p>
      <w:pPr>
        <w:spacing w:after="0" w:line="80" w:lineRule="exact"/>
        <w:rPr>
          <w:rFonts w:ascii="Times New Roman" w:cs="Times New Roman" w:eastAsia="Times New Roman" w:hAnsi="Times New Roman"/>
          <w:sz w:val="18"/>
          <w:szCs w:val="18"/>
          <w:color w:val="auto"/>
        </w:rPr>
      </w:pPr>
    </w:p>
    <w:p>
      <w:pPr>
        <w:ind w:right="100" w:firstLine="419"/>
        <w:spacing w:after="0" w:line="256" w:lineRule="auto"/>
        <w:tabs>
          <w:tab w:leader="none" w:pos="7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Permitted Payments or other transactions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such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actual application of such proceeds may reduce Indebtedness for purposes of determining compliance with any such applicable ratio-based basket.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60"/>
          </w:cols>
          <w:pgMar w:left="880" w:top="270" w:right="459" w:bottom="1440" w:gutter="0" w:footer="0" w:header="0"/>
        </w:sectPr>
      </w:pPr>
    </w:p>
    <w:bookmarkStart w:id="369" w:name="page370"/>
    <w:bookmarkEnd w:id="369"/>
    <w:p>
      <w:pPr>
        <w:ind w:left="4" w:firstLine="436"/>
        <w:spacing w:after="0" w:line="251" w:lineRule="auto"/>
        <w:tabs>
          <w:tab w:leader="none" w:pos="66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or any Loan Document to the contrary, 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in each case, at the option of the Borrower (the Borrower’s election to exercise such option,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the definitive agreement for such Limited Condition Transaction is entered into (or, if applicable, the date of delivery of an irrevocable declaration of a Restricted Payment or similar event)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Dispositions) and any related pro forma adjustments, the Borrower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financial statements for one or more fiscal quarters shall have subsequently become available, the Borrower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Dispositions) and</w:t>
      </w:r>
    </w:p>
    <w:p>
      <w:pPr>
        <w:spacing w:after="0" w:line="8" w:lineRule="exact"/>
        <w:rPr>
          <w:rFonts w:ascii="Times New Roman" w:cs="Times New Roman" w:eastAsia="Times New Roman" w:hAnsi="Times New Roman"/>
          <w:sz w:val="18"/>
          <w:szCs w:val="18"/>
          <w:color w:val="auto"/>
        </w:rPr>
      </w:pPr>
    </w:p>
    <w:p>
      <w:pPr>
        <w:ind w:left="4" w:right="420" w:hanging="4"/>
        <w:spacing w:after="0" w:line="260" w:lineRule="auto"/>
        <w:tabs>
          <w:tab w:leader="none" w:pos="2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for purposes of the Fixed Charge Coverage Ratio will be calculated using an assumed interest rate as reasonably determined by the Borrower.</w:t>
      </w:r>
    </w:p>
    <w:p>
      <w:pPr>
        <w:spacing w:after="0" w:line="18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maturity date of any Indebtedness,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61" w:lineRule="auto"/>
        <w:tabs>
          <w:tab w:leader="none" w:pos="68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with respect to any amount of Lien, Indebtedness or Investment in a currency other than Dollars, no Default or Event of Default shall be deemed to have occurred solely as a result of changes in rates of currency exchange occurring after the time such Lien, Indebtedness or Investment is incurred (so long as such Indebtedness or Investment, at the time incurred, made or acquired, was permitted 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4"/>
          </w:cols>
          <w:pgMar w:left="436" w:top="270" w:right="479" w:bottom="1440" w:gutter="0" w:footer="0" w:header="0"/>
        </w:sectPr>
      </w:pPr>
    </w:p>
    <w:bookmarkStart w:id="370" w:name="page371"/>
    <w:bookmarkEnd w:id="370"/>
    <w:p>
      <w:pPr>
        <w:ind w:left="-20" w:right="60" w:firstLine="436"/>
        <w:spacing w:after="0" w:line="254" w:lineRule="auto"/>
        <w:tabs>
          <w:tab w:leader="none" w:pos="67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and shall not be affected by subsequent fluctuations in exchange rates. For the avoidance of doubt, the Financial Covenants, the Revolving Credit Facility Net Leverage Ratio, Collateral Coverage Ratio, the RCF Collateral Coverage Ratio, the Total Net Leverage Ratio, the Secured Net Leverage Ratio and the Fixed Charge Coverage Ratio, including Consolidated Adjusted EBITDA, shall not be recalculated following any such fluctuation in exchange rate to provide for additional Dollar-equivalent principal amount of Indebtedness to be incurred or otherwise affected by subsequent fluctuations in exchange rates to provide for additional basket capacity.</w:t>
      </w:r>
    </w:p>
    <w:p>
      <w:pPr>
        <w:spacing w:after="0" w:line="188"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88"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7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Revolving Credit Facility Net Leverage Ratio, Collateral Coverage Ratio, the RCF Collateral Coverage Ratio, the Total Net Leverage Ratio, the Secured Net Leverage Ratio, the Total Net Leverage Ratio and the Fixed Charge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60"/>
          </w:cols>
          <w:pgMar w:left="460" w:top="270" w:right="479" w:bottom="1440" w:gutter="0" w:footer="0" w:header="0"/>
        </w:sectPr>
      </w:pPr>
    </w:p>
    <w:bookmarkStart w:id="371" w:name="page372"/>
    <w:bookmarkEnd w:id="3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Commitments and Borrowings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436"/>
        <w:spacing w:after="0" w:line="256" w:lineRule="auto"/>
        <w:tabs>
          <w:tab w:leader="none" w:pos="66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Commitment</w:t>
      </w:r>
      <w:r>
        <w:rPr>
          <w:rFonts w:ascii="Times New Roman" w:cs="Times New Roman" w:eastAsia="Times New Roman" w:hAnsi="Times New Roman"/>
          <w:sz w:val="18"/>
          <w:szCs w:val="18"/>
          <w:color w:val="auto"/>
        </w:rPr>
        <w:t>. During the Commitment Period, subject to the terms and conditions hereof, each Lender severally agrees to make revolving loans to the Borrower from time to time on any Business Day in Dollars (“</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in an aggregate amount up to but not exceeding such Lender’s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the making of any Revolving Loans in no event shall the Total Utilization of Commitments exceed the Commitments then in effect. Amounts borrowed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may be repaid and reborrowed during the Commitment Period. Each Lender’s Commitment shall expire on the Commitment Termination Date, and all Revolving Loans and all other amounts owed hereunder with respect to the Revolving Loans and the Commitments shall be paid in full no later than the Maturity Date.</w:t>
      </w:r>
    </w:p>
    <w:p>
      <w:pPr>
        <w:spacing w:after="0" w:line="18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Revolving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419"/>
        <w:spacing w:after="0" w:line="253" w:lineRule="auto"/>
        <w:tabs>
          <w:tab w:leader="none" w:pos="1058"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each Borrowing of Revolving Loans shall be made upon the Borrower’s irrevocable notice to the Administrative Agent, which may only be given in writing. Each such notice must be received by the Administrative Agent not later than (A) 1:00 p.m. three Business Days prior to the requested date of any Borrowing of SOFR Rate Loans, and (B) 1:00 p.m. one Business Day prior to the requested date of any Borrowing of Base Rate Loans. Each notice by the Borrower pursuant to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must be delivered to the Administrative Agent in the form of a Committed Loan Notice, appropriately completed and signed by a Responsible Officer of the Borrower. Each Borrowing of SOFR Rate Loans shall be in a minimum principal amount of $500,000 or a whole multiple of $100,000 in excess thereof. Each Borrowing of Base Rate Loans shall be in a minimum principal amount of $500,000 or a whole multiple of $100,000 in excess thereof. Each Committed Loan Notice shall specify (1) the requested date of the Borrowing (which shall be a Business Day), (2) the principal amount of Revolving Loans to be borrowed, (3) the Type of Revolving Loans to be borrowed and (4) if applicable, the duration of the Interest Period with respect thereto. If the Borrower fails to specify a Type of Revolving Loan in a Committed Loan Notice, then in the case of Revolving Loans, the applicable Revolving Loans shall be made as Base Rate Loans. If the Borrower requests a Borrowing of SOFR Rate Loans in any such Committed Loan Notice, but fails to specify an Interest Period for such SOFR Rate Loans, the Borrower will be deemed to have specified an Interest Period of one month.</w:t>
      </w:r>
    </w:p>
    <w:p>
      <w:pPr>
        <w:spacing w:after="0" w:line="81" w:lineRule="exact"/>
        <w:rPr>
          <w:rFonts w:ascii="Times New Roman" w:cs="Times New Roman" w:eastAsia="Times New Roman" w:hAnsi="Times New Roman"/>
          <w:sz w:val="18"/>
          <w:szCs w:val="18"/>
          <w:color w:val="auto"/>
        </w:rPr>
      </w:pPr>
    </w:p>
    <w:p>
      <w:pPr>
        <w:ind w:left="420" w:firstLine="419"/>
        <w:spacing w:after="0" w:line="254" w:lineRule="auto"/>
        <w:tabs>
          <w:tab w:leader="none" w:pos="1108"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by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on the date the Committed Loan Notice with respect to such Borrowing is given by the Borrower,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Reimbursement Obligations outstanding, then the proceeds of such Borrowing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in full of any such Reimbursement Obligations,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Borrower as provided above.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60"/>
          </w:cols>
          <w:pgMar w:left="460" w:top="266" w:right="479" w:bottom="1440" w:gutter="0" w:footer="0" w:header="0"/>
        </w:sectPr>
      </w:pPr>
    </w:p>
    <w:bookmarkStart w:id="372" w:name="page373"/>
    <w:bookmarkEnd w:id="372"/>
    <w:p>
      <w:pPr>
        <w:ind w:left="4" w:right="140" w:firstLine="419"/>
        <w:spacing w:after="0" w:line="266" w:lineRule="auto"/>
        <w:tabs>
          <w:tab w:leader="none" w:pos="74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Issuance of Letters of Credit and Purchase of Participations Therein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each Issuing Bank agrees, in reliance upon the agreements of the Revolving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(1) from time to time on any Business Day during the Commitment Period on or prior to the fifth Business Day prior to the Commitment Termination Date, to issue Letters of Credit for the account of the Borrower, subject to satisfactory receipt of such information and documentation reasonably requested by the Administrative Agent or any Lender in order to comply with applicable “know your customer” and anti-money laundering rules and regulations, including the USA PATRIOT Act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issued for the benefit of any Restricted Subsidiary shall be issued for the account of the Borrower but such Letter of Credit shall indicate that it is being issued for the benefit of such Restricted Subsidiary, as applicable) and to amend, renew or extend Letters of Credit previously issued by it, in accordance with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(2) to honor drawings under the Letters of Credit; and (B) the Revolving Lenders severally agree to participate in such Letters of Credit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Issuing Banks shall not be obligated to make any Letter of Credit Extension if, as of the date of such Letter of Credit Extension, (1) the Total Utilization of Commitments would exceed the Commitments, (2) the Total Utilization of Commitments of any Revolving Lender would exceed such Lender’s Commitment, (3) the Letter of Credit Usage would exceed the Letter of Credit Sublimit or (4)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On and after the Closing Date, each Existing Letter of Credit shall be deemed to be a Letter of Credit issued hereunder on the Closing Date for all purposes under this Agreement and the other Loan Documents.</w:t>
      </w:r>
    </w:p>
    <w:p>
      <w:pPr>
        <w:spacing w:after="0" w:line="12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524"/>
          </w:cols>
          <w:pgMar w:left="876" w:top="270" w:right="499" w:bottom="1440" w:gutter="0" w:footer="0" w:header="0"/>
        </w:sectPr>
      </w:pPr>
    </w:p>
    <w:bookmarkStart w:id="373" w:name="page374"/>
    <w:bookmarkEnd w:id="373"/>
    <w:p>
      <w:pPr>
        <w:ind w:left="680" w:hanging="261"/>
        <w:spacing w:after="0"/>
        <w:tabs>
          <w:tab w:leader="none" w:pos="6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Issuing Bank shall not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980" w:right="20" w:firstLine="391"/>
        <w:spacing w:after="0" w:line="254" w:lineRule="auto"/>
        <w:tabs>
          <w:tab w:leader="none" w:pos="1658"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spacing w:after="0" w:line="83" w:lineRule="exact"/>
        <w:rPr>
          <w:rFonts w:ascii="Times New Roman" w:cs="Times New Roman" w:eastAsia="Times New Roman" w:hAnsi="Times New Roman"/>
          <w:sz w:val="18"/>
          <w:szCs w:val="18"/>
          <w:color w:val="auto"/>
        </w:rPr>
      </w:pPr>
    </w:p>
    <w:p>
      <w:pPr>
        <w:ind w:left="980" w:right="80" w:firstLine="391"/>
        <w:spacing w:after="0" w:line="282" w:lineRule="auto"/>
        <w:tabs>
          <w:tab w:leader="none" w:pos="1648"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 generally;</w:t>
      </w:r>
    </w:p>
    <w:p>
      <w:pPr>
        <w:spacing w:after="0" w:line="53" w:lineRule="exact"/>
        <w:rPr>
          <w:rFonts w:ascii="Times New Roman" w:cs="Times New Roman" w:eastAsia="Times New Roman" w:hAnsi="Times New Roman"/>
          <w:sz w:val="18"/>
          <w:szCs w:val="18"/>
          <w:color w:val="auto"/>
        </w:rPr>
      </w:pPr>
    </w:p>
    <w:p>
      <w:pPr>
        <w:ind w:left="980" w:right="120" w:firstLine="391"/>
        <w:spacing w:after="0" w:line="282" w:lineRule="auto"/>
        <w:tabs>
          <w:tab w:leader="none" w:pos="1648"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in an initial stated amount less than $10,000;</w:t>
      </w:r>
    </w:p>
    <w:p>
      <w:pPr>
        <w:spacing w:after="0" w:line="53"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820" w:firstLine="391"/>
        <w:spacing w:after="0" w:line="282" w:lineRule="auto"/>
        <w:tabs>
          <w:tab w:leader="none" w:pos="1638"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and</w:t>
      </w:r>
    </w:p>
    <w:p>
      <w:pPr>
        <w:spacing w:after="0" w:line="53" w:lineRule="exact"/>
        <w:rPr>
          <w:rFonts w:ascii="Times New Roman" w:cs="Times New Roman" w:eastAsia="Times New Roman" w:hAnsi="Times New Roman"/>
          <w:sz w:val="18"/>
          <w:szCs w:val="18"/>
          <w:color w:val="auto"/>
        </w:rPr>
      </w:pPr>
    </w:p>
    <w:p>
      <w:pPr>
        <w:ind w:left="980" w:right="240" w:firstLine="391"/>
        <w:spacing w:after="0" w:line="276" w:lineRule="auto"/>
        <w:tabs>
          <w:tab w:leader="none" w:pos="1628" w:val="left"/>
        </w:tabs>
        <w:numPr>
          <w:ilvl w:val="2"/>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Revolving Lender is at such time a Defaulting Lender, unless such Issuing Bank has entered into arrangements, including reallocation of such Lender’s Pro Rata Share of the outstanding Letter of Credit Obligations pursuant to </w:t>
      </w:r>
      <w:r>
        <w:rPr>
          <w:rFonts w:ascii="Times New Roman" w:cs="Times New Roman" w:eastAsia="Times New Roman" w:hAnsi="Times New Roman"/>
          <w:sz w:val="17"/>
          <w:szCs w:val="17"/>
          <w:u w:val="single" w:color="auto"/>
          <w:color w:val="auto"/>
        </w:rPr>
        <w:t>Section 2.20(a)</w:t>
      </w:r>
    </w:p>
    <w:p>
      <w:pPr>
        <w:jc w:val="both"/>
        <w:ind w:left="980" w:right="100" w:firstLine="8"/>
        <w:spacing w:after="0" w:line="253" w:lineRule="auto"/>
        <w:tabs>
          <w:tab w:leader="none" w:pos="1295" w:val="left"/>
        </w:tabs>
        <w:numPr>
          <w:ilvl w:val="1"/>
          <w:numId w:val="2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spacing w:after="0" w:line="80" w:lineRule="exact"/>
        <w:rPr>
          <w:rFonts w:ascii="Times New Roman" w:cs="Times New Roman" w:eastAsia="Times New Roman" w:hAnsi="Times New Roman"/>
          <w:sz w:val="18"/>
          <w:szCs w:val="18"/>
          <w:u w:val="single" w:color="auto"/>
          <w:color w:val="auto"/>
        </w:rPr>
      </w:pPr>
    </w:p>
    <w:p>
      <w:pPr>
        <w:ind w:right="40" w:firstLine="419"/>
        <w:spacing w:after="0" w:line="266" w:lineRule="auto"/>
        <w:tabs>
          <w:tab w:leader="none" w:pos="73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w:t>
      </w:r>
    </w:p>
    <w:p>
      <w:pPr>
        <w:spacing w:after="0" w:line="67" w:lineRule="exact"/>
        <w:rPr>
          <w:rFonts w:ascii="Times New Roman" w:cs="Times New Roman" w:eastAsia="Times New Roman" w:hAnsi="Times New Roman"/>
          <w:sz w:val="18"/>
          <w:szCs w:val="18"/>
          <w:color w:val="auto"/>
        </w:rPr>
      </w:pPr>
    </w:p>
    <w:p>
      <w:pPr>
        <w:jc w:val="both"/>
        <w:ind w:firstLine="419"/>
        <w:spacing w:after="0" w:line="289" w:lineRule="auto"/>
        <w:tabs>
          <w:tab w:leader="none" w:pos="728"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560"/>
          </w:cols>
          <w:pgMar w:left="880" w:top="270" w:right="459" w:bottom="1440" w:gutter="0" w:footer="0" w:header="0"/>
        </w:sectPr>
      </w:pPr>
    </w:p>
    <w:bookmarkStart w:id="374" w:name="page375"/>
    <w:bookmarkEnd w:id="37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Letter of Credit Expiration Date (unless arrangements reasonably satisfactory to the Issuing Banks have been entered into).</w:t>
      </w:r>
    </w:p>
    <w:p>
      <w:pPr>
        <w:spacing w:after="0" w:line="225" w:lineRule="exact"/>
        <w:rPr>
          <w:sz w:val="20"/>
          <w:szCs w:val="20"/>
          <w:color w:val="auto"/>
        </w:rPr>
      </w:pPr>
    </w:p>
    <w:p>
      <w:pPr>
        <w:ind w:left="264" w:hanging="264"/>
        <w:spacing w:after="0"/>
        <w:tabs>
          <w:tab w:leader="none" w:pos="2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 Renewal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1:00 p.m. at least five Business Days (or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requested Letter of Credit will be denominated (which must be Dollars or any other currency agreed to by the Borrower and the applicable Issuing Bank in its sole discretion) and (H) such other matters as the applicable Issuing Bank may reasonably request. In the case of a request for an amendment of any outstanding Letter of Credit, the Letter of Credit Application shall specify in form and detail reasonably satisfactory to the applicable Issuing Bank (1) the Letter of Credit to be amended; (2) the proposed date of amendment thereof (which shall be a Business Day); and (3) the nature of the proposed amendment. 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spacing w:after="0" w:line="86" w:lineRule="exact"/>
        <w:rPr>
          <w:rFonts w:ascii="Times New Roman" w:cs="Times New Roman" w:eastAsia="Times New Roman" w:hAnsi="Times New Roman"/>
          <w:sz w:val="18"/>
          <w:szCs w:val="18"/>
          <w:color w:val="auto"/>
        </w:rPr>
      </w:pPr>
    </w:p>
    <w:p>
      <w:pPr>
        <w:ind w:left="4" w:firstLine="419"/>
        <w:spacing w:after="0" w:line="254" w:lineRule="auto"/>
        <w:tabs>
          <w:tab w:leader="none" w:pos="691"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 Bank a participation in such Letter of Credit in an amount equal to such Lender’s Pro Rata Share of the amount of such Letter of Credit.</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64"/>
          </w:cols>
          <w:pgMar w:left="876" w:top="270" w:right="459" w:bottom="1440" w:gutter="0" w:footer="0" w:header="0"/>
        </w:sectPr>
      </w:pPr>
    </w:p>
    <w:bookmarkStart w:id="375" w:name="page376"/>
    <w:bookmarkEnd w:id="375"/>
    <w:p>
      <w:pPr>
        <w:ind w:left="4" w:right="20" w:firstLine="419"/>
        <w:spacing w:after="0" w:line="252" w:lineRule="auto"/>
        <w:tabs>
          <w:tab w:leader="none" w:pos="74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cs="Times New Roman" w:eastAsia="Times New Roman" w:hAnsi="Times New Roman"/>
          <w:sz w:val="18"/>
          <w:szCs w:val="18"/>
          <w:b w:val="1"/>
          <w:bCs w:val="1"/>
          <w:color w:val="auto"/>
        </w:rPr>
        <w:t>Auto-Renewal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Credit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such Auto-Renewal Letter of Credit shall permit such Issuing Bank to prevent any such renewal at least once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Issuing Bank shall (A) permit any such renewal if (1) such Issuing Bank has determined that it would not be permitted at such time to issue such Letter of Credit in its renewed form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otherwise) or (2) it has received written notice on or before the day that is seven Business Days before the Nonrenewal Notice Date from the Administrative Agent that the Required Lenders have elected not to permit such renewal or (B) be obligated to permit such renewal if it has received written notice on or before the day that is seven Business Days before the Nonrenewal Notice Date from the Administrative Agent, any Revolving Lender or the Borrower that one or more of the applicable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is not then satisfied, and in each such case directing the applicable Issuing Bank not to permit such renewal.</w:t>
      </w:r>
    </w:p>
    <w:p>
      <w:pPr>
        <w:spacing w:after="0" w:line="8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(the “</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xml:space="preserve">”) and the amount of such Lender’s Pro Rata Share thereof. In such event, the Borrower shall be deemed to have requested a Revolving Loan Borrowing of Base Rate Loans to be disbursed on such date in an amount equal to such Reimbursement Obligation, without regard to the minimum and multiples specified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for the principal amount of Base Rate Loans to be disbursed on such date in an amount equal to the Dollar Amount of such Reimbursement Obligation. Any notice given by an Issuing Bank or the Administrative Agent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given in writing.</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44"/>
          </w:cols>
          <w:pgMar w:left="876" w:top="270" w:right="479" w:bottom="1440" w:gutter="0" w:footer="0" w:header="0"/>
        </w:sectPr>
      </w:pPr>
    </w:p>
    <w:bookmarkStart w:id="376" w:name="page377"/>
    <w:bookmarkEnd w:id="376"/>
    <w:p>
      <w:pPr>
        <w:ind w:left="684" w:hanging="261"/>
        <w:spacing w:after="0"/>
        <w:tabs>
          <w:tab w:leader="none" w:pos="68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Revolving Lender (including each Revolving Lender acting as an Issuing Bank) shall upon any notice pursuant to </w:t>
      </w:r>
      <w:r>
        <w:rPr>
          <w:rFonts w:ascii="Times New Roman" w:cs="Times New Roman" w:eastAsia="Times New Roman" w:hAnsi="Times New Roman"/>
          <w:sz w:val="18"/>
          <w:szCs w:val="18"/>
          <w:u w:val="single" w:color="auto"/>
          <w:color w:val="auto"/>
        </w:rPr>
        <w:t>Section 2.04(c)</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make funds available (and the Administrative Agent may apply Cash Collateral provided for this purpose) for the account of the applicable</w:t>
      </w:r>
    </w:p>
    <w:p>
      <w:pPr>
        <w:spacing w:after="0" w:line="9" w:lineRule="exact"/>
        <w:rPr>
          <w:rFonts w:ascii="Times New Roman" w:cs="Times New Roman" w:eastAsia="Times New Roman" w:hAnsi="Times New Roman"/>
          <w:sz w:val="18"/>
          <w:szCs w:val="18"/>
          <w:u w:val="single" w:color="auto"/>
          <w:color w:val="auto"/>
        </w:rPr>
      </w:pPr>
    </w:p>
    <w:p>
      <w:pPr>
        <w:ind w:left="4" w:right="100"/>
        <w:spacing w:after="0" w:line="251"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Issuing Bank, in Dollars at the Administrative Agent’s Office in an amount equal to its Pro Rata Share of the relevant Reimbursement Obligation not later than 3:00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2.04(c)(iii)</w:t>
      </w:r>
      <w:r>
        <w:rPr>
          <w:rFonts w:ascii="Times New Roman" w:cs="Times New Roman" w:eastAsia="Times New Roman" w:hAnsi="Times New Roman"/>
          <w:sz w:val="18"/>
          <w:szCs w:val="18"/>
          <w:color w:val="auto"/>
        </w:rPr>
        <w:t xml:space="preserve">, each Revolving Lender that so makes funds available shall be deemed to have made a Revolving Loan that is in the case of a Letters of Credit denominated in Dollars or a Base Rate Loan.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85" w:lineRule="exact"/>
        <w:rPr>
          <w:rFonts w:ascii="Times New Roman" w:cs="Times New Roman" w:eastAsia="Times New Roman" w:hAnsi="Times New Roman"/>
          <w:sz w:val="18"/>
          <w:szCs w:val="18"/>
          <w:u w:val="single" w:color="auto"/>
          <w:color w:val="auto"/>
        </w:rPr>
      </w:pPr>
    </w:p>
    <w:p>
      <w:pPr>
        <w:ind w:left="4" w:right="60" w:firstLine="419"/>
        <w:spacing w:after="0" w:line="256" w:lineRule="auto"/>
        <w:tabs>
          <w:tab w:leader="none" w:pos="74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Reimbursement Obligation that is not fully refinanced by a Revolving Loan Borrowing of Base Rate Loans for Letters of Credit denominated in Dollars because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cannot be satisfied or for any other reason, the Borrower shall be deemed to have incurred from the applicable Issuing Bank a Letter of Credit Borrowing in the amount of the Reimbursement Obligation that is not so refinanced. In such event, each Revolving Lender’s payment to the Administrative Agent for the account of such Issuing Bank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its participation in such Letter of Credit Borrowing and shall constitute a Letter of Credit Advance from such Lender in satisfaction of its participation obligation under this Section.</w:t>
      </w:r>
    </w:p>
    <w:p>
      <w:pPr>
        <w:spacing w:after="0" w:line="79" w:lineRule="exact"/>
        <w:rPr>
          <w:rFonts w:ascii="Times New Roman" w:cs="Times New Roman" w:eastAsia="Times New Roman" w:hAnsi="Times New Roman"/>
          <w:sz w:val="18"/>
          <w:szCs w:val="18"/>
          <w:color w:val="auto"/>
        </w:rPr>
      </w:pPr>
    </w:p>
    <w:p>
      <w:pPr>
        <w:jc w:val="both"/>
        <w:ind w:left="4" w:right="260" w:firstLine="419"/>
        <w:spacing w:after="0" w:line="266" w:lineRule="auto"/>
        <w:tabs>
          <w:tab w:leader="none" w:pos="73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spacing w:after="0" w:line="67"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obligations to make Revolving Loans or Letter of Credit Advances to reimburse an Issuing Bank for amounts drawn under Letters of Credit, as contemplated by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 this paragraph (c) is subject to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44"/>
          </w:cols>
          <w:pgMar w:left="876" w:top="270" w:right="479" w:bottom="1440" w:gutter="0" w:footer="0" w:header="0"/>
        </w:sectPr>
      </w:pPr>
    </w:p>
    <w:bookmarkStart w:id="377" w:name="page378"/>
    <w:bookmarkEnd w:id="377"/>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spacing w:after="0" w:line="54" w:lineRule="exact"/>
        <w:rPr>
          <w:sz w:val="20"/>
          <w:szCs w:val="20"/>
          <w:color w:val="auto"/>
        </w:rPr>
      </w:pPr>
    </w:p>
    <w:p>
      <w:pPr>
        <w:ind w:left="4" w:firstLine="419"/>
        <w:spacing w:after="0" w:line="253" w:lineRule="auto"/>
        <w:tabs>
          <w:tab w:leader="none" w:pos="73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the Federal Funds Rate from time to time in effect and a rate determined by such Issuing Bank in accordance with banking industry rules on interbank compensation,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absent manifest error.</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19"/>
        <w:spacing w:after="0" w:line="277" w:lineRule="auto"/>
        <w:tabs>
          <w:tab w:leader="none" w:pos="641"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the Administrative Agent receives for the account of such Issuing Bank any payment in respect of the related Reimbursement Obligation,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spacing w:after="0" w:line="59" w:lineRule="exact"/>
        <w:rPr>
          <w:rFonts w:ascii="Times New Roman" w:cs="Times New Roman" w:eastAsia="Times New Roman" w:hAnsi="Times New Roman"/>
          <w:sz w:val="17"/>
          <w:szCs w:val="17"/>
          <w:color w:val="auto"/>
        </w:rPr>
      </w:pPr>
    </w:p>
    <w:p>
      <w:pPr>
        <w:ind w:left="4" w:right="100" w:firstLine="419"/>
        <w:spacing w:after="0" w:line="256" w:lineRule="auto"/>
        <w:tabs>
          <w:tab w:leader="none" w:pos="69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applicable Issuing Bank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 The obligations of the Revolving Lenders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survive the payment in full of the Obligations and the termination of this Agreement.</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44"/>
          </w:cols>
          <w:pgMar w:left="876" w:top="270" w:right="479" w:bottom="1440" w:gutter="0" w:footer="0" w:header="0"/>
        </w:sectPr>
      </w:pPr>
    </w:p>
    <w:bookmarkStart w:id="378" w:name="page379"/>
    <w:bookmarkEnd w:id="378"/>
    <w:p>
      <w:pPr>
        <w:ind w:right="300" w:firstLine="436"/>
        <w:spacing w:after="0" w:line="266" w:lineRule="auto"/>
        <w:tabs>
          <w:tab w:leader="none" w:pos="68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07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or any term or provision thereof, any Loan Document, or any other agreement or instrument relating thereto;</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proceeding under any Debtor Relief Law;</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spacing w:after="0" w:line="158" w:lineRule="exact"/>
        <w:rPr>
          <w:sz w:val="20"/>
          <w:szCs w:val="20"/>
          <w:color w:val="auto"/>
        </w:rPr>
      </w:pPr>
    </w:p>
    <w:p>
      <w:pPr>
        <w:ind w:firstLine="436"/>
        <w:spacing w:after="0" w:line="266" w:lineRule="auto"/>
        <w:tabs>
          <w:tab w:leader="none" w:pos="66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Issuing Banks</w:t>
      </w:r>
      <w:r>
        <w:rPr>
          <w:rFonts w:ascii="Times New Roman" w:cs="Times New Roman" w:eastAsia="Times New Roman" w:hAnsi="Times New Roman"/>
          <w:sz w:val="18"/>
          <w:szCs w:val="18"/>
          <w:color w:val="auto"/>
        </w:rPr>
        <w:t>. Each Revolving Lender and the Borrower agrees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379" w:name="page380"/>
    <w:bookmarkEnd w:id="379"/>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 from pursuing such rights and remedies as 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spacing w:after="0" w:line="192" w:lineRule="exact"/>
        <w:rPr>
          <w:sz w:val="20"/>
          <w:szCs w:val="20"/>
          <w:color w:val="auto"/>
        </w:rPr>
      </w:pPr>
    </w:p>
    <w:p>
      <w:pPr>
        <w:ind w:right="100" w:firstLine="436"/>
        <w:spacing w:after="0" w:line="266"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applicable Issuing Bank and the Borrower when a standby Letter of Credit is issued, the rules of the “International Standby Practices 1998” published by the Institute of International Banking Law &amp; Practice (or such later version thereof as may be in effect at the time of issuance) shall apply to such standby Letter of Credit.</w:t>
      </w:r>
    </w:p>
    <w:p>
      <w:pPr>
        <w:spacing w:after="0" w:line="175"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of this Agreement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ind w:right="220" w:firstLine="436"/>
        <w:spacing w:after="0" w:line="258" w:lineRule="auto"/>
        <w:tabs>
          <w:tab w:leader="none" w:pos="65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 later than the third Business Day following the last day of each month,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380" w:name="page381"/>
    <w:bookmarkEnd w:id="380"/>
    <w:p>
      <w:pPr>
        <w:ind w:left="660" w:hanging="224"/>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an Issuing Bank</w:t>
      </w:r>
      <w:r>
        <w:rPr>
          <w:rFonts w:ascii="Times New Roman" w:cs="Times New Roman" w:eastAsia="Times New Roman" w:hAnsi="Times New Roman"/>
          <w:sz w:val="18"/>
          <w:szCs w:val="18"/>
          <w:color w:val="auto"/>
        </w:rPr>
        <w:t>. Any Issuing Bank may resign as an Issuing Bank upon sixty (60) days’ prior written notice to the Administrative Agent, the Lenders and the Borrower. Any Issuing Bank may be replaced at any time by written agreement among the Borrower, the Administrative Agent, the Issuing Bank being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89" w:lineRule="exact"/>
        <w:rPr>
          <w:rFonts w:ascii="Times New Roman" w:cs="Times New Roman" w:eastAsia="Times New Roman" w:hAnsi="Times New Roman"/>
          <w:sz w:val="18"/>
          <w:szCs w:val="18"/>
          <w:color w:val="auto"/>
        </w:rPr>
      </w:pPr>
    </w:p>
    <w:p>
      <w:pPr>
        <w:ind w:right="40" w:firstLine="436"/>
        <w:spacing w:after="0" w:line="252" w:lineRule="auto"/>
        <w:tabs>
          <w:tab w:leader="none" w:pos="6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Account</w:t>
      </w:r>
      <w:r>
        <w:rPr>
          <w:rFonts w:ascii="Times New Roman" w:cs="Times New Roman" w:eastAsia="Times New Roman" w:hAnsi="Times New Roman"/>
          <w:sz w:val="18"/>
          <w:szCs w:val="18"/>
          <w:color w:val="auto"/>
        </w:rPr>
        <w:t xml:space="preserve">.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105% of the aggregate Stated Amount of all Letters of Credit at any time outstanding (whether or not any beneficiary under any Letter of Credit shall have drawn or be entitled at such time to draw thereunder) and (ii) in the event of a prepayment under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the Administrative Agent will retain such amount as may then be required to be retained, such amounts in each case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be held by the Administrative Agent in a Cash Collateral Account. The Borrower hereby grants (or, if registration thereof is required in any applicable jurisdiction, shall grant) to the Administrative Agent, for the benefit of the Issuing Banks and the Revolving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381" w:name="page382"/>
    <w:bookmarkEnd w:id="38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equal to the Reimbursement Obligation created as a result of such payment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 Administrative Agent, for the benefit of the Borrower, to be applied against the Obligations in such order and manner as the Administrative Agent may direct. If the Borrower is required to provide Cash Collateral pursuant to this </w:t>
      </w:r>
      <w:r>
        <w:rPr>
          <w:rFonts w:ascii="Times New Roman" w:cs="Times New Roman" w:eastAsia="Times New Roman" w:hAnsi="Times New Roman"/>
          <w:sz w:val="18"/>
          <w:szCs w:val="18"/>
          <w:u w:val="single" w:color="auto"/>
          <w:color w:val="auto"/>
        </w:rPr>
        <w:t>Section 2.04(l)</w:t>
      </w:r>
      <w:r>
        <w:rPr>
          <w:rFonts w:ascii="Times New Roman" w:cs="Times New Roman" w:eastAsia="Times New Roman" w:hAnsi="Times New Roman"/>
          <w:sz w:val="18"/>
          <w:szCs w:val="18"/>
          <w:color w:val="auto"/>
        </w:rPr>
        <w:t xml:space="preserve">, such amount (to the extent not applied as aforesaid)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 the sum of (1) the aggregate principal dollar amount of all Revolving Loans outstanding at such time and (2) the aggregate Letter of Credit Usage at such time would not exceed the aggregate Commitments at such time and (B) no Event of Default shall have occurred and be continuing at such time. If the Borrower is required to provide Cash Collateral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such amount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spacing w:after="0" w:line="190" w:lineRule="exact"/>
        <w:rPr>
          <w:sz w:val="20"/>
          <w:szCs w:val="20"/>
          <w:color w:val="auto"/>
        </w:rPr>
      </w:pPr>
    </w:p>
    <w:p>
      <w:pPr>
        <w:ind w:firstLine="436"/>
        <w:spacing w:after="0" w:line="261" w:lineRule="auto"/>
        <w:tabs>
          <w:tab w:leader="none" w:pos="74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an Issuing Bank</w:t>
      </w:r>
      <w:r>
        <w:rPr>
          <w:rFonts w:ascii="Times New Roman" w:cs="Times New Roman" w:eastAsia="Times New Roman" w:hAnsi="Times New Roman"/>
          <w:sz w:val="18"/>
          <w:szCs w:val="18"/>
          <w:color w:val="auto"/>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Conversion/Continuation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conversion of Loans from one Type to another, and each continuation of SOFR Rate Loans shall be made upon the Borrower’s irrevocable notice to the Administrative Agent, which may only be given in writing. Each such notice must be received by the Administrative Agent not later than 1:00 p.m. one Business Day prior to the date of any conversion of SOFR Rate Loans to Base Rate Loans and not later than 1:00 p.m. three Business Days prior to the requested date of continuation of any SOFR Rate Loans or any conversion of Base Rate Loans to SOFR Rate Loans. Each notice by the Borrower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must be delivered to the Administrative Agent in the form of a Conversion/Continuation Notice, appropriately completed and signed by a Responsible Officer of such Borrower. Each conversion to or continuation of SOFR Rate Loans shall be in a minimum principal amount of $500,000 or a whole multiple of $100,000 in excess thereof. Each conversion to Base Rate Loans shall be in a minimum principal amount of $500,000 or a whole multiple of $100,000 in excess thereof. Each Conversion/Continuation Notice shall specify (i) whether the Borrower is requesting a conversion of Loans from one Type to the other, or a continuation of SOFR Rate Loans, (ii) the requested date of the conversion or continuation, as the case may be (which shall be a Business Day), (iii) the principal amount and currency of Loans to be converted or continued, (iv) the Class of Loans to be converted or continued, (v) the Type of Loans to which such existing Loans are to be converted, if applicable, and (vi) if applicable, the duration of the Interest Period with respect thereto. If with</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70" w:right="479" w:bottom="1440" w:gutter="0" w:footer="0" w:header="0"/>
        </w:sectPr>
      </w:pPr>
    </w:p>
    <w:bookmarkStart w:id="382" w:name="page383"/>
    <w:bookmarkEnd w:id="382"/>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any SOFR Rate Loans, the Borrower fails to give a timely notice requesting a conversion or continuation, then the applicable Loans shall be converted to Base Rate Loans. Any such automatic conversion or continuation pursuant to the immediately preceding sentence shall be effective as of the last day of the Interest Period then in effect with respect to the applicable SOFR Rate Loans. If the Borrower requests a conversion to, or continuation of SOFR Rate Loans in any such Conversion/Continuation Notice, but fails to specify an Interest Period, it will be deemed to have specified an Interest Period of one month.</w:t>
      </w:r>
    </w:p>
    <w:p>
      <w:pPr>
        <w:spacing w:after="0" w:line="183" w:lineRule="exact"/>
        <w:rPr>
          <w:sz w:val="20"/>
          <w:szCs w:val="20"/>
          <w:color w:val="auto"/>
        </w:rPr>
      </w:pPr>
    </w:p>
    <w:p>
      <w:pPr>
        <w:ind w:firstLine="436"/>
        <w:spacing w:after="0" w:line="266"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340" w:firstLine="436"/>
        <w:spacing w:after="0" w:line="266"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SOFR Rate Loan may be continued or converted only on the last day of an Interest Period for such SOFR Rate Loan. Upon the occurrence and during the continuation of an Event of Default, the Administrative Agent or the Required Lenders may require by notice to the Borrower that no Loans denominated in Dollars may be converted to or continued as SOFR Rate Loans.</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Unless the Administrative Agent shall have received notice from a Lender prior to the date of any Borrowing that such Lender will not make available to the Administrative Agent such Lender’s Pro Rata Share of such Borrowing, the Administrative Agent may, in its sole discretion, assume that such Lender has made such Pro Rata Share available to the Administrative Agent on the date of such Borrowing, and the Administrative Agent may in its sole discretion,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such Borrower severally agrees to repay to the Administrative Agent forthwith on demand such corresponding amount together with interest thereon, for each day from the date such amount is made available to such Borrower until the date such amount is repaid to the Administrative Agent at (a) in the case of such Borrower, the interest rate applicable at the time to the applicable Loans comprising such Borrowing and (b) in the case of such Lender, the Overnight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conclusive in the absence of manifest error.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applicable Loan included in such Borrowing. Any payment by the Borrower shall be without prejudice to any claim such Borrower may have against a Lender that shall have failed to make such payment to the Administrative Agent. 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conclusive, absent manifest error.</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0"/>
          </w:cols>
          <w:pgMar w:left="440" w:top="270" w:right="499" w:bottom="1440" w:gutter="0" w:footer="0" w:header="0"/>
        </w:sectPr>
      </w:pPr>
    </w:p>
    <w:bookmarkStart w:id="383" w:name="page384"/>
    <w:bookmarkEnd w:id="3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written notice to the Administrative Agent in the form of a Prepayment Notice, at any time or from time to time, voluntarily prepay the Loans in whole or in part without premium or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76"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Prepayment Notice must be received by the Administrative Agent not later than 1:00 p.m. three Business Days prior to any date of prepayment of SOFR Rate Loans or Base Rate Loans;</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66"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SOFR Rate Loans shall be in a minimum principal amount of $1,000,000 or a whole multiple of $100,000 in excess thereof; and</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66"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Base Rate Loans shall be in a minimum principal amount of $1,000,000 or a whole multiple of $100,000 in excess thereof.</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Each Prepayment Notice shall specify the date, amount and currency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“non-consenting” Lenders may be repaid in full in an amount equal to the amount outstanding under such Non-Consenting Lenders’ Commitments on a non-pro rata basis in connection with an Extension Offer or a Refinancing Amendment. Any prepayment of Loans shall be subject to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Revolving Loans and Incremental Loans prepaid pursuant to this subsection (a) may be reborrowed, subject to the terms and conditions of this Agreement.</w:t>
      </w:r>
    </w:p>
    <w:p>
      <w:pPr>
        <w:spacing w:after="0" w:line="81" w:lineRule="exact"/>
        <w:rPr>
          <w:sz w:val="20"/>
          <w:szCs w:val="20"/>
          <w:color w:val="auto"/>
        </w:rPr>
      </w:pPr>
    </w:p>
    <w:p>
      <w:pPr>
        <w:jc w:val="both"/>
        <w:ind w:left="440" w:right="440" w:firstLine="419"/>
        <w:spacing w:after="0" w:line="266" w:lineRule="auto"/>
        <w:tabs>
          <w:tab w:leader="none" w:pos="112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if such prepayment would have resulted from a refinancing of all or a portion of the applicable Facility, which refinancing shall not be consummated or shall otherwise be delayed.</w:t>
      </w:r>
    </w:p>
    <w:p>
      <w:pPr>
        <w:spacing w:after="0" w:line="67"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7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prepayments of Revolving Loans permitted hereunder shall be applied in a manner determined at the discretion of the Borrower and specified in the notice of prepayment (and absent such direction, in direct order of maturity).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7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from time to time prepay the Revolving Loans to the extent necessary so that the Total Utilization of Commitments shall not at any time exceed the Commitments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excess amount is greater than the aggregate principal amount of Revolving Loans outstanding immediately prior to the application of such prepayment, the amount so prepaid shall be retained by the Administrative Agent and held in the Cash Collateral Account as cover for Letter of Credit Usage, as more particularly described in Section 2.04(l), and thereupon such cash shall be deemed to reduce the aggregate Letter of Credit Usage by an equivalent amount.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440" w:top="270" w:right="439" w:bottom="1440" w:gutter="0" w:footer="0" w:header="0"/>
        </w:sectPr>
      </w:pPr>
    </w:p>
    <w:bookmarkStart w:id="384" w:name="page385"/>
    <w:bookmarkEnd w:id="384"/>
    <w:p>
      <w:pPr>
        <w:ind w:left="440" w:right="40" w:firstLine="419"/>
        <w:spacing w:after="0" w:line="256" w:lineRule="auto"/>
        <w:tabs>
          <w:tab w:leader="none" w:pos="112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the Financial Covenants set forth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are not satisfied as of any Measurement Date as set forth in any Compliance Certificate delivered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Borrower shall prepay the Revolving Loans in accordance with clause (iii) below within ten (10) Business Days of the date of delivery of such Compliance Certificate to the extent necessary such that the Financial Covenants set forth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would, if recalculated to give Pro Forma Effect to such repayment, be satisfied as of such Measurement Date (or, if less, the remaining outstanding principal balance of the Facility) and, as long as such payment is made as of such date, no Default or Event of Default shall occur in respect of such breach.</w:t>
      </w:r>
    </w:p>
    <w:p>
      <w:pPr>
        <w:spacing w:after="0" w:line="79" w:lineRule="exact"/>
        <w:rPr>
          <w:rFonts w:ascii="Times New Roman" w:cs="Times New Roman" w:eastAsia="Times New Roman" w:hAnsi="Times New Roman"/>
          <w:sz w:val="18"/>
          <w:szCs w:val="18"/>
          <w:color w:val="auto"/>
        </w:rPr>
      </w:pPr>
    </w:p>
    <w:p>
      <w:pPr>
        <w:ind w:left="440" w:firstLine="419"/>
        <w:spacing w:after="0" w:line="252" w:lineRule="auto"/>
        <w:tabs>
          <w:tab w:leader="none" w:pos="117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give notice to the Administrative Agent of any mandatory prepayment of the Loans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by 11:00 a.m. at least three Business Days prior to the date on which such payment is due. Such notice shall state that the Borrower is offering to make or will make such mandatory prepayment on or before the date specified in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Once given, such notice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rescind any notice of prepayment if such prepayment would have resulted from a refinancing of all or any portion of the Facility or been made in connection with a Disposition, which refinancing or Disposition shall not be consummated or shall otherwise be delayed) and all amounts subject to such notice shall be due and payable on the Prepayment Date (except as otherwise provided in the last sentence of this </w:t>
      </w:r>
      <w:r>
        <w:rPr>
          <w:rFonts w:ascii="Times New Roman" w:cs="Times New Roman" w:eastAsia="Times New Roman" w:hAnsi="Times New Roman"/>
          <w:sz w:val="18"/>
          <w:szCs w:val="18"/>
          <w:u w:val="single" w:color="auto"/>
          <w:color w:val="auto"/>
        </w:rPr>
        <w:t>Section 2.07(b)(iii)</w:t>
      </w:r>
      <w:r>
        <w:rPr>
          <w:rFonts w:ascii="Times New Roman" w:cs="Times New Roman" w:eastAsia="Times New Roman" w:hAnsi="Times New Roman"/>
          <w:sz w:val="18"/>
          <w:szCs w:val="18"/>
          <w:color w:val="auto"/>
        </w:rPr>
        <w:t>).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prior to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w:t>
      </w:r>
    </w:p>
    <w:p>
      <w:pPr>
        <w:spacing w:after="0" w:line="195" w:lineRule="exact"/>
        <w:rPr>
          <w:sz w:val="20"/>
          <w:szCs w:val="20"/>
          <w:color w:val="auto"/>
        </w:rPr>
      </w:pPr>
    </w:p>
    <w:p>
      <w:pPr>
        <w:ind w:firstLine="436"/>
        <w:spacing w:after="0" w:line="266"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Funding Losses, Etc</w:t>
      </w:r>
      <w:r>
        <w:rPr>
          <w:rFonts w:ascii="Times New Roman" w:cs="Times New Roman" w:eastAsia="Times New Roman" w:hAnsi="Times New Roman"/>
          <w:sz w:val="18"/>
          <w:szCs w:val="18"/>
          <w:color w:val="auto"/>
        </w:rPr>
        <w:t xml:space="preserve">. All prepayments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accompanied by all accrued interest thereon, together with, in the case of any such prepayment of a SOFR Rate Loan on a date prior to the last day of an Interest Period therefor, any amounts owing in respect of such SOFR Rate Loan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385" w:name="page386"/>
    <w:bookmarkEnd w:id="385"/>
    <w:p>
      <w:pPr>
        <w:ind w:right="640" w:firstLine="436"/>
        <w:spacing w:after="0" w:line="282" w:lineRule="auto"/>
        <w:tabs>
          <w:tab w:leader="none" w:pos="6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of Prepayment Amounts</w:t>
      </w:r>
      <w:r>
        <w:rPr>
          <w:rFonts w:ascii="Times New Roman" w:cs="Times New Roman" w:eastAsia="Times New Roman" w:hAnsi="Times New Roman"/>
          <w:sz w:val="18"/>
          <w:szCs w:val="18"/>
          <w:color w:val="auto"/>
        </w:rPr>
        <w:t xml:space="preserve">. In the event that the Borrower elects to prepay the Loans pursuant to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or the obligations of the Borrower to prepay the Loans arise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w:t>
      </w:r>
    </w:p>
    <w:p>
      <w:pPr>
        <w:spacing w:after="0" w:line="51" w:lineRule="exact"/>
        <w:rPr>
          <w:rFonts w:ascii="Times New Roman" w:cs="Times New Roman" w:eastAsia="Times New Roman" w:hAnsi="Times New Roman"/>
          <w:sz w:val="18"/>
          <w:szCs w:val="18"/>
          <w:color w:val="auto"/>
        </w:rPr>
      </w:pPr>
    </w:p>
    <w:p>
      <w:pPr>
        <w:ind w:left="440" w:right="140" w:firstLine="419"/>
        <w:spacing w:after="0" w:line="284" w:lineRule="auto"/>
        <w:tabs>
          <w:tab w:leader="none" w:pos="1078"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Borrower shall prepay the outstanding principal amount of the Revolving Loans, without a corresponding permanent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Commitments; and</w:t>
      </w:r>
    </w:p>
    <w:p>
      <w:pPr>
        <w:spacing w:after="0" w:line="50" w:lineRule="exact"/>
        <w:rPr>
          <w:rFonts w:ascii="Times New Roman" w:cs="Times New Roman" w:eastAsia="Times New Roman" w:hAnsi="Times New Roman"/>
          <w:sz w:val="18"/>
          <w:szCs w:val="18"/>
          <w:color w:val="auto"/>
        </w:rPr>
      </w:pPr>
    </w:p>
    <w:p>
      <w:pPr>
        <w:ind w:left="440" w:right="220" w:firstLine="419"/>
        <w:spacing w:after="0" w:line="315" w:lineRule="auto"/>
        <w:tabs>
          <w:tab w:leader="none" w:pos="1128"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to the extent of any excess remaining after application as provided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the Borrower shall pay any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Reimbursement Obligations, and thereafter the Borrower shall Cash Collateralize the Letter of Credit Usage pursuant to </w:t>
      </w:r>
      <w:r>
        <w:rPr>
          <w:rFonts w:ascii="Times New Roman" w:cs="Times New Roman" w:eastAsia="Times New Roman" w:hAnsi="Times New Roman"/>
          <w:sz w:val="17"/>
          <w:szCs w:val="17"/>
          <w:u w:val="single" w:color="auto"/>
          <w:color w:val="auto"/>
        </w:rPr>
        <w:t>Section 2.04(l)</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ind w:left="440" w:right="140"/>
        <w:spacing w:after="0" w:line="282" w:lineRule="auto"/>
        <w:rPr>
          <w:sz w:val="20"/>
          <w:szCs w:val="20"/>
          <w:color w:val="auto"/>
        </w:rPr>
      </w:pPr>
      <w:r>
        <w:rPr>
          <w:rFonts w:ascii="Times New Roman" w:cs="Times New Roman" w:eastAsia="Times New Roman" w:hAnsi="Times New Roman"/>
          <w:sz w:val="18"/>
          <w:szCs w:val="18"/>
          <w:color w:val="auto"/>
        </w:rPr>
        <w:t xml:space="preserve">Each payment or prepayment pursuant to the provisions of this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shall be applied ratably among the Lenders of each Class holding the Loans being prepaid, in proportion to the principal amount held by each.</w:t>
      </w:r>
    </w:p>
    <w:p>
      <w:pPr>
        <w:spacing w:after="0" w:line="162" w:lineRule="exact"/>
        <w:rPr>
          <w:sz w:val="20"/>
          <w:szCs w:val="20"/>
          <w:color w:val="auto"/>
        </w:rPr>
      </w:pPr>
    </w:p>
    <w:p>
      <w:pPr>
        <w:ind w:firstLine="436"/>
        <w:spacing w:after="0" w:line="254" w:lineRule="auto"/>
        <w:tabs>
          <w:tab w:leader="none" w:pos="6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Period Deferrals</w:t>
      </w:r>
      <w:r>
        <w:rPr>
          <w:rFonts w:ascii="Times New Roman" w:cs="Times New Roman" w:eastAsia="Times New Roman" w:hAnsi="Times New Roman"/>
          <w:sz w:val="18"/>
          <w:szCs w:val="18"/>
          <w:color w:val="auto"/>
        </w:rPr>
        <w:t xml:space="preserve">. Notwithstanding any of the other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so long as no Event of Default shall have occurred and be continuing, if any prepayment of SOFR Rate Loans is required to be made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prior to the last day of the Interest Period therefor, in lieu of making any payment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respect of any such SOFR Rate Loan, prior to the last day of the Interest Period therefor, the Borrower may, in their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notice shall be received by the Administrative Agent three (3) Business Days prior to the date of termination or reduction, (ii) any such partial reduction shall be in an aggregate amount of $1,000,000 or any whole multiple of $1,000,000 in excess thereof or, if less, the entire remaining amount thereof and (iii) the Borrower shall not terminate or reduce (A) the Commitments if, after giving effect to any concurrent prepayment of the Revolving Loans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Total Utilization of Commitments would exceed the total Commitments, or (B) the Letter of Credit Sublimit if, after giving effect thereto, (1) the Letter of Credit Usage not fully Cash Collateralized hereunder at 105% of the maximum face amount of any such Letters of Credit would exceed the Letter of Credit Sublimit or (2) the Letter of Credit Usage with respect to Letters of Credit issued by an applicable Issuing Bank not fully Cash Collateralized hereunder at 105% of the maximum face amount of any such Letters of Credit would exceed the amount of such Issuing Bank’s Letter of Credit Percentage of the Letter of Credit Sublimit.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386" w:name="page387"/>
    <w:bookmarkEnd w:id="386"/>
    <w:p>
      <w:pPr>
        <w:ind w:left="640" w:hanging="264"/>
        <w:spacing w:after="0"/>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221"/>
        <w:spacing w:after="0"/>
        <w:tabs>
          <w:tab w:leader="none" w:pos="10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shall terminate on the Commitment Termination Date.</w:t>
      </w:r>
    </w:p>
    <w:p>
      <w:pPr>
        <w:spacing w:after="0" w:line="117" w:lineRule="exact"/>
        <w:rPr>
          <w:rFonts w:ascii="Times New Roman" w:cs="Times New Roman" w:eastAsia="Times New Roman" w:hAnsi="Times New Roman"/>
          <w:sz w:val="18"/>
          <w:szCs w:val="18"/>
          <w:color w:val="auto"/>
        </w:rPr>
      </w:pPr>
    </w:p>
    <w:p>
      <w:pPr>
        <w:ind w:left="380" w:right="100" w:firstLine="419"/>
        <w:spacing w:after="0" w:line="282" w:lineRule="auto"/>
        <w:tabs>
          <w:tab w:leader="none" w:pos="106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reduction or termination of Commitments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Letter of Credit Sublimit exceeds the amount of the Commitments at such time, the Letter of Credit Sublimit shall be automatically reduced by the amount of such excess.</w:t>
      </w:r>
    </w:p>
    <w:p>
      <w:pPr>
        <w:spacing w:after="0" w:line="161" w:lineRule="exact"/>
        <w:rPr>
          <w:rFonts w:ascii="Times New Roman" w:cs="Times New Roman" w:eastAsia="Times New Roman" w:hAnsi="Times New Roman"/>
          <w:sz w:val="18"/>
          <w:szCs w:val="18"/>
          <w:color w:val="auto"/>
        </w:rPr>
      </w:pPr>
    </w:p>
    <w:p>
      <w:pPr>
        <w:ind w:left="-60" w:firstLine="436"/>
        <w:spacing w:after="0" w:line="312" w:lineRule="auto"/>
        <w:tabs>
          <w:tab w:leader="none" w:pos="62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 or Reduction</w:t>
      </w:r>
      <w:r>
        <w:rPr>
          <w:rFonts w:ascii="Times New Roman" w:cs="Times New Roman" w:eastAsia="Times New Roman" w:hAnsi="Times New Roman"/>
          <w:sz w:val="17"/>
          <w:szCs w:val="17"/>
          <w:color w:val="auto"/>
        </w:rPr>
        <w:t>. Any termination or reduction of the Commitments of any Class shall be permanent. Each reduction of Commitments of any Class shall be made ratably among the Lenders in accordance with their respective Pro Rata Share of Commitments of such Class.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hanging="244"/>
        <w:spacing w:after="0"/>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0" w:right="80" w:firstLine="436"/>
        <w:spacing w:after="0" w:line="282" w:lineRule="auto"/>
        <w:tabs>
          <w:tab w:leader="none" w:pos="63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Administrative Agent for the ratable account of the Appropriate Lenders the outstanding principal amount of the Revolving Loans on the Maturity Date.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60" w:firstLine="436"/>
        <w:spacing w:after="0" w:line="289" w:lineRule="auto"/>
        <w:tabs>
          <w:tab w:leader="none" w:pos="625"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2.10(b)</w:t>
      </w:r>
      <w:r>
        <w:rPr>
          <w:rFonts w:ascii="Times New Roman" w:cs="Times New Roman" w:eastAsia="Times New Roman" w:hAnsi="Times New Roman"/>
          <w:sz w:val="17"/>
          <w:szCs w:val="17"/>
          <w:color w:val="auto"/>
        </w:rPr>
        <w:t xml:space="preserve">, (i) each SOFR Rate Loan shall bear interest on the outstanding principal amount thereof for each Interest Period at a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equal to SOFR for such Interest Period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the Applicable Rate and (ii) each Base Rate Loan shall bear interest on the outstanding principal amount thereof from the applicable Borrowing date at a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equal to the Base Rate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the Applicable Rate.</w:t>
      </w:r>
    </w:p>
    <w:p>
      <w:pPr>
        <w:spacing w:after="0" w:line="157" w:lineRule="exact"/>
        <w:rPr>
          <w:rFonts w:ascii="Times New Roman" w:cs="Times New Roman" w:eastAsia="Times New Roman" w:hAnsi="Times New Roman"/>
          <w:sz w:val="17"/>
          <w:szCs w:val="17"/>
          <w:color w:val="auto"/>
        </w:rPr>
      </w:pPr>
    </w:p>
    <w:p>
      <w:pPr>
        <w:ind w:left="-60" w:right="120" w:firstLine="436"/>
        <w:spacing w:after="0" w:line="266" w:lineRule="auto"/>
        <w:tabs>
          <w:tab w:leader="none" w:pos="63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ind w:left="-60" w:right="80" w:firstLine="436"/>
        <w:spacing w:after="0" w:line="258" w:lineRule="auto"/>
        <w:tabs>
          <w:tab w:leader="none" w:pos="62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(or, after the occurrence of an actual or deemed entry of an order for relief with respect to the Borrower under any Debtor Relief Law, automatically and without further action by the Administrative Agent or any Lender) such amount shall thereafter bear interest at a fluctuating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at all times equal to the Default Rate to the fullest extent permitted by applicable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880"/>
          </w:cols>
          <w:pgMar w:left="500" w:top="270" w:right="519" w:bottom="1440" w:gutter="0" w:footer="0" w:header="0"/>
        </w:sectPr>
      </w:pPr>
    </w:p>
    <w:bookmarkStart w:id="387" w:name="page388"/>
    <w:bookmarkEnd w:id="387"/>
    <w:p>
      <w:pPr>
        <w:ind w:right="40" w:firstLine="436"/>
        <w:spacing w:after="0" w:line="266"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any Debtor Relief Law, automatically and without further action by the Administrative Agent or any Lender).</w:t>
      </w:r>
    </w:p>
    <w:p>
      <w:pPr>
        <w:spacing w:after="0" w:line="175"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 with respect to Base Rate Loans, in arrears on each Interest Payment Date applicable thereto and at such other times as may be specified herein and (ii) with respect to SOFR Rate Loans, at the end of each Interest Period, and, if an Interest Period exceeds three months, every three months. Interest hereunder shall be due and payable in accordance with the terms hereof before and after judgment, and before and after the commencement of any proceeding, under any Debtor Relief Law.</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any SOFR Rate Loans upon determination of such interest rate. The determination of SOFR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79" w:lineRule="exact"/>
        <w:rPr>
          <w:rFonts w:ascii="Times New Roman" w:cs="Times New Roman" w:eastAsia="Times New Roman" w:hAnsi="Times New Roman"/>
          <w:sz w:val="18"/>
          <w:szCs w:val="18"/>
          <w:color w:val="auto"/>
        </w:rPr>
      </w:pPr>
    </w:p>
    <w:p>
      <w:pPr>
        <w:jc w:val="both"/>
        <w:ind w:right="260" w:firstLine="436"/>
        <w:spacing w:after="0" w:line="261"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establishment of any new Class of Loans pursuant to a Refinancing Amendment or Extension, the number of Interest Periods otherwise permitted by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shall increase by three Interest Periods for each applicable Class so established.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66"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Agents such fees as shall have been separately agreed upon in writing (including pursuant to the Fee Letter) in the amounts and at the times so specified. Such fees shall be fully earned when paid and shall not be refundable for any reason whatsoever (except as expressly agreed between the Borrower and the applicable Agent).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Lenders having Revolving Exposure: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07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day in each calendar quarter for the period from and including the Closing Date to and including the Commitment Termination Date, (I) the daily unpaid balance of the sum of the aggregate principal amount of all outstanding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Letter of Credit Usage (such sum, the “</w:t>
      </w:r>
      <w:r>
        <w:rPr>
          <w:rFonts w:ascii="Times New Roman" w:cs="Times New Roman" w:eastAsia="Times New Roman" w:hAnsi="Times New Roman"/>
          <w:sz w:val="18"/>
          <w:szCs w:val="18"/>
          <w:b w:val="1"/>
          <w:bCs w:val="1"/>
          <w:color w:val="auto"/>
        </w:rPr>
        <w:t>Usage Amount</w:t>
      </w:r>
      <w:r>
        <w:rPr>
          <w:rFonts w:ascii="Times New Roman" w:cs="Times New Roman" w:eastAsia="Times New Roman" w:hAnsi="Times New Roman"/>
          <w:sz w:val="18"/>
          <w:szCs w:val="18"/>
          <w:color w:val="auto"/>
        </w:rPr>
        <w:t xml:space="preserve">”) does not equal the Commitments, a fee at a rate equal to the Applicable Commitment Fee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for each such day on the amount by which the Commitments on such day exceeds such Usage Amount (the “</w:t>
      </w:r>
      <w:r>
        <w:rPr>
          <w:rFonts w:ascii="Times New Roman" w:cs="Times New Roman" w:eastAsia="Times New Roman" w:hAnsi="Times New Roman"/>
          <w:sz w:val="18"/>
          <w:szCs w:val="18"/>
          <w:b w:val="1"/>
          <w:bCs w:val="1"/>
          <w:color w:val="auto"/>
        </w:rPr>
        <w:t>Unused Line Fee</w:t>
      </w:r>
      <w:r>
        <w:rPr>
          <w:rFonts w:ascii="Times New Roman" w:cs="Times New Roman" w:eastAsia="Times New Roman" w:hAnsi="Times New Roman"/>
          <w:sz w:val="18"/>
          <w:szCs w:val="18"/>
          <w:color w:val="auto"/>
        </w:rPr>
        <w:t>”). The Unused Line Fee shall be payable to Lenders having Revolving Exposure in arrears on the first Business Day of each calendar quarter with respect to each day in the previous calendar quarter and on the Commitment Termination Date with respect to the period ending on the Commitment Termination Date;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388" w:name="page389"/>
    <w:bookmarkEnd w:id="388"/>
    <w:p>
      <w:pPr>
        <w:ind w:left="440" w:right="80" w:firstLine="419"/>
        <w:spacing w:after="0" w:line="259" w:lineRule="auto"/>
        <w:tabs>
          <w:tab w:leader="none" w:pos="112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 of credit fees with respect to all Letters of Credit (the “</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equal to (A) the Applicable Rate for Revolving Loans that are SOFR Rate Loans,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(B) the average aggregate daily maximum amount available to be drawn under all Letters of Credit (regardless of whether any conditions for 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spacing w:after="0" w:line="75"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 xml:space="preserve">All fees referred to in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paid to the Administrative Agent at the Administrative Agent’s Office and upon receipt, the Administrative Agent shall promptly distribute to each Lender its Pro Rata Share thereof.</w:t>
      </w:r>
    </w:p>
    <w:p>
      <w:pPr>
        <w:spacing w:after="0" w:line="162" w:lineRule="exact"/>
        <w:rPr>
          <w:sz w:val="20"/>
          <w:szCs w:val="20"/>
          <w:color w:val="auto"/>
        </w:rPr>
      </w:pPr>
    </w:p>
    <w:p>
      <w:pPr>
        <w:ind w:left="680" w:hanging="244"/>
        <w:spacing w:after="0"/>
        <w:tabs>
          <w:tab w:leader="none" w:pos="6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directly to the applicable Issuing Bank, for its own account, the following fees:</w:t>
      </w:r>
    </w:p>
    <w:p>
      <w:pPr>
        <w:spacing w:after="0" w:line="115" w:lineRule="exact"/>
        <w:rPr>
          <w:rFonts w:ascii="Times New Roman" w:cs="Times New Roman" w:eastAsia="Times New Roman" w:hAnsi="Times New Roman"/>
          <w:sz w:val="18"/>
          <w:szCs w:val="18"/>
          <w:color w:val="auto"/>
        </w:rPr>
      </w:pPr>
    </w:p>
    <w:p>
      <w:pPr>
        <w:ind w:left="440" w:right="120" w:firstLine="419"/>
        <w:spacing w:after="0" w:line="267" w:lineRule="auto"/>
        <w:tabs>
          <w:tab w:leader="none" w:pos="107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fronting fee in an amount equal to 0.25%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determined as of the close of business on any date of determination;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2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w:t>
      </w:r>
    </w:p>
    <w:p>
      <w:pPr>
        <w:spacing w:after="0" w:line="179" w:lineRule="exact"/>
        <w:rPr>
          <w:rFonts w:ascii="Times New Roman" w:cs="Times New Roman" w:eastAsia="Times New Roman" w:hAnsi="Times New Roman"/>
          <w:sz w:val="18"/>
          <w:szCs w:val="18"/>
          <w:color w:val="auto"/>
        </w:rPr>
      </w:pPr>
    </w:p>
    <w:p>
      <w:pPr>
        <w:ind w:right="340" w:firstLine="436"/>
        <w:spacing w:after="0" w:line="266" w:lineRule="auto"/>
        <w:tabs>
          <w:tab w:leader="none" w:pos="6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Sections 2.11(b)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2.11(c)(i)</w:t>
      </w:r>
      <w:r>
        <w:rPr>
          <w:rFonts w:ascii="Times New Roman" w:cs="Times New Roman" w:eastAsia="Times New Roman" w:hAnsi="Times New Roman"/>
          <w:sz w:val="18"/>
          <w:szCs w:val="18"/>
          <w:color w:val="auto"/>
        </w:rPr>
        <w:t xml:space="preserve"> shall be payable quarterly in arrears on the last Business Day of each fiscal quarter of each year during the Commitment Period, commencing with the first full fiscal quarter ending after the Closing Date, and on the Commitment 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fees accruing after the Commitment Termination Date shall be payable on demand.</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calculated by reference to the “prime rate” or Federal Funds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66" w:right="459" w:bottom="1440" w:gutter="0" w:footer="0" w:header="0"/>
        </w:sectPr>
      </w:pPr>
    </w:p>
    <w:bookmarkStart w:id="389" w:name="page390"/>
    <w:bookmarkEnd w:id="3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the request of any Lender, the Borrower shall execute and deliver to such Lender (through the Administrative Agent) a Revolving Loan Note payable to such Lender, which shall evidence the relevant Class of such Lender’s Loans in addition to such accounts or records. Each Lender may attach schedules to its Revolving Loan Note and endorse thereon the date, Type (if applicable), amount and maturity of its Loans and payments with respect thereto.</w:t>
      </w:r>
    </w:p>
    <w:p>
      <w:pPr>
        <w:spacing w:after="0" w:line="180" w:lineRule="exact"/>
        <w:rPr>
          <w:sz w:val="20"/>
          <w:szCs w:val="20"/>
          <w:color w:val="auto"/>
        </w:rPr>
      </w:pPr>
    </w:p>
    <w:p>
      <w:pPr>
        <w:ind w:firstLine="436"/>
        <w:spacing w:after="0" w:line="256" w:lineRule="auto"/>
        <w:tabs>
          <w:tab w:leader="none" w:pos="69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and by each Lender in its account or accounts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4" w:lineRule="auto"/>
        <w:tabs>
          <w:tab w:leader="none" w:pos="6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(unless otherwise agreed by the Administrative Agent) on the date specified herein. The Administrative Agent will promptly distribute to each Appropriate Lender its Pro Rata Share (or other applicable share as provided herein) of such payment in like funds as received by wire transfer to such Lender’s Lending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of any borrowing of Revolving Loans to finance the reimbursement of a drawn Letter of Credit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remitted by the Administrative Agent to the applicable Issuing Bank. All payments received by the Administrative Agent after 1:00 p.m. (or such other time as agreed by the Administrative Agent) may in each case be deemed received on the next succeeding Business Day and any applicable interest or fee shall continue to accrue.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390" w:name="page391"/>
    <w:bookmarkEnd w:id="390"/>
    <w:p>
      <w:pPr>
        <w:ind w:right="140" w:firstLine="436"/>
        <w:spacing w:after="0" w:line="282" w:lineRule="auto"/>
        <w:tabs>
          <w:tab w:leader="none" w:pos="6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Borrower has notified the Administrative Agent, prior to the date any payment is required to be made by the Borrower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w:t>
      </w:r>
    </w:p>
    <w:p>
      <w:pPr>
        <w:spacing w:after="0" w:line="188"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Borrowing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Loans, to fund participations in Letters of Credit and to make payments pursuant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86" w:lineRule="exact"/>
        <w:rPr>
          <w:sz w:val="20"/>
          <w:szCs w:val="20"/>
          <w:color w:val="auto"/>
        </w:rPr>
      </w:pPr>
    </w:p>
    <w:p>
      <w:pPr>
        <w:ind w:right="340" w:firstLine="436"/>
        <w:spacing w:after="0" w:line="282" w:lineRule="auto"/>
        <w:tabs>
          <w:tab w:leader="none" w:pos="66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391" w:name="page392"/>
    <w:bookmarkEnd w:id="391"/>
    <w:p>
      <w:pPr>
        <w:ind w:right="160" w:firstLine="436"/>
        <w:spacing w:after="0" w:line="256" w:lineRule="auto"/>
        <w:tabs>
          <w:tab w:leader="none" w:pos="6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the Issuing Banks, as applicable, to satisfy such Lender’s obligations to the Administrative Agent and the Issuing Banks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11.07),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392" w:name="page393"/>
    <w:bookmarkEnd w:id="39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Incremental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436"/>
        <w:spacing w:after="0" w:line="255" w:lineRule="auto"/>
        <w:tabs>
          <w:tab w:leader="none" w:pos="66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At any time and from time to time, on one or more occasions, the Borrower may, by notice to the Administrative Agent increase the aggregate principal amount of Commitments under the Loan Documents (the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and the revolving loans and other extensions of credit made thereunder, the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if a Default or Event of Default has occurred and is continuing that (A) is a Specified Event of Default or (B) would require the consent of each of the Lenders to waive or otherwise consent to waive, the consent of each of the Lenders hereto shall be required to make notice of such Incremental Facilities and (ii) if a Default or Event of Default has occurred and is continuing that is not of the type described in the foregoing clause (i), the consent of the Required Lenders hereto shall be required to make notice of such Incremental Facilities.</w:t>
      </w:r>
    </w:p>
    <w:p>
      <w:pPr>
        <w:spacing w:after="0" w:line="186"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Incremental Facilities (i) may rank either junior in right of payment with the existing Revolving Loans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existing Revolving Loans, (ii) may either be unsecured or secured (on a junior basis or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the Collateral (or assets that become Collateral substantially concurrently with the incurrence of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Incremental Facilities shall only be permitted to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the Collateral to the extent the relevant parties have entered in to a Junior Lien Intercreditor Agreement in substantially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or Existing Junior Lien Intercreditor Agreement has either (A) been amended to increase the amount of the “Maximum First Lien Obligations Amount” to accommodate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liens or (B) terminated on or prior to the date of incurrence of such Incremental Facility) and (iii) may be guaranteed solely by the Loan Parties (or Persons that become Loan Parties substantially concurrently with the incurrence of such Incremental Facility).</w:t>
      </w:r>
    </w:p>
    <w:p>
      <w:pPr>
        <w:spacing w:after="0" w:line="186" w:lineRule="exact"/>
        <w:rPr>
          <w:rFonts w:ascii="Times New Roman" w:cs="Times New Roman" w:eastAsia="Times New Roman" w:hAnsi="Times New Roman"/>
          <w:sz w:val="18"/>
          <w:szCs w:val="18"/>
          <w:color w:val="auto"/>
        </w:rPr>
      </w:pPr>
    </w:p>
    <w:p>
      <w:pPr>
        <w:ind w:left="-20" w:right="100" w:firstLine="436"/>
        <w:spacing w:after="0" w:line="254" w:lineRule="auto"/>
        <w:tabs>
          <w:tab w:leader="none" w:pos="66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and Currency</w:t>
      </w:r>
      <w:r>
        <w:rPr>
          <w:rFonts w:ascii="Times New Roman" w:cs="Times New Roman" w:eastAsia="Times New Roman" w:hAnsi="Times New Roman"/>
          <w:sz w:val="18"/>
          <w:szCs w:val="18"/>
          <w:color w:val="auto"/>
        </w:rPr>
        <w:t>. The aggregate principal amount of Incremental Facilities on any date Indebtedness thereunder is first incurred, together with the aggregate principal amount of any Incremental Facilities outstanding on such date, will not exceed $50,000,000 or such greater amount as consented to by all Lenders (the “</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Each Incremental Facility will be in an integral multiple of $1,000,000 and in an aggregate principal amount that is not less than $5,000,000 (or such lesser minimum amount approved by the Administrative Agent in its reasonable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 may be less than such minimum amount or integral multiple amount if such amount represents all the remaining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Incremental Amount at such time. Any Incremental Facility may be denominated in Dollars, and the minimum amount and integral multiples shall be a Dollar Amount of $5,000,000 or $1,000,000, respectively (or, in each case, such lesser minimum amount approved by the Administrative Agent in its reasonable discretion).</w:t>
      </w:r>
    </w:p>
    <w:p>
      <w:pPr>
        <w:spacing w:after="0" w:line="191"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participate in any syndication of an Incremental Facility and may (but are not obligated to) become lenders with respect thereto;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the opportunity to provide any Incremental Facility shall first be offered to the then-existing Revolving Lenders before being offered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Lenders and (y) if the then-existing Revolving Lenders decline to provide all or any portion of such Incremental Facility, the Additional Lender(s)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60"/>
          </w:cols>
          <w:pgMar w:left="460" w:top="270" w:right="479" w:bottom="1440" w:gutter="0" w:footer="0" w:header="0"/>
        </w:sectPr>
      </w:pPr>
    </w:p>
    <w:bookmarkStart w:id="393" w:name="page394"/>
    <w:bookmarkEnd w:id="39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providing all or any portion of such Incremental Facility shall be subject to the consent of the Required Lenders (such consent not to be unreasonably withheld, delayed or conditioned), which may include any Lenders that decline to provide a commitment to an Incremental Loan.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lenders providing the Incremental Facilities will be reasonably acceptable to (i) the Borrower, (ii) the Administrative Agent and (iii) each Issuing Bank (except that,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only to the extent such Person otherwise would have a consent right to an assignment of such loans or commitments to such lender in accordance with Section 11.05) and if any then-existing Revolving Lenders elect to participate, they will be allocated (at their election) at least their pro rata share of the Incremental Facilities.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Incremental Facility Amendments; Use of Proceeds</w:t>
      </w:r>
      <w:r>
        <w:rPr>
          <w:rFonts w:ascii="Times New Roman" w:cs="Times New Roman" w:eastAsia="Times New Roman" w:hAnsi="Times New Roman"/>
          <w:sz w:val="18"/>
          <w:szCs w:val="18"/>
          <w:color w:val="auto"/>
        </w:rPr>
        <w:t>. Each Incremental Facility will become effective pursuant to an amendment (each,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to this Agreement and, as appropriate, the other Loan Documents, executed by the Borrower and each Person providing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Incremental Facility and the Administrative Agent. The Administrative Agent will promptly notify each Lender as to the effectiveness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Amendment. Incremental Amendments may, without the consent of any other Lenders, effect such amendments to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 Documents as may be necessary or appropriate, in the reasonable opinion of the Borrower in consultation with the Administrative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to the extent practicable, to make an Incremental Loan fungible (including for Tax purposes) with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(subject to the limitations under </w:t>
      </w:r>
      <w:r>
        <w:rPr>
          <w:rFonts w:ascii="Times New Roman" w:cs="Times New Roman" w:eastAsia="Times New Roman" w:hAnsi="Times New Roman"/>
          <w:sz w:val="18"/>
          <w:szCs w:val="18"/>
          <w:u w:val="single" w:color="auto"/>
          <w:color w:val="auto"/>
        </w:rPr>
        <w:t>sub-clauses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Section) to the extent practicable. Each of the parties hereto hereby agrees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effectiveness of any Incremental Amendment, this Agreement and the other Loan Documents, as applicable, will be amended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necessary to reflect the existence and terms of the Incremental Facility and the Incremental Loans evidenced thereby.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The Borrower may use the proceeds of the Incremental Loans for any purpose not prohibited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ind w:right="40" w:firstLine="436"/>
        <w:spacing w:after="0" w:line="266" w:lineRule="auto"/>
        <w:tabs>
          <w:tab w:leader="none" w:pos="66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The availability of Incremental Facilities under this Agreement will be subject solely to the following conditions and any other conditions required by the Lenders providing such Incremental Facility, subject, for the avoidance of doubt,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measured on the date of the initial borrowing under such Incremental Facility:</w:t>
      </w:r>
    </w:p>
    <w:p>
      <w:pPr>
        <w:spacing w:after="0" w:line="66" w:lineRule="exact"/>
        <w:rPr>
          <w:sz w:val="20"/>
          <w:szCs w:val="20"/>
          <w:color w:val="auto"/>
        </w:rPr>
      </w:pPr>
    </w:p>
    <w:p>
      <w:pPr>
        <w:ind w:left="440" w:right="480" w:firstLine="419"/>
        <w:spacing w:after="0" w:line="261" w:lineRule="auto"/>
        <w:tabs>
          <w:tab w:leader="none" w:pos="10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shall have occurred and be continuing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or other acquisition permitted hereunder; and</w:t>
      </w:r>
    </w:p>
    <w:p>
      <w:pPr>
        <w:spacing w:after="0" w:line="73"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may be waived or not required by the Persons providing such Incremental Facilities if the proceeds of the initial Borrowings under such Incremental Facilities will be used to finance, in whole or in part, a Permitted Investment or other acquisition permitted hereunder.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394" w:name="page395"/>
    <w:bookmarkEnd w:id="394"/>
    <w:p>
      <w:pPr>
        <w:ind w:left="-40" w:right="120" w:firstLine="436"/>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w:t>
      </w:r>
      <w:r>
        <w:rPr>
          <w:rFonts w:ascii="Times New Roman" w:cs="Times New Roman" w:eastAsia="Times New Roman" w:hAnsi="Times New Roman"/>
          <w:sz w:val="18"/>
          <w:szCs w:val="18"/>
          <w:color w:val="auto"/>
        </w:rPr>
        <w:t xml:space="preserve">. Each Incremental Amendment will set forth the amount and terms of the relevant Incremental Facility. The terms of each Incremental Facility will be as agreed between the Borrower and the Persons providing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400" w:firstLine="419"/>
        <w:spacing w:after="0" w:line="268" w:lineRule="auto"/>
        <w:tabs>
          <w:tab w:leader="none" w:pos="1038"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to the extent secured, such Incremental Facilities shall not be secured by any Lien on any property or asset of the Borrower or any Guarantor that does not also secure the Revolving Loans at the time of such incurrence (except (1) customary cash collateral in favor of an agent, letter of credit issuer or similar “fronting” lender, (2) Liens on property or assets applicable only to periods after the Latest Maturity Date of the Revolving Loans at the time of incurrence and (3) any Liens on property or assets to the extent that a Lien on such property or asset is also added for the benefit of the Lenders under the Revolving Loans) and (B) to the extent guaranteed, such Incremental Facilities shall not be incurred or guaranteed by any Loan Party other than the Borrower and the Guarantors (including any Person required to be a Guarantor) (except (1) for guarantees by other Persons that are applicable only to periods after the Latest Maturity Date of the Revolving Loans at the time of incurrence and</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any such Person incurring or guaranteeing such Incremental Facilities, as applicable, that also guarantees the Revolving Loans);</w:t>
      </w:r>
    </w:p>
    <w:p>
      <w:pPr>
        <w:spacing w:after="0" w:line="98" w:lineRule="exact"/>
        <w:rPr>
          <w:rFonts w:ascii="Times New Roman" w:cs="Times New Roman" w:eastAsia="Times New Roman" w:hAnsi="Times New Roman"/>
          <w:sz w:val="17"/>
          <w:szCs w:val="17"/>
          <w:color w:val="auto"/>
        </w:rPr>
      </w:pPr>
    </w:p>
    <w:p>
      <w:pPr>
        <w:ind w:left="1080" w:hanging="261"/>
        <w:spacing w:after="0"/>
        <w:tabs>
          <w:tab w:leader="none" w:pos="10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0" w:right="660" w:firstLine="419"/>
        <w:spacing w:after="0" w:line="282" w:lineRule="auto"/>
        <w:tabs>
          <w:tab w:leader="none" w:pos="113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Incremental Loans are Pari Passu Lien Debt, unless otherwise consented to by the Lenders, payments in respect of such Incremental Loans shall be subject to the Priority Waterfall or another agreement with substantially equivalent provisions; and</w:t>
      </w:r>
    </w:p>
    <w:p>
      <w:pPr>
        <w:spacing w:after="0" w:line="53" w:lineRule="exact"/>
        <w:rPr>
          <w:rFonts w:ascii="Times New Roman" w:cs="Times New Roman" w:eastAsia="Times New Roman" w:hAnsi="Times New Roman"/>
          <w:sz w:val="18"/>
          <w:szCs w:val="18"/>
          <w:color w:val="auto"/>
        </w:rPr>
      </w:pPr>
    </w:p>
    <w:p>
      <w:pPr>
        <w:ind w:left="400" w:right="40" w:firstLine="419"/>
        <w:spacing w:after="0" w:line="261" w:lineRule="auto"/>
        <w:tabs>
          <w:tab w:leader="none" w:pos="112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all terms of any Incremental Facility shall be on terms and pursuant to documentation applicable to the Facility and all other terms of any Incremental Facility shall be on terms (including subordination terms, if applicable) and pursuant to documentation to be determined by the Borrower and the providers of the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operational and agency provisions contained in such documentation shall be reasonably satisfactory to the Administrative Agent and the Borrower.</w:t>
      </w:r>
    </w:p>
    <w:p>
      <w:pPr>
        <w:spacing w:after="0" w:line="177" w:lineRule="exact"/>
        <w:rPr>
          <w:rFonts w:ascii="Times New Roman" w:cs="Times New Roman" w:eastAsia="Times New Roman" w:hAnsi="Times New Roman"/>
          <w:sz w:val="18"/>
          <w:szCs w:val="18"/>
          <w:color w:val="auto"/>
        </w:rPr>
      </w:pPr>
    </w:p>
    <w:p>
      <w:pPr>
        <w:ind w:left="-40" w:right="220" w:firstLine="436"/>
        <w:spacing w:after="0" w:line="261"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xml:space="preserve">. The pricing terms in respect of Incremental Facilities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lien priority with the existing Revolving Loan (including the rate of interest, timing of payments, and amount of fees due thereunder) shall be on the same terms as the Obligations unless the Required Lenders otherwise agree;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maturity date and timing of any interest and principal payments due with respect to such Incremental Facilities shall be on the same terms as the Facility.</w:t>
      </w:r>
    </w:p>
    <w:p>
      <w:pPr>
        <w:spacing w:after="0" w:line="181"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Revolving Loans</w:t>
      </w:r>
      <w:r>
        <w:rPr>
          <w:rFonts w:ascii="Times New Roman" w:cs="Times New Roman" w:eastAsia="Times New Roman" w:hAnsi="Times New Roman"/>
          <w:sz w:val="18"/>
          <w:szCs w:val="18"/>
          <w:color w:val="auto"/>
        </w:rPr>
        <w:t xml:space="preserve">. Upon each increase in the Commitments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20"/>
          </w:cols>
          <w:pgMar w:left="480" w:top="270" w:right="499" w:bottom="1440" w:gutter="0" w:footer="0" w:header="0"/>
        </w:sectPr>
      </w:pPr>
    </w:p>
    <w:bookmarkStart w:id="395" w:name="page396"/>
    <w:bookmarkEnd w:id="395"/>
    <w:p>
      <w:pPr>
        <w:ind w:left="400" w:right="20" w:firstLine="419"/>
        <w:spacing w:after="0" w:line="256" w:lineRule="auto"/>
        <w:tabs>
          <w:tab w:leader="none" w:pos="103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Revolving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18"/>
          <w:szCs w:val="18"/>
          <w:b w:val="1"/>
          <w:bCs w:val="1"/>
          <w:color w:val="auto"/>
        </w:rPr>
        <w:t>Incremental Facility Lender</w:t>
      </w:r>
      <w:r>
        <w:rPr>
          <w:rFonts w:ascii="Times New Roman" w:cs="Times New Roman" w:eastAsia="Times New Roman" w:hAnsi="Times New Roman"/>
          <w:sz w:val="18"/>
          <w:szCs w:val="18"/>
          <w:color w:val="auto"/>
        </w:rPr>
        <w:t>”), and each such Incremental Facility Lender will automatically and without further act be deemed to have assumed, a portion of such Revolving Lender’s participations hereunder in outstanding Letters of Credit such that, after giving effect to each such deemed assignment and assumption of participations, the percentage of the aggregate outstanding participations hereunder in Letters of Credit held by each Revolving Lender will equal the percentage of the aggregate Commitments of all Lenders represented by such Revolving Lender’s Commitments; and</w:t>
      </w:r>
    </w:p>
    <w:p>
      <w:pPr>
        <w:spacing w:after="0" w:line="79" w:lineRule="exact"/>
        <w:rPr>
          <w:rFonts w:ascii="Times New Roman" w:cs="Times New Roman" w:eastAsia="Times New Roman" w:hAnsi="Times New Roman"/>
          <w:sz w:val="18"/>
          <w:szCs w:val="18"/>
          <w:color w:val="auto"/>
        </w:rPr>
      </w:pPr>
    </w:p>
    <w:p>
      <w:pPr>
        <w:ind w:left="400" w:right="140" w:firstLine="419"/>
        <w:spacing w:after="0" w:line="261" w:lineRule="auto"/>
        <w:tabs>
          <w:tab w:leader="none" w:pos="108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date of such increase, there are any Revolving Loans outstanding, such Revolving Loans shall on or prior to the effectiveness of such Incremental Facility be prepaid from the proceeds of Incremental Loans made hereunder (reflecting such increase in Commitments), which prepayment shall be accompanied by accrued interest on the Revolving Loans being prepaid and any costs incurred by any Revolving Lender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0" w:right="80" w:firstLine="436"/>
        <w:spacing w:after="0" w:line="284" w:lineRule="auto"/>
        <w:tabs>
          <w:tab w:leader="none" w:pos="61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agree that the minimum borrowing,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borrowing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80" w:firstLine="436"/>
        <w:spacing w:after="0" w:line="282" w:lineRule="auto"/>
        <w:tabs>
          <w:tab w:leader="none" w:pos="64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The Borrower may obtain, from any Lender or any Additional Lender, Refinancing Indebtedness in respect of all or any portion of the Revolving Loans, in the form of Refinancing Loans or Refinancing Commitments made pursuant to a Refinancing Amendment.</w:t>
      </w:r>
    </w:p>
    <w:p>
      <w:pPr>
        <w:spacing w:after="0" w:line="161" w:lineRule="exact"/>
        <w:rPr>
          <w:rFonts w:ascii="Times New Roman" w:cs="Times New Roman" w:eastAsia="Times New Roman" w:hAnsi="Times New Roman"/>
          <w:sz w:val="18"/>
          <w:szCs w:val="18"/>
          <w:color w:val="auto"/>
        </w:rPr>
      </w:pPr>
    </w:p>
    <w:p>
      <w:pPr>
        <w:ind w:left="-40" w:firstLine="436"/>
        <w:spacing w:after="0" w:line="254"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 The effectiveness of any Refinancing Amendment will be subject only to the satisfaction on the date thereof of such conditions as may be requested by the providers of applicable Refinancing Loans or Refinancing Commitments.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and Refinancing Commitments incurred pursuant thereto (including any amendments necessary to treat the Revolving Loans subject thereto as Refinancing Revolving Loans, respectively). Each Refinancing Amendment shall be subject to the provisions of Section 11.01(b), and no Refinancing Amendment shall materially adversely and directly affect any Lender which does not agree to make a Refinancing Loan or maintain Refinancing Commitment without such Lender’s consent (including but not limited to, a subordination of such Lender’s rights, or any dilution of such Lender’s existing Commitments or Loans while they are outstanding).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20"/>
          </w:cols>
          <w:pgMar w:left="480" w:top="270" w:right="499" w:bottom="1440" w:gutter="0" w:footer="0" w:header="0"/>
        </w:sectPr>
      </w:pPr>
    </w:p>
    <w:bookmarkStart w:id="396" w:name="page397"/>
    <w:bookmarkEnd w:id="396"/>
    <w:p>
      <w:pPr>
        <w:ind w:left="-20" w:firstLine="436"/>
        <w:spacing w:after="0" w:line="255" w:lineRule="auto"/>
        <w:tabs>
          <w:tab w:leader="none" w:pos="66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Consents</w:t>
      </w:r>
      <w:r>
        <w:rPr>
          <w:rFonts w:ascii="Times New Roman" w:cs="Times New Roman" w:eastAsia="Times New Roman" w:hAnsi="Times New Roman"/>
          <w:sz w:val="18"/>
          <w:szCs w:val="18"/>
          <w:color w:val="auto"/>
        </w:rPr>
        <w:t xml:space="preserve">. Any Refinancing Amendment may, without the consent of any Person other than the Administrative Agent,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supersedes any provisions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to the contrary;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 amendment or modification shall be effective against any Lender to the extent such amendment or modification would otherwise require such Lender’s consent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on account of such Lender being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Non-Consenting Lenders may be repaid on a non-pro rata basis in connection with an Extension Offer or a Refinancing Amendment without such Lender’s consent.</w:t>
      </w:r>
    </w:p>
    <w:p>
      <w:pPr>
        <w:spacing w:after="0" w:line="188"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Providers of Refinancing Loans</w:t>
      </w:r>
      <w:r>
        <w:rPr>
          <w:rFonts w:ascii="Times New Roman" w:cs="Times New Roman" w:eastAsia="Times New Roman" w:hAnsi="Times New Roman"/>
          <w:sz w:val="18"/>
          <w:szCs w:val="18"/>
          <w:color w:val="auto"/>
        </w:rPr>
        <w:t xml:space="preserve">. Refinancing Loans may be provided by any existing Lender (it being understood that no existing Lender shall have an obligation to make all or any portion of any Refinancing Loan) or by any Additional Lender (subject to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opportunity to provide any Refinancing Revolving Loans shall be offered to all then-existing Revolving Lenders. The lenders providing the Refinancing Loans will be reasonably acceptable to the (i) Borrower, (ii) the Administrative Agent and (iii) solely with respect to any Refinancing Revolving Loans, each Issuing Bank (except that,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only to the extent such Person otherwise would have a consent right to an assignment of such loans or commitments to such lender, such consent not to be unreasonably withheld, conditioned or delayed).</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Extensions of Loans</w:t>
      </w:r>
    </w:p>
    <w:p>
      <w:pPr>
        <w:spacing w:after="0" w:line="221" w:lineRule="exact"/>
        <w:rPr>
          <w:sz w:val="20"/>
          <w:szCs w:val="20"/>
          <w:color w:val="auto"/>
        </w:rPr>
      </w:pPr>
    </w:p>
    <w:p>
      <w:pPr>
        <w:ind w:left="-20" w:firstLine="436"/>
        <w:spacing w:after="0" w:line="253" w:lineRule="auto"/>
        <w:tabs>
          <w:tab w:leader="none" w:pos="66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Offers</w:t>
      </w:r>
      <w:r>
        <w:rPr>
          <w:rFonts w:ascii="Times New Roman" w:cs="Times New Roman" w:eastAsia="Times New Roman" w:hAnsi="Times New Roman"/>
          <w:sz w:val="18"/>
          <w:szCs w:val="18"/>
          <w:color w:val="auto"/>
        </w:rPr>
        <w: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and/or Commitments of a particular Class with a like Maturity Date, such Borrower(s) may extend such Maturity Date and otherwise modify the terms of such Loans and/or Commitments pursuant to the terms set forth in an Extension Offer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Each Extension Offer will specify the minimum amount of Loans and/or Commitments with respect to which an Extension Offer may be accepted, which will be an integral multiple of $1,000,000 and an aggregate principal amount that is not less than $5,000,000, or, if less, (i) the aggregate principal amount of such Class of Loans outstanding or (ii) such lesser minimum amount as is approved by the Administrative Agent, such approval not to be unreasonably withheld, conditioned or delayed. Extension Offers will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including a condition that a minimum amount of Loans and/or Commitments of any or all applicable tranches be tendered.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0"/>
          </w:cols>
          <w:pgMar w:left="460" w:top="270" w:right="479" w:bottom="1440" w:gutter="0" w:footer="0" w:header="0"/>
        </w:sectPr>
      </w:pPr>
    </w:p>
    <w:bookmarkStart w:id="397" w:name="page398"/>
    <w:bookmarkEnd w:id="397"/>
    <w:p>
      <w:pPr>
        <w:ind w:firstLine="436"/>
        <w:spacing w:after="0" w:line="253" w:lineRule="auto"/>
        <w:tabs>
          <w:tab w:leader="none" w:pos="69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 Amendments</w:t>
      </w:r>
      <w:r>
        <w:rPr>
          <w:rFonts w:ascii="Times New Roman" w:cs="Times New Roman" w:eastAsia="Times New Roman" w:hAnsi="Times New Roman"/>
          <w:sz w:val="18"/>
          <w:szCs w:val="18"/>
          <w:color w:val="auto"/>
        </w:rPr>
        <w:t>. The Lenders hereby irrevocably authorize the Administrative Agent to enter into amendments to this Agreement and the other Loan Documents (an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as may be necessary or appropriate in order to establish new tranches in respect of Extended Loans and Extended Commitments and such amendments as permitted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as may be necessary or appropriate in the reasonable opinion of the Borrower, in consultation with the Administrative Agent, in connection with the establishment of such new tranches of Loans.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 amendment or modification shall be effective against any Lender to the extent such amendment or modification would otherwise require such Lender’s consent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on account of such Lender being directly and adversely affected thereby. Except as otherwise set forth in an Extension Offer, there will be no conditions to the effectiveness of an Extension Amendment. Extensions will not constitute a voluntary or mandatory payment or prepayment for purposes of this Agreement. Each Extension Amendment shall be subject to the provisions of Section 11.01(b), and no Extension Amendment shall materially adversely and directly affect any Lender which does not agree to make a extend its Loan or Commitment without such Lender’s consent (including but not limited to, a subordination of such Lender’s rights, or any dilution of such Lender’s Commitments or Loans while they are outstanding).</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Extension Offers and Extension Amendments</w:t>
      </w:r>
      <w:r>
        <w:rPr>
          <w:rFonts w:ascii="Times New Roman" w:cs="Times New Roman" w:eastAsia="Times New Roman" w:hAnsi="Times New Roman"/>
          <w:sz w:val="18"/>
          <w:szCs w:val="18"/>
          <w:color w:val="auto"/>
        </w:rPr>
        <w:t xml:space="preserve">. The terms of any Extended Loans and Extended Commitments will be set forth in an Extension Offer and as agreed between the Borrower and the Extending Lenders accepting such Extension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final maturity date of such Extended Loans and Extended Commitments will be no earlier than the Latest Maturity Date applicable to the Loans and/or Commitments subject to such Extension Offer.</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Extended Loans will constitute a separate tranche of Revolving Loans from the Revolving Loans held by Lenders that did not accept the applicable Extension Offer.</w:t>
      </w:r>
    </w:p>
    <w:p>
      <w:pPr>
        <w:spacing w:after="0" w:line="162" w:lineRule="exact"/>
        <w:rPr>
          <w:sz w:val="20"/>
          <w:szCs w:val="20"/>
          <w:color w:val="auto"/>
        </w:rPr>
      </w:pPr>
    </w:p>
    <w:p>
      <w:pPr>
        <w:ind w:left="700" w:hanging="264"/>
        <w:spacing w:after="0"/>
        <w:tabs>
          <w:tab w:leader="none" w:pos="7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Commitments</w:t>
      </w:r>
      <w:r>
        <w:rPr>
          <w:rFonts w:ascii="Times New Roman" w:cs="Times New Roman" w:eastAsia="Times New Roman" w:hAnsi="Times New Roman"/>
          <w:sz w:val="18"/>
          <w:szCs w:val="18"/>
          <w:color w:val="auto"/>
        </w:rPr>
        <w:t>. In the case of any Extension of Commitments and/or Revolving Loans, the following shall apply: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borrowings and all prepayments of Revolving Loans shall continue to be made on a ratable basis among all Revolving Lenders, based on the relative amounts of their Commitments, until the repayment of the Revolving Loans attributable to the non-extended Commitments on the relevant Maturity Date;</w:t>
      </w:r>
    </w:p>
    <w:p>
      <w:pPr>
        <w:spacing w:after="0" w:line="67" w:lineRule="exact"/>
        <w:rPr>
          <w:rFonts w:ascii="Times New Roman" w:cs="Times New Roman" w:eastAsia="Times New Roman" w:hAnsi="Times New Roman"/>
          <w:sz w:val="18"/>
          <w:szCs w:val="18"/>
          <w:color w:val="auto"/>
        </w:rPr>
      </w:pPr>
    </w:p>
    <w:p>
      <w:pPr>
        <w:jc w:val="both"/>
        <w:ind w:left="440" w:right="420" w:firstLine="419"/>
        <w:spacing w:after="0" w:line="266" w:lineRule="auto"/>
        <w:tabs>
          <w:tab w:leader="none" w:pos="112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participation exposure with respect to any then-existing or subsequently issued Letter of Credit as between the Commitments of such new tranche and the remaining Commitments shall be made on a ratable basis in accordance with the relative amounts thereof until the Maturity Date relating to such non-extended Commitments has occurred;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1" w:lineRule="auto"/>
        <w:tabs>
          <w:tab w:leader="none" w:pos="1178"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termination of extended Commitments and no repayment of extended Loans accompanied by a corresponding permanent reduction in extended Commitments shall be permitted unless such termination or repayment (and corresponding reduction) is accompanied by at least a </w:t>
      </w:r>
      <w:r>
        <w:rPr>
          <w:rFonts w:ascii="Times New Roman" w:cs="Times New Roman" w:eastAsia="Times New Roman" w:hAnsi="Times New Roman"/>
          <w:sz w:val="17"/>
          <w:szCs w:val="17"/>
          <w:i w:val="1"/>
          <w:iCs w:val="1"/>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rata </w:t>
      </w:r>
      <w:r>
        <w:rPr>
          <w:rFonts w:ascii="Times New Roman" w:cs="Times New Roman" w:eastAsia="Times New Roman" w:hAnsi="Times New Roman"/>
          <w:sz w:val="17"/>
          <w:szCs w:val="17"/>
          <w:color w:val="auto"/>
        </w:rPr>
        <w:t>termination or permanent repayment (and corresponding</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permanent reduction), as applicable, of each other tranche of Revolving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Loans and Commitments (or each other tranche of Commitments and Revolving Loans shall have otherwise been terminated and repaid in full);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398" w:name="page399"/>
    <w:bookmarkEnd w:id="398"/>
    <w:p>
      <w:pPr>
        <w:ind w:left="1160" w:hanging="301"/>
        <w:spacing w:after="0"/>
        <w:tabs>
          <w:tab w:leader="none" w:pos="11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Maturity Date with respect to the Commitments may not be extended without the prior written consent of each Issuing Bank;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shall there be more than five different tranches of Commitments.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the Total Utilization of Commitments exceeds the Commitment as a result of the occurrence of the Maturity Date with respect to any tranche of Commitments while an extended tranche of Commitments remains outstanding, the Borrower shall make such payments as are necessary in order to eliminate such excess on such Maturity Date.</w:t>
      </w:r>
    </w:p>
    <w:p>
      <w:pPr>
        <w:spacing w:after="0" w:line="176" w:lineRule="exact"/>
        <w:rPr>
          <w:sz w:val="20"/>
          <w:szCs w:val="20"/>
          <w:color w:val="auto"/>
        </w:rPr>
      </w:pPr>
    </w:p>
    <w:p>
      <w:pPr>
        <w:ind w:right="60" w:firstLine="436"/>
        <w:spacing w:after="0" w:line="254"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will not apply to any of the transactions effected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Notwithstanding the foregoing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amendment or modification shall be effective against any Lender to the extent such amendment or modification would otherwise require such Lender’s consent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on account of such Lender being directly and adversely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-303530</wp:posOffset>
            </wp:positionV>
            <wp:extent cx="285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82" w:lineRule="auto"/>
        <w:tabs>
          <w:tab w:leader="none" w:pos="6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each Issuing Bank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Collateralize each Issuing Bank’s Fronting Exposure with respect to such Defaulting Lender with respect to outstanding Letters of Credit (in an amount equal to 105% of the maximum face amount of all outstanding Letters of Credit) in accordance with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if so determined by the Administrative Agent and the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399" w:name="page400"/>
    <w:bookmarkEnd w:id="39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to be held in a Cash Collateral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(A) satisfy such Defaulting Lender’s potential future funding obligations with respect to Loans under this Agreement and (B) Cash Collateralize each Issuing Bank’s (in an amount equal to 105% of the maximum face amount of all outstanding Letters of Credit)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(1) such payment is a payment of the principal amount of any Loans or Reimbursement Obligations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were satisfied or waived, such payment shall be applied solely to pay the Loans of, and Reimbursement Obligations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Reimbursement Obligations owed to, such Defaulting Lender until such time as all Loans and funded and unfunded participations in Letters of Credit are held by the Lenders pro rata in accordance with the applicable Commitments without giving effect to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2.20(a)(i)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7" w:lineRule="exact"/>
        <w:rPr>
          <w:sz w:val="20"/>
          <w:szCs w:val="20"/>
          <w:color w:val="auto"/>
        </w:rPr>
      </w:pPr>
    </w:p>
    <w:p>
      <w:pPr>
        <w:ind w:left="680" w:hanging="261"/>
        <w:spacing w:after="0"/>
        <w:tabs>
          <w:tab w:leader="none" w:pos="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236"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Defaulting Lender shall be entitled to receive fees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fees not required to be paid to any Defaulting Lender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Borrower shall</w:t>
      </w:r>
    </w:p>
    <w:p>
      <w:pPr>
        <w:spacing w:after="0" w:line="27" w:lineRule="exact"/>
        <w:rPr>
          <w:rFonts w:ascii="Times New Roman" w:cs="Times New Roman" w:eastAsia="Times New Roman" w:hAnsi="Times New Roman"/>
          <w:sz w:val="18"/>
          <w:szCs w:val="18"/>
          <w:color w:val="auto"/>
        </w:rPr>
      </w:pPr>
    </w:p>
    <w:p>
      <w:pPr>
        <w:ind w:left="540" w:right="220" w:firstLine="7"/>
        <w:spacing w:after="0" w:line="273" w:lineRule="auto"/>
        <w:tabs>
          <w:tab w:leader="none" w:pos="795"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 to each Non-Defaulting Lender that portion of any such fee otherwise payable to such Defaulting Lender with respect to such Defaulting Lender’s participation in Letters of Credit that has been reallocated to such Non-Defaulting Lender pursuant to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below, (2) pay to each Issuing Bank the amount of any such fee otherwise payable to such Defaulting Lender to the extent allocable to such Issuing Bank’s Fronting Exposure to such Defaulting Lender, and (3) not be required to pay the remaining amount of any such fee.</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560"/>
          </w:cols>
          <w:pgMar w:left="880" w:top="268" w:right="459" w:bottom="1440" w:gutter="0" w:footer="0" w:header="0"/>
        </w:sectPr>
      </w:pPr>
    </w:p>
    <w:bookmarkStart w:id="400" w:name="page401"/>
    <w:bookmarkEnd w:id="400"/>
    <w:p>
      <w:pPr>
        <w:ind w:left="420" w:right="80" w:firstLine="419"/>
        <w:spacing w:after="0" w:line="254" w:lineRule="auto"/>
        <w:tabs>
          <w:tab w:leader="none" w:pos="115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Letters of Credit shall be reallocated among the Non-Defaulting Lenders in accordance with their respective Pro Rata Shares (calculated without regard to such Defaulting Lender’s Commitment) but only to the extent that (A)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11.25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0" w:lineRule="exact"/>
        <w:rPr>
          <w:rFonts w:ascii="Times New Roman" w:cs="Times New Roman" w:eastAsia="Times New Roman" w:hAnsi="Times New Roman"/>
          <w:sz w:val="18"/>
          <w:szCs w:val="18"/>
          <w:color w:val="auto"/>
        </w:rPr>
      </w:pPr>
    </w:p>
    <w:p>
      <w:pPr>
        <w:jc w:val="both"/>
        <w:ind w:left="420" w:right="120" w:firstLine="419"/>
        <w:spacing w:after="0" w:line="289" w:lineRule="auto"/>
        <w:tabs>
          <w:tab w:leader="none" w:pos="1148"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above cannot, or can only partially, be effected, the Borrower shall, without prejudice to any right or remedy available to it hereunder or under law, Cash Collateralize Issuing Bank’s Fronting Exposure (in an amount equal to 105% of the maximum face amount of all outstanding Letters of Credit) in accordance with the procedures set forth in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20" w:right="140" w:firstLine="436"/>
        <w:spacing w:after="0" w:line="254" w:lineRule="auto"/>
        <w:tabs>
          <w:tab w:leader="none" w:pos="67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applicable Commitments (without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8"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6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Letters of Credit</w:t>
      </w:r>
      <w:r>
        <w:rPr>
          <w:rFonts w:ascii="Times New Roman" w:cs="Times New Roman" w:eastAsia="Times New Roman" w:hAnsi="Times New Roman"/>
          <w:sz w:val="18"/>
          <w:szCs w:val="18"/>
          <w:color w:val="auto"/>
        </w:rPr>
        <w:t>. So long as any Revolving Lender is a Defaulting Lender, no Issuing Bank shall be required to issue, extend or amend any Letter of Credit unless it is satisfied that it will have no Fronting Exposure after giving effect thereto.</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and </w:t>
      </w:r>
      <w:r>
        <w:rPr>
          <w:rFonts w:ascii="Times New Roman" w:cs="Times New Roman" w:eastAsia="Times New Roman" w:hAnsi="Times New Roman"/>
          <w:sz w:val="18"/>
          <w:szCs w:val="18"/>
          <w:u w:val="single" w:color="auto"/>
          <w:color w:val="auto"/>
        </w:rPr>
        <w:t>Section 2.20(a)(iv)</w:t>
      </w:r>
      <w:r>
        <w:rPr>
          <w:rFonts w:ascii="Times New Roman" w:cs="Times New Roman" w:eastAsia="Times New Roman" w:hAnsi="Times New Roman"/>
          <w:sz w:val="18"/>
          <w:szCs w:val="18"/>
          <w:color w:val="auto"/>
        </w:rPr>
        <w:t xml:space="preserve"> is applicable, within one Business Day following the written request of the Administrative Agent or any Issuing Bank (with a copy to the Administrative Agent), the Borrower shall Cash Collateralize the applicable Issuing Bank’s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any Cash Collateral provided by such Defaulting Lender) in an amount not less than the Minimum L/C Collateral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-3397250</wp:posOffset>
            </wp:positionV>
            <wp:extent cx="2857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80"/>
          </w:cols>
          <w:pgMar w:left="460" w:top="270" w:right="459" w:bottom="1440" w:gutter="0" w:footer="0" w:header="0"/>
        </w:sectPr>
      </w:pPr>
    </w:p>
    <w:bookmarkStart w:id="401" w:name="page402"/>
    <w:bookmarkEnd w:id="401"/>
    <w:p>
      <w:pPr>
        <w:ind w:left="360" w:firstLine="419"/>
        <w:spacing w:after="0" w:line="254" w:lineRule="auto"/>
        <w:tabs>
          <w:tab w:leader="none" w:pos="99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the Administrative Agent, for the benefit of the Issuing Banks and the Revolving Lenders,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If at any time the Administrative Agent determines that the Cash Collateral is subject to any right or claim of any Person other than the Administrative Agent, the Issuing Banks or the Revolving Lenders as herein provided, or that the total amount of such Cash Collateral is less than the Minimum L/C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83" w:lineRule="exact"/>
        <w:rPr>
          <w:rFonts w:ascii="Times New Roman" w:cs="Times New Roman" w:eastAsia="Times New Roman" w:hAnsi="Times New Roman"/>
          <w:sz w:val="18"/>
          <w:szCs w:val="18"/>
          <w:color w:val="auto"/>
        </w:rPr>
      </w:pPr>
    </w:p>
    <w:p>
      <w:pPr>
        <w:ind w:left="360" w:right="80" w:firstLine="419"/>
        <w:spacing w:after="0" w:line="261" w:lineRule="auto"/>
        <w:tabs>
          <w:tab w:leader="none" w:pos="104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Collateral provided under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71" w:lineRule="exact"/>
        <w:rPr>
          <w:rFonts w:ascii="Times New Roman" w:cs="Times New Roman" w:eastAsia="Times New Roman" w:hAnsi="Times New Roman"/>
          <w:sz w:val="18"/>
          <w:szCs w:val="18"/>
          <w:color w:val="auto"/>
        </w:rPr>
      </w:pPr>
    </w:p>
    <w:p>
      <w:pPr>
        <w:ind w:left="360" w:right="60" w:firstLine="419"/>
        <w:spacing w:after="0" w:line="255" w:lineRule="auto"/>
        <w:tabs>
          <w:tab w:leader="none" w:pos="109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any Issuing Bank’s Fronting Exposure shall no longer be required to be held as Cash Collateral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following (A) the elimination of the applicable Fronting Exposure (including by the termination of Defaulting Lender status of the applicable Lender) or (B) the determination by the Administrative Agent or the applicable Issuing Bank that there exists excess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other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the Person providing Cash Collateral and the applicable Issuing Bank may agree that the Cash Collateral shall be held to support future anticipated Fronting Exposure or other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189" w:lineRule="exact"/>
        <w:rPr>
          <w:sz w:val="20"/>
          <w:szCs w:val="20"/>
          <w:color w:val="auto"/>
        </w:rPr>
      </w:pPr>
    </w:p>
    <w:p>
      <w:pPr>
        <w:ind w:left="-80" w:right="480" w:firstLine="436"/>
        <w:spacing w:after="0" w:line="282" w:lineRule="auto"/>
        <w:tabs>
          <w:tab w:leader="none" w:pos="60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Hedge Banks</w:t>
      </w:r>
      <w:r>
        <w:rPr>
          <w:rFonts w:ascii="Times New Roman" w:cs="Times New Roman" w:eastAsia="Times New Roman" w:hAnsi="Times New Roman"/>
          <w:sz w:val="18"/>
          <w:szCs w:val="18"/>
          <w:color w:val="auto"/>
        </w:rPr>
        <w:t>. So long as any Lender is a Defaulting Lender, such Lender shall not be a Hedge Bank with respect to any Secured Hedge Agreement entered into while such Lender was a Defaulting Lender.</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right="40" w:firstLine="436"/>
        <w:spacing w:after="0" w:line="261" w:lineRule="auto"/>
        <w:tabs>
          <w:tab w:leader="none" w:pos="60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in one currency into another currency, each party hereto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860"/>
          </w:cols>
          <w:pgMar w:left="520" w:top="270" w:right="519" w:bottom="1440" w:gutter="0" w:footer="0" w:header="0"/>
        </w:sectPr>
      </w:pPr>
    </w:p>
    <w:bookmarkStart w:id="402" w:name="page403"/>
    <w:bookmarkEnd w:id="4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obligations of the Borrower in respect of any sum due to any party hereto or any holder of the obligations owing hereunder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the currency in which such sum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stated to be due hereunder (the “</w:t>
      </w:r>
      <w:r>
        <w:rPr>
          <w:rFonts w:ascii="Times New Roman" w:cs="Times New Roman" w:eastAsia="Times New Roman" w:hAnsi="Times New Roman"/>
          <w:sz w:val="17"/>
          <w:szCs w:val="17"/>
          <w:b w:val="1"/>
          <w:bCs w:val="1"/>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Creditor of any sum adjudged to be so due in the Judgment Currency, the Applicable Creditor may in accordance with normal banking procedures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jurisdiction purchase the Agreement Currency with the Judgment Currency; if the amount of the Agreement Currency so purchased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originally due to the Applicable Creditor in the Agreement Currency, the Borrower as a separate obligation and notwithstanding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agree to indemnify the Applicable Creditor against such loss. The obligations of the Borrower contained in this Section shall survive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this Agreement and the payment of all other amounts owing hereunder.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Taxes, Increased Costs Protection and Illegality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any and all payments by the Borrower or any Guarantor to or for the account of any Agent, Lender or Issuing Bank under any Loan Document shall be made free and clear of and without deduction for any and all present or future taxes, duties, levies, imposts, deductions, assessments, fees, withholdings or similar charges imposed by any Governmental Authority, and all additions to tax, penalties and interest with respect thereto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If an applicable Withholding Agent is required to deduct any Taxes from or in respect of any sum payable under any Loan Document to any Agent, Lender or Issuing Bank, (i) if such Taxes are Indemnified Taxes, the sum payable shall be increased as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3.01(a)(i)</w:t>
      </w:r>
      <w:r>
        <w:rPr>
          <w:rFonts w:ascii="Times New Roman" w:cs="Times New Roman" w:eastAsia="Times New Roman" w:hAnsi="Times New Roman"/>
          <w:sz w:val="18"/>
          <w:szCs w:val="18"/>
          <w:color w:val="auto"/>
        </w:rPr>
        <w:t>), each of such Agent, Lender or Issuing Bank receives an amount equal to the sum it would have received had no such deductions for Indemnified Taxes been made, (ii) the applicable Withholding Agent shall make such deductions, (iii) the applicable Withholding Agent shall pay the full amount deducted to the relevant taxing authority, and (iv) as soon as practicable after any such payment by the Borrower or any Guarantor,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w:t>
      </w:r>
    </w:p>
    <w:p>
      <w:pPr>
        <w:spacing w:after="0" w:line="189"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Lender or Issuing Bank (including an Eligible Assignee to which a Lender assigns its interest in accordance with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unless such Eligible Assignee is already a Lender hereunder) that is entitled to an exemption from or reduction of withholding Tax with respect to payments made under any Loan Document shall deliver to the Borrower and Administrative Agent, at the time or times reasonably requested by the Borrower and Administrative Agent, such properly completed and executed documentation reasonably requested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60"/>
          </w:cols>
          <w:pgMar w:left="440" w:top="270" w:right="499" w:bottom="1440" w:gutter="0" w:footer="0" w:header="0"/>
        </w:sectPr>
      </w:pPr>
    </w:p>
    <w:bookmarkStart w:id="403" w:name="page404"/>
    <w:bookmarkEnd w:id="40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Borrower and Administrative Agent as will permit such payments to be made without withholding or at a reduced rate of withholding. In addition, any such Agent, Lender, Issuing Bank or Eligible Assignee, if reasonably requested by the Borrower and Administrative Agent, shall deliver such other documentation prescribed by applicable law or reasonably requested by the Borrower and Administrative Agent as will enable the Borrower and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Sections 3.01(b)(i)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shall not be required if in such Lender’s, Agent’s, Issuing Bank’s or Eligible Assignee’s reasonable judgment such completion, execution or submission would subject such Agent, Lender, Issuing Bank or Eligible Assignee to any material unreimbursed cost or expense or would materially prejudice the legal or commercial position of such Lender.</w:t>
      </w:r>
    </w:p>
    <w:p>
      <w:pPr>
        <w:spacing w:after="0" w:line="84" w:lineRule="exact"/>
        <w:rPr>
          <w:sz w:val="20"/>
          <w:szCs w:val="20"/>
          <w:color w:val="auto"/>
        </w:rPr>
      </w:pPr>
    </w:p>
    <w:p>
      <w:pPr>
        <w:ind w:left="440" w:right="40" w:firstLine="419"/>
        <w:spacing w:after="0" w:line="256" w:lineRule="auto"/>
        <w:tabs>
          <w:tab w:leader="none" w:pos="107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to the extent it is legally able to do so, each Agent, Lender or Issuing Bank (including an Eligible Assignee to which a Lender assigns its interest in accordance with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unless such Eligible Assignee is already a Lender hereunder) that is not a “United States person” within the meaning of Section 7701(a)(30) of the Code (each, a “</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duly executed copies of whichever of the following is applicable:</w:t>
      </w:r>
    </w:p>
    <w:p>
      <w:pPr>
        <w:spacing w:after="0" w:line="79" w:lineRule="exact"/>
        <w:rPr>
          <w:rFonts w:ascii="Times New Roman" w:cs="Times New Roman" w:eastAsia="Times New Roman" w:hAnsi="Times New Roman"/>
          <w:sz w:val="18"/>
          <w:szCs w:val="18"/>
          <w:color w:val="auto"/>
        </w:rPr>
      </w:pPr>
    </w:p>
    <w:p>
      <w:pPr>
        <w:ind w:left="980" w:firstLine="408"/>
        <w:spacing w:after="0" w:line="258" w:lineRule="auto"/>
        <w:tabs>
          <w:tab w:leader="none" w:pos="1676"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(1) with respect to the payments of interest under any Loan Document, IRS Form W-8BEN or Form W-8BEN-E establishing an exemption from, or reduction of, U.S. federal withholding Tax pursuant to the “interest” article of such tax treaty, and (2)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75" w:lineRule="exact"/>
        <w:rPr>
          <w:rFonts w:ascii="Times New Roman" w:cs="Times New Roman" w:eastAsia="Times New Roman" w:hAnsi="Times New Roman"/>
          <w:sz w:val="18"/>
          <w:szCs w:val="18"/>
          <w:color w:val="auto"/>
        </w:rPr>
      </w:pPr>
    </w:p>
    <w:p>
      <w:pPr>
        <w:ind w:left="980" w:right="560" w:firstLine="408"/>
        <w:spacing w:after="0" w:line="282" w:lineRule="auto"/>
        <w:tabs>
          <w:tab w:leader="none" w:pos="1666"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certifying that the income receivable pursuant to any Loan Document is effectively connected with the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980" w:right="120" w:firstLine="7"/>
        <w:spacing w:after="0" w:line="253" w:lineRule="auto"/>
        <w:tabs>
          <w:tab w:leader="none" w:pos="1235"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substantially in the form of Exhibit G-1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8"/>
          <w:szCs w:val="18"/>
          <w:b w:val="1"/>
          <w:bCs w:val="1"/>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(2) an IRS Form W-8BEN or Form W-8BEN-E, certifying that the Foreign Lender is not a United States person;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440" w:top="270" w:right="439" w:bottom="1440" w:gutter="0" w:footer="0" w:header="0"/>
        </w:sectPr>
      </w:pPr>
    </w:p>
    <w:bookmarkStart w:id="404" w:name="page405"/>
    <w:bookmarkEnd w:id="404"/>
    <w:p>
      <w:pPr>
        <w:ind w:left="960" w:right="80" w:firstLine="408"/>
        <w:spacing w:after="0" w:line="255" w:lineRule="auto"/>
        <w:tabs>
          <w:tab w:leader="none" w:pos="1656"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a Foreign Lender is not the beneficial owner for U.S. federal income tax purposes, IRS Form W-8IMY (or any successor forms) of the Foreign Lender, accompanied by, as and to the extent applicable, an IRS Form W-8BEN, Form W-8BEN-E, Form W-8ECI, a U.S. Tax Compliance Certificate substantially in the form of Exhibit G-2 or Exhibit G-3, Form W-9, Form W-8IMY (or other successor forms) and any other required supporting information from each beneficial owner;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80" w:lineRule="exact"/>
        <w:rPr>
          <w:rFonts w:ascii="Times New Roman" w:cs="Times New Roman" w:eastAsia="Times New Roman" w:hAnsi="Times New Roman"/>
          <w:sz w:val="18"/>
          <w:szCs w:val="18"/>
          <w:color w:val="auto"/>
        </w:rPr>
      </w:pPr>
    </w:p>
    <w:p>
      <w:pPr>
        <w:ind w:left="420" w:firstLine="419"/>
        <w:spacing w:after="0" w:line="255" w:lineRule="auto"/>
        <w:tabs>
          <w:tab w:leader="none" w:pos="110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any Foreign Lender shall, to the extent it is legally entitled to do so, deliver to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accurate, complete and duly executed copies of any other form prescribed by applicable requirements of applicable Law as a basis for claiming exemption from or a reduction in U.S. federal withholding Tax, together with such supplementary documentation as may be prescribed by applicable requirements of law to permit the Borrower and the Administrative Agent to determine the withholding or deduction required to be made.</w:t>
      </w:r>
    </w:p>
    <w:p>
      <w:pPr>
        <w:spacing w:after="0" w:line="188" w:lineRule="exact"/>
        <w:rPr>
          <w:rFonts w:ascii="Times New Roman" w:cs="Times New Roman" w:eastAsia="Times New Roman" w:hAnsi="Times New Roman"/>
          <w:sz w:val="18"/>
          <w:szCs w:val="18"/>
          <w:color w:val="auto"/>
        </w:rPr>
      </w:pPr>
    </w:p>
    <w:p>
      <w:pPr>
        <w:ind w:left="-20" w:right="120" w:firstLine="436"/>
        <w:spacing w:after="0" w:line="253" w:lineRule="auto"/>
        <w:tabs>
          <w:tab w:leader="none" w:pos="66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each Agent, Lender, Issuing Bank or Eligible Assignee shall, to the extent it is legally entitled to do so, (i) promptly submit to the Borrower and the Administrative Agent two accurate, complete and duly executed copies of such other or additional forms or certificates (or such successor forms or certificates as shall be adopted from time to time by the relevant taxing authorities) as may then be applicable or available to secure an exemption from or reduction in the rate of withholding Tax (1) on or before the date that such Agent’s, Lender’s, Issuing Bank’s or Eligible Assignee’s most recently delivered form, certificate or other evidence expires or becomes obsolete or inaccurate in any material respect, (2) after the occurrence of a change in such Agent’s, Lender’s, Issuing Bank’s or Eligible Assignee’s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such Agent’s, Lender’s, Issuing Bank’s or Eligible Assignee’s circumstances that would modify or render invalid any claimed exemption or reduction.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not apply to any reporting requirements under FATCA.</w:t>
      </w:r>
    </w:p>
    <w:p>
      <w:pPr>
        <w:spacing w:after="0" w:line="194"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460" w:top="270" w:right="479" w:bottom="1440" w:gutter="0" w:footer="0" w:header="0"/>
        </w:sectPr>
      </w:pPr>
    </w:p>
    <w:bookmarkStart w:id="405" w:name="page406"/>
    <w:bookmarkEnd w:id="40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to comply with their obligations under FATCA and to determine whether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Administrative Agent in writing of its legal inability to do so.</w:t>
      </w:r>
    </w:p>
    <w:p>
      <w:pPr>
        <w:spacing w:after="0" w:line="183" w:lineRule="exact"/>
        <w:rPr>
          <w:sz w:val="20"/>
          <w:szCs w:val="20"/>
          <w:color w:val="auto"/>
        </w:rPr>
      </w:pPr>
    </w:p>
    <w:p>
      <w:pPr>
        <w:ind w:firstLine="436"/>
        <w:spacing w:after="0" w:line="255" w:lineRule="auto"/>
        <w:tabs>
          <w:tab w:leader="none" w:pos="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each Lender or Issuing Bank that is a “United States person” (within the meaning of Section 7701(a)(30) of the Code) (each, a “</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agrees to complete and deliver to the Borrower and the Administrative Agent two copies of accurate, complete and duly executed IRS Form W-9 or 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6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amounts payable under Sections 3.01(a) or 3.01(g), the Borrower agrees to pay any and all present or future stamp, court or documentary intangible, recording, filing, mortgage recording or similar Taxes that arise from any payment made under any Loan Document or from the execution, delivery, performance, enforcement or registration of, or otherwise with respect to, any Loan Document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Taxes described in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other than Excluded Taxes, being hereinafter referred to as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amounts payable under Sections 3.01(a) or 3.01(f), if any Indemnified Taxes are directly asserted against any Agent, Lender or Issuing Bank with respect to any payment received by such Agent, Lender or Issuing Bank in respect of any Loan Document, such Agent, Lender or Issuing Bank may pay such Indemnified Taxes and the Borrower will promptly indemnify and hold harmless such Agent, Lender or Issuing Bank for the full amount of such Indemnified Taxes imposed on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any reasonable expenses arising therefrom or with respect thereto (other than any expenses or penalties determined by a court of competent jurisdiction by a final and nonappealable judgment to have resulted from the gross negligence or willful misconduct of such Recipient), whether or not such Indemnified Taxes were correctly or legally imposed or asserted. Payments under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shall be made within ten days after the date the Borrower receive written demand for payment from such Agent, Lender or Issuing Bank.</w:t>
      </w:r>
    </w:p>
    <w:p>
      <w:pPr>
        <w:spacing w:after="0" w:line="191"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comply with the provisions of Sections </w:t>
      </w:r>
      <w:r>
        <w:rPr>
          <w:rFonts w:ascii="Times New Roman" w:cs="Times New Roman" w:eastAsia="Times New Roman" w:hAnsi="Times New Roman"/>
          <w:sz w:val="18"/>
          <w:szCs w:val="18"/>
          <w:u w:val="single" w:color="auto"/>
          <w:color w:val="auto"/>
        </w:rPr>
        <w:t>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and 3.01(e) hereof and shall not be entitled to receive any greater payment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406" w:name="page407"/>
    <w:bookmarkEnd w:id="406"/>
    <w:p>
      <w:pPr>
        <w:ind w:firstLine="436"/>
        <w:spacing w:after="0" w:line="252"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Agent, Lender, Issuing Bank or Participant determines, in its sole discretion, exercised in good faith, that it has received a refund in respect of any Taxes as to which it has 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promptly pay to the indemnifying party an amount equal to such refund (but only to the extent of indemnity payments made, or additional amounts paid, by the indemnifying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reasonable out-of-pocket expenses incurred by such indemnified party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or applicable Guarantor, as the case may be, upon the request of such indemnified party, agrees to repay the amount paid over to the Borrower or applicable Guarantor, as the case may be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such indemnified party in the event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3.01(i)</w:t>
      </w:r>
      <w:r>
        <w:rPr>
          <w:rFonts w:ascii="Times New Roman" w:cs="Times New Roman" w:eastAsia="Times New Roman" w:hAnsi="Times New Roman"/>
          <w:sz w:val="18"/>
          <w:szCs w:val="18"/>
          <w:color w:val="auto"/>
        </w:rPr>
        <w:t xml:space="preserve">, in no event will such indemnified party be required to pay any amount to the Borrower or applicable Guarantor pursuant to this </w:t>
      </w:r>
      <w:r>
        <w:rPr>
          <w:rFonts w:ascii="Times New Roman" w:cs="Times New Roman" w:eastAsia="Times New Roman" w:hAnsi="Times New Roman"/>
          <w:sz w:val="18"/>
          <w:szCs w:val="18"/>
          <w:u w:val="single" w:color="auto"/>
          <w:color w:val="auto"/>
        </w:rPr>
        <w:t>Section 3.01(i)</w:t>
      </w:r>
      <w:r>
        <w:rPr>
          <w:rFonts w:ascii="Times New Roman" w:cs="Times New Roman" w:eastAsia="Times New Roman" w:hAnsi="Times New Roman"/>
          <w:sz w:val="18"/>
          <w:szCs w:val="18"/>
          <w:color w:val="auto"/>
        </w:rPr>
        <w:t xml:space="preserve"> the payment of which would place such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Such Agent,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Agent or Issuing Bank may delete any information therein that such Lender, Agent or Issuing Bank deems confidential or not relevant to such refund in its reasonable discretion). This subsection shall not be construed to require any indemnified party to make available its tax returns (or any other information relating to its Taxes that it reasonably deems confidential) to the Borrower, any Guarantor or any other Person.</w:t>
      </w:r>
    </w:p>
    <w:p>
      <w:pPr>
        <w:spacing w:after="0" w:line="191" w:lineRule="exact"/>
        <w:rPr>
          <w:rFonts w:ascii="Times New Roman" w:cs="Times New Roman" w:eastAsia="Times New Roman" w:hAnsi="Times New Roman"/>
          <w:sz w:val="18"/>
          <w:szCs w:val="18"/>
          <w:color w:val="auto"/>
        </w:rPr>
      </w:pPr>
    </w:p>
    <w:p>
      <w:pPr>
        <w:ind w:right="140" w:firstLine="436"/>
        <w:spacing w:after="0" w:line="255" w:lineRule="auto"/>
        <w:tabs>
          <w:tab w:leader="none" w:pos="6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(g) with respect to such Lender, it will, if requested by the Borrower in writing, use reasonable efforts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Indemnified Taxes required to be deducted or withheld or paid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shall affect or postpone any of the Obligations of the Borrower or the rights of such Lender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(g).</w:t>
      </w:r>
    </w:p>
    <w:p>
      <w:pPr>
        <w:spacing w:after="0" w:line="188" w:lineRule="exact"/>
        <w:rPr>
          <w:rFonts w:ascii="Times New Roman" w:cs="Times New Roman" w:eastAsia="Times New Roman" w:hAnsi="Times New Roman"/>
          <w:sz w:val="18"/>
          <w:szCs w:val="18"/>
          <w:color w:val="auto"/>
        </w:rPr>
      </w:pPr>
    </w:p>
    <w:p>
      <w:pPr>
        <w:jc w:val="both"/>
        <w:ind w:right="440" w:firstLine="436"/>
        <w:spacing w:after="0" w:line="266" w:lineRule="auto"/>
        <w:tabs>
          <w:tab w:leader="none" w:pos="69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the Borrower and the Administrative Agent may deduct and withhold any Taxes required by any applicable Law to be deducted and withheld from any payment under any of the Loan Documents, subject to the provisions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407" w:name="page408"/>
    <w:bookmarkEnd w:id="407"/>
    <w:p>
      <w:pPr>
        <w:ind w:firstLine="436"/>
        <w:spacing w:after="0" w:line="253" w:lineRule="auto"/>
        <w:tabs>
          <w:tab w:leader="none" w:pos="65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Agent or Lender, as applicable, shall severally indemnify the Administrative Agent, within ten days after demand therefor, for (i) any Taxes attributable to such Agent or Lender (but only to the extent that the Borrower have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160" w:firstLine="436"/>
        <w:spacing w:after="0" w:line="282" w:lineRule="auto"/>
        <w:tabs>
          <w:tab w:leader="none" w:pos="74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termination of this Agreement and the payment of the Loans and all other amounts payable hereunder and any assignment of rights by, or replacement of, any Lender.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term “Lender” includes any Issuing Bank and reference to “applicable Law” includes FATCA.</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SOFR, or to determine or charge interest rates based upon SOFR,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SOFR Rate Loans or to convert Base Rate Loans to SOFR Rate Loans, as applicable, shall be suspended, and (ii) if such notice asserts the illegality of such Lender making or maintaining Base Rate Loans the interest rate on which is determined by reference to the SOFR component of the Base Rate, the interest rate on which Base Rate Loans of such Lender shall, if necessary to avoid such illegality, be determined by the Administrative Agent without reference to the SOFR component of the Base Rate in each case until such Lender notifies the Administrative Agent and the Borrower that the circumstances giving rise to such determination no longer exist. Upon receipt of such notice, (A) with respect to Borrowings denominated in Dollars, the Borrower may revoke any pending request for a Borrowing of, conversion to or continuation of SOFR Rate Loans and shall, upon demand from such Lender (with a copy to the Administrative Agent), prepay or, if applicable, convert all SOFR Rate Loans of such Lender to Base Rate Loans (the interest rate on which Base Rate Loans of such Lender shall, if necessary to avoid such illegality, be determined by the Administrative Agent without reference to the SOFR component of the Base Rate), either on the last day of the Interest Period therefor, if such Lender may lawfully continue to maintain such SOFR Rate Loans to such day, or immediately, if such Lender may not lawfully continue to maintain such SOFR Rate Loans or (B) if such notice asserts the illegality of such Lender determining or charging interest rates based upon the SOFR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408" w:name="page409"/>
    <w:bookmarkEnd w:id="40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 of the Base Rate with respect to any Base Rate Loans, the Administrative Agent shall during the period of such suspension compute the Base Rate applicable to such Lender without reference to the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If the Administrative Agent or the Required Lenders reasonably determine that for any reason in connection with any request for a SOFR Rate Loan or a conversion to or continuation thereof that (a) adequate and reasonable means do not exist for determining SOFR for any requested Interest Period with respect to a proposed SOFR Rate Loan or in connection with an existing or proposed Base Rate Loan or (b) SOFR for any requested Interest Period with respect to a proposed SOFR Rate Loan does not adequately and fairly reflect the cost to such Lenders of funding such Loan, the Administrative Agent will promptly so notify the Borrower and each Lender. Thereafter, (i) the obligation of the Lenders to make or maintain SOFR Rate Loans shall be suspended, and (ii) in the event of a determination described in the preceding sentence: with respect to the SOFR component of the Base Rate, the utilization of the SOFR component in determining the Base Rate shall be suspended until the Administrative Agent (upon the instruction of the Required Lenders) revokes such notice. Upon receipt of such notice, the Borrower may revoke any pending request for a Borrowing of, conversion to or continuation of SOFR Rate Loans or, failing that, will be deemed to have converted such request into a request for a Borrowing of Base Rate Loans, in the case of SOFR Rate Loans in the amount specified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Borrower and the applicable Lenders cannot agree within a reasonable time on an alternative rate for such Loans, the Borrower may, at their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Rate.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Cost and Reduced Return; Capital Adequacy; Reserves on S Rate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any Issuing Bank;</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Lender or any Issuing Bank to any tax of any kind whatsoever with respect to this Agreement, any Letter of Credit, any participation in a Letter of Credit or any SOFR Rate Loan made by it, or change the basis of taxation of payments to such Lender or Issuing Bank, as applicable, in respect thereof (except, in each case, for (A) Indemnified Taxes, (B) Taxes described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the definition of Excluded Taxes, and (C) Connection Income Taxes);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409" w:name="page410"/>
    <w:bookmarkEnd w:id="409"/>
    <w:p>
      <w:pPr>
        <w:ind w:left="1160" w:hanging="321"/>
        <w:spacing w:after="0"/>
        <w:tabs>
          <w:tab w:leader="none" w:pos="11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impose on any Lender or any Issuing Bank or the London interbank market any other condition, cost or expense affecting this</w:t>
      </w:r>
    </w:p>
    <w:p>
      <w:pPr>
        <w:spacing w:after="0" w:line="27" w:lineRule="exact"/>
        <w:rPr>
          <w:rFonts w:ascii="Times New Roman" w:cs="Times New Roman" w:eastAsia="Times New Roman" w:hAnsi="Times New Roman"/>
          <w:sz w:val="18"/>
          <w:szCs w:val="18"/>
          <w:color w:val="auto"/>
        </w:rPr>
      </w:pPr>
    </w:p>
    <w:p>
      <w:pPr>
        <w:ind w:lef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any Letter of Credit, any participation in a Letter of Credit or SOFR Rate Loans made by such Lender or any Issuing Bank (other than with respect to Taxes) that is not otherwise accounted for in the definition of SOFR or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960" w:right="40" w:firstLine="401"/>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Issuing Bank of making or maintaining any Loan the interest on which is determined by reference to SOFR or, in the case of a Change in Law with respect to Taxes, making or maintaining any Loan (or of maintaining its obligation to make any such Loan), or to increase the cost to such Lender, such Issuing Bank or such other Lender of participating in, issuing or maintaining any Letter of Credit (or of maintaining its obligation to participate in or to issue any Letter of Credit, or to reduce the amount of any sum received or receivable by such Lender or such Issuing Bank (whether of principal, interest or any other amount)) then, from time to time within ten days after demand by such Lender, such Issuing Bank setting forth in reasonable detail such increased costs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or Issuing Bank or shall request that the Borrower pay any additional amount pursuant to this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unless it shall concurrently make similar requests to other borrowers similarly situated and affected by such Change in Law and from whom such Lender or Issuing Bank is entitled to seek similar amounts.</w:t>
      </w:r>
    </w:p>
    <w:p>
      <w:pPr>
        <w:spacing w:after="0" w:line="187" w:lineRule="exact"/>
        <w:rPr>
          <w:sz w:val="20"/>
          <w:szCs w:val="20"/>
          <w:color w:val="auto"/>
        </w:rPr>
      </w:pPr>
    </w:p>
    <w:p>
      <w:pPr>
        <w:ind w:left="-20" w:firstLine="436"/>
        <w:spacing w:after="0" w:line="253" w:lineRule="auto"/>
        <w:tabs>
          <w:tab w:leader="none" w:pos="67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 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 such Issuing Bank setting forth in reasonable detail the charge and the 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60"/>
          </w:cols>
          <w:pgMar w:left="460" w:top="270" w:right="479" w:bottom="1440" w:gutter="0" w:footer="0" w:header="0"/>
        </w:sectPr>
      </w:pPr>
    </w:p>
    <w:bookmarkStart w:id="410" w:name="page411"/>
    <w:bookmarkEnd w:id="410"/>
    <w:p>
      <w:pPr>
        <w:ind w:right="120" w:firstLine="436"/>
        <w:spacing w:after="0" w:line="261" w:lineRule="auto"/>
        <w:tabs>
          <w:tab w:leader="none" w:pos="68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Times New Roman" w:cs="Times New Roman" w:eastAsia="Times New Roman" w:hAnsi="Times New Roman"/>
          <w:sz w:val="18"/>
          <w:szCs w:val="18"/>
          <w:color w:val="auto"/>
        </w:rPr>
        <w:t xml:space="preserve">. A certificate of a Lender or an Issuing Bank setting forth the amount or amounts necessary to compensate such Lender or such Issuing Bank or their respective holding company, as the case may be, as specified in subsection (a) or (b)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Issuing Bank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one hundred and eighty (180)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SOFR Rate Loans</w:t>
      </w:r>
      <w:r>
        <w:rPr>
          <w:rFonts w:ascii="Times New Roman" w:cs="Times New Roman" w:eastAsia="Times New Roman" w:hAnsi="Times New Roman"/>
          <w:sz w:val="18"/>
          <w:szCs w:val="18"/>
          <w:color w:val="auto"/>
        </w:rPr>
        <w:t>. The Borrower shall pay to each Lender, as long as such Lender shall be required to maintain reserves with respect to liabilities or assets consisting of or including eurocurrency funds or deposits (currently known as “</w:t>
      </w:r>
      <w:r>
        <w:rPr>
          <w:rFonts w:ascii="Times New Roman" w:cs="Times New Roman" w:eastAsia="Times New Roman" w:hAnsi="Times New Roman"/>
          <w:sz w:val="18"/>
          <w:szCs w:val="18"/>
          <w:b w:val="1"/>
          <w:bCs w:val="1"/>
          <w:color w:val="auto"/>
        </w:rPr>
        <w:t>Eurocurrency Liabilities</w:t>
      </w:r>
      <w:r>
        <w:rPr>
          <w:rFonts w:ascii="Times New Roman" w:cs="Times New Roman" w:eastAsia="Times New Roman" w:hAnsi="Times New Roman"/>
          <w:sz w:val="18"/>
          <w:szCs w:val="18"/>
          <w:color w:val="auto"/>
        </w:rPr>
        <w:t xml:space="preserve">”), additional interest on the unpaid principal amount of each SOFR Rate Loan equal to the actual costs of such reserves allocated to such Loan by such Lender (as determined by such lender in good faith, which determination shall be conclusive), which shall be due and payable on each date on which interest is payable on such Loan made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Upon written demand of any Lender (with a copy to the Administrative Agent) from time to time, which demand shall set forth in reasonable detail the basis for requesting such amount (provided that such calculation will not in an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75" w:lineRule="exact"/>
        <w:rPr>
          <w:sz w:val="20"/>
          <w:szCs w:val="20"/>
          <w:color w:val="auto"/>
        </w:rPr>
      </w:pPr>
    </w:p>
    <w:p>
      <w:pPr>
        <w:ind w:right="300" w:firstLine="436"/>
        <w:spacing w:after="0" w:line="282" w:lineRule="auto"/>
        <w:tabs>
          <w:tab w:leader="none" w:pos="6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411" w:name="page412"/>
    <w:bookmarkEnd w:id="411"/>
    <w:p>
      <w:pPr>
        <w:ind w:right="440" w:firstLine="436"/>
        <w:spacing w:after="0" w:line="282"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assignment of a SOFR Rate Loan on a day prior to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including any loss or expense (excluding loss of anticipated profits or margin) actually incurred by reason of the liquidation or reemployment of funds obtained by it to maintain such Loan or from fees payable to terminate the deposits from which such funds were obtained.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the Borrower are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in any material economic, legal or regulatory respect.</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Lender Obligations</w:t>
      </w:r>
      <w:r>
        <w:rPr>
          <w:rFonts w:ascii="Times New Roman" w:cs="Times New Roman" w:eastAsia="Times New Roman" w:hAnsi="Times New Roman"/>
          <w:sz w:val="18"/>
          <w:szCs w:val="18"/>
          <w:color w:val="auto"/>
        </w:rPr>
        <w:t xml:space="preserve">. If any Lender requests compensation by the Borrower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the Borrower may, by notice to such Lender (with a copy to the Administrative Agent), suspend the obligation of such Lender to make or continue SOFR Rate Loans from one Interest Period to another Interest Period, or to convert Base Rate Loans into SOFR Rate Loans, until the event or condition giving rise to such request ceases to be in effect (in which case the provisions of </w:t>
      </w:r>
      <w:r>
        <w:rPr>
          <w:rFonts w:ascii="Times New Roman" w:cs="Times New Roman" w:eastAsia="Times New Roman" w:hAnsi="Times New Roman"/>
          <w:sz w:val="18"/>
          <w:szCs w:val="18"/>
          <w:u w:val="single" w:color="auto"/>
          <w:color w:val="auto"/>
        </w:rPr>
        <w:t>Section 3.06(c)</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SOFR Rate Loans</w:t>
      </w:r>
      <w:r>
        <w:rPr>
          <w:rFonts w:ascii="Times New Roman" w:cs="Times New Roman" w:eastAsia="Times New Roman" w:hAnsi="Times New Roman"/>
          <w:sz w:val="18"/>
          <w:szCs w:val="18"/>
          <w:color w:val="auto"/>
        </w:rPr>
        <w:t xml:space="preserve">. If any Lender gives notice to the Borrower (with a copy to the Administrative Agent) that the circumstances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hereof that gave rise to the conversion of such Lender’s SOFR Rate Loans no longer exist (which such Lender agrees to do promptly upon such circumstances ceasing to exist) at a time when SOFR Rate Loans made by other Lenders are outstanding, such Lender’s Base Rate Loans shall be automatically converted, on the first day(s) of the next succeeding Interest Period(s) for such outstanding SOFR Rate Loans, to the extent necessary so that, after giving effect thereto, all Loans of a given Class held by the Lenders of such Class holding SOFR Rate Loans and by such Lender are held pro rata (as to principal amounts, interest rate basis, and Interest Periods) in accordance with their respective Pro Rata Shares.</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ceases to make SOFR Rate Loans as a result of any condition described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the Borrower is required to pay any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(iii) any Lender is a Non-Consenting Lender, (iv) any Lender does not accept an Extension Offer or Refinancing Amendment, (v) any Lender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80"/>
          </w:cols>
          <w:pgMar w:left="440" w:top="270" w:right="479" w:bottom="1440" w:gutter="0" w:footer="0" w:header="0"/>
        </w:sectPr>
      </w:pPr>
    </w:p>
    <w:bookmarkStart w:id="412" w:name="page413"/>
    <w:bookmarkEnd w:id="41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does not consent to the incurrence of any Incremental Facility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the incurrence of any Incremental Equivalent Debt, or (vi) (A) any Lender shall become and continue to be a Defaulting Lender and (B) such Defaulting Lender shall fail to cure the default pursuant to</w:t>
      </w: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within five Business Days after the Borrower’s request that it cure such default, or (vi) any other circumstance exists hereunder that gives the Borrower the right to replace a Lender (other than a Disqualified Lender) as a party hereto, then the Borrower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all of its interests, rights and obligations under this Agreement and the related Loan Documents (other than its existing rights to payments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to one or more Eligible Assignees that shall assume such obligations (any of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2" w:lineRule="exact"/>
        <w:rPr>
          <w:sz w:val="20"/>
          <w:szCs w:val="20"/>
          <w:color w:val="auto"/>
        </w:rPr>
      </w:pPr>
    </w:p>
    <w:p>
      <w:pPr>
        <w:ind w:left="680" w:hanging="244"/>
        <w:spacing w:after="0"/>
        <w:tabs>
          <w:tab w:leader="none" w:pos="6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11.07(b)(iv)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participations in Letters of Credit, accrued interest thereon, accrued fees and all other amounts payable to it hereunder and under the other Loan Documents (including any amounts payable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being replaced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(i) execute and deliver an Assignment and Assumption with respect to such Lender’s Commitment and outstanding Loans and participations in Letters of Credit, and (ii) deliver any Revolving Loan Notes evidencing such Loans to the Borrower or Administrative Agent (or a lost or destroyed note indemnity in lieu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such Lender to execute an Assignment and Assumption or deliver such Revolving Loan Notes evidencing such Loans shall not render such sale and purchase (and the corresponding assignment) invalid and such assignment shall be recorded in the Register and the Revolving Loan Notes evidencing such Loans shall be deemed to be canceled upon such failure;</w:t>
      </w:r>
    </w:p>
    <w:p>
      <w:pPr>
        <w:spacing w:after="0" w:line="187"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6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Lender being a Non-Consenting Lender, the Eligible Assignee shall consent, at the time of such assignment, to each matter in respect of which such Lender being replaced was a Non-Consenting Lender;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60"/>
          </w:cols>
          <w:pgMar w:left="440" w:top="270" w:right="499" w:bottom="1440" w:gutter="0" w:footer="0" w:header="0"/>
        </w:sectPr>
      </w:pPr>
    </w:p>
    <w:bookmarkStart w:id="413" w:name="page414"/>
    <w:bookmarkEnd w:id="413"/>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w:t>
      </w:r>
    </w:p>
    <w:p>
      <w:pPr>
        <w:spacing w:after="0" w:line="183"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(i) the Borrower or the Administrative Agent has requested that the Lenders consent to a departure or waiver of any provisions of the Loan Documents or agree to any amendment thereto (including, without limitation, the incurrence of any Incremental Facility or any Incremental Equivalent Debt), (ii) the consent, waiver or amendment in question requires the agreement of each Lender, all affected Lenders or all the Lenders or all affected Lenders with respect to a certain Class or Classes of the Loans and (iii) the Required Lenders have agreed to such consent, waiver or amendment, then any Lender who does not agree to such consent,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of the Borrower’s obligations under this Article III shall survive termination of the Aggregate Commitments, repayment of all other Obligations hereunder and resignation of the Administrative Agent or the Collateral Agent.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Successor Benchmark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right="200" w:firstLine="436"/>
        <w:spacing w:after="0" w:line="276" w:lineRule="auto"/>
        <w:tabs>
          <w:tab w:leader="none" w:pos="699"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Notwithstanding anything to the contrary herein or in any other Loan Document, if a Benchmark Transition Event and its related Benchmark Replacement Date have occurred prior to the Reference Time in respect of any setting of the then-current Benchmark, then</w:t>
      </w:r>
    </w:p>
    <w:p>
      <w:pPr>
        <w:ind w:left="4" w:hanging="4"/>
        <w:spacing w:after="0" w:line="251" w:lineRule="auto"/>
        <w:tabs>
          <w:tab w:leader="none" w:pos="25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 affected thereby. Notwithstanding anything to the contrary herein or in any other Loan Document and subject to the proviso below in this paragraph</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414" w:name="page415"/>
    <w:bookmarkEnd w:id="41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sentence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187" w:lineRule="exact"/>
        <w:rPr>
          <w:sz w:val="20"/>
          <w:szCs w:val="20"/>
          <w:color w:val="auto"/>
        </w:rPr>
      </w:pPr>
    </w:p>
    <w:p>
      <w:pPr>
        <w:ind w:right="260" w:firstLine="436"/>
        <w:spacing w:after="0" w:line="254"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xml:space="preserve">. In connection with the implementation of a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in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the Administrative Agent and the Lenders shall use commercially reasonable efforts to satisfy Section 1.1001-6 of the United States Treasury Regulations and/or any similar or related IRS guidance to the effect that the implementation of any Benchmark Replacement (together with any Benchmark Replacement Conforming Changes) will not result in a “significant modification” for purposes of Section 1.1001-3 of the United States Treasury Regulations of any obligation of any party under any debt instrument.</w:t>
      </w:r>
    </w:p>
    <w:p>
      <w:pPr>
        <w:spacing w:after="0" w:line="19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any occurrence of a Benchmark Transition Event, a Term SOFR Transition Event and its related Benchmark Replacement Date,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80" w:firstLine="436"/>
        <w:spacing w:after="0" w:line="256"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Tenor</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Adjusted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415" w:name="page416"/>
    <w:bookmarkEnd w:id="41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0" w:lineRule="exact"/>
        <w:rPr>
          <w:sz w:val="20"/>
          <w:szCs w:val="20"/>
          <w:color w:val="auto"/>
        </w:rPr>
      </w:pPr>
    </w:p>
    <w:p>
      <w:pPr>
        <w:ind w:firstLine="436"/>
        <w:spacing w:after="0" w:line="254" w:lineRule="auto"/>
        <w:tabs>
          <w:tab w:leader="none" w:pos="66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the Borrower may revoke any request for a Borrowing of, conversion to or continuation of SOFR Rate Loans to be made, converted or continued during any Benchmark Unavailability Period and, failing that the Borrower will be deemed to have converted any request for a Borrowing of SOFR Rate Loans into a request for a Borrowing of or conversion to Base Rate Loans. During any Benchmark Unavailability Period or at any time that a tenor for the then-current Benchmark is not an Available Tenor,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based upon SOFR (i.e., the then-current Benchmark or such tenor for such Benchmark, as applicable) will not be used in any determination of Base Rate. Furthermore, if any SOFR Rate Loan is outstanding on the date of the Borrower’s receipt of notice of the commencement of a Benchmark Unavailability Period with respect to the SOFR applicable to such SOFR Rate Loan, then on the last day of the Interest Period applicable to such Loan (or the next succeeding Business Day, if such day is not a Business Day), such Loan shall be converted by the Administrative Agent to, and shall constitute, a Base Rate Loan on such day.</w:t>
      </w:r>
    </w:p>
    <w:p>
      <w:pPr>
        <w:spacing w:after="0" w:line="188"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shall, solely with respect to implementation of a Benchmark Replacement and Benchmark Replacement Conforming Changes as expressly set forth herein, supersede any contrary provision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the Closing Date, Borrowings and Letters of Credit</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the Closing Date</w:t>
      </w:r>
      <w:r>
        <w:rPr>
          <w:rFonts w:ascii="Times New Roman" w:cs="Times New Roman" w:eastAsia="Times New Roman" w:hAnsi="Times New Roman"/>
          <w:sz w:val="18"/>
          <w:szCs w:val="18"/>
          <w:color w:val="auto"/>
        </w:rPr>
        <w:t xml:space="preserve">. This Agreement shall become effective on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80" w:hanging="244"/>
        <w:spacing w:after="0"/>
        <w:tabs>
          <w:tab w:leader="none" w:pos="6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copies in .pdf format, unless otherwise specified: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Borrower;</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7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Agreement (pursuant to which the Administrative Agent is authorized to file customary “all asset” UCC-1 financing statements) duly executed by the Borrower and the Loan Parties;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416" w:name="page417"/>
    <w:bookmarkEnd w:id="416"/>
    <w:p>
      <w:pPr>
        <w:ind w:left="440" w:firstLine="419"/>
        <w:spacing w:after="0" w:line="255" w:lineRule="auto"/>
        <w:tabs>
          <w:tab w:leader="none" w:pos="1118"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certificates of good standing from the secretary of state or other applicable office of the state of organization or formation or provincial or territorial corporate registry of the Borrower and each other Loan Party, (B) organizational documents of each Loan Party, certified by the secretary (or equivalent officer) of such Loan Party, (C) resolutions or other applicable action of each Loan Party, as certified by the secretary (or equivalent officer) of such Loan Party, (D) an incumbency certificate and/or other certificate of Responsible Officers of each Loan Party, in each case evidencing the identity, authority and capacity of each Responsible Officer thereof authorized to act as a Responsible Officer in connection with this Agreement and the other Loan Documents to which it is a party or is to be a party on the Closing Date, and (E) a certificate of a Responsible Officer of the Borrower that the conditions specified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below have been satisfied;</w:t>
      </w:r>
    </w:p>
    <w:p>
      <w:pPr>
        <w:spacing w:after="0" w:line="80"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68"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Kirkland &amp; Ellis LLP, counsel to the Loan Parties, with respect to matters of New York law and certain aspects of Delaware law;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312" w:lineRule="auto"/>
        <w:tabs>
          <w:tab w:leader="none" w:pos="1218"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from the chief financial officer or other officer with equivalent duties of the Borrower as to the Solvency (after giving effect to the Transactions on the Closing Date) of the Borrower and their Subsidiaries substantially in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jc w:val="both"/>
        <w:ind w:left="440" w:firstLine="419"/>
        <w:spacing w:after="0" w:line="266" w:lineRule="auto"/>
        <w:tabs>
          <w:tab w:leader="none" w:pos="1268"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Loan Documents required to be entered into pursuant to the terms of this Agreement: (A) a joinder to the Existing Junior Lien Intercreditor Agreement by and among the Administrative Agent, the Collateral Agent, (B) the Revolving Loan Notes, if any, (C) the Agency Fee Letter, (D) the Collateral Agency Fee Letter and (F) the Fee Letter.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certificates or abstracts of title, as applicable, in .pdf format, issued by the relevant Approved Flag Jurisdiction demonstrating that Vessel Collateral is registered in the name of the relevant Loan Party under the relevant Approved Flag Jurisdiction, free of Liens other than Permitted Liens;</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at least three Business Days prior to the Closing Date (i) all documentation and other information about the Loan Parties in order to comply with applicable “know your customer” and anti-money laundering rules and regulations, including the USA PATRIOT Act, and (ii) to the extent the Borrower qualifies as a “legal entity customer” a customary FinCEN beneficial ownership certificate, that in each case has been requested in writing at least ten Business Days prior to the Closing Date.</w:t>
      </w:r>
    </w:p>
    <w:p>
      <w:pPr>
        <w:spacing w:after="0" w:line="179" w:lineRule="exact"/>
        <w:rPr>
          <w:rFonts w:ascii="Times New Roman" w:cs="Times New Roman" w:eastAsia="Times New Roman" w:hAnsi="Times New Roman"/>
          <w:sz w:val="18"/>
          <w:szCs w:val="18"/>
          <w:color w:val="auto"/>
        </w:rPr>
      </w:pPr>
    </w:p>
    <w:p>
      <w:pPr>
        <w:ind w:right="260" w:firstLine="436"/>
        <w:spacing w:after="0" w:line="230" w:lineRule="auto"/>
        <w:tabs>
          <w:tab w:leader="none" w:pos="66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appraisals evidencing the Vessel Collateral Value Amount, as determined by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such valuations to be dated within thirty (30) days of the Closing Date, which evidence demonstrates that on a pro forma basis that upon the Closing Date (giving effect to the loans under the Second Lien Credit Agreement and any Loans under this Agreement requested on the Closing Date), the Collateral Coverage Ratio shall not be less than 1.50:1.00.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6635750</wp:posOffset>
            </wp:positionH>
            <wp:positionV relativeFrom="paragraph">
              <wp:posOffset>-2973705</wp:posOffset>
            </wp:positionV>
            <wp:extent cx="1936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417" w:name="page418"/>
    <w:bookmarkEnd w:id="417"/>
    <w:p>
      <w:pPr>
        <w:ind w:firstLine="436"/>
        <w:spacing w:after="0" w:line="266"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financing statement searches under the Uniform Commercial Code in such jurisdictions as it may reasonably require relating to the Borrower and the Restricted Subsidiaries, demonstrating that the Collateral is (or will be on the Closing Date) free of Liens other than Permitted Liens.</w:t>
      </w:r>
    </w:p>
    <w:p>
      <w:pPr>
        <w:spacing w:after="0" w:line="175" w:lineRule="exact"/>
        <w:rPr>
          <w:rFonts w:ascii="Times New Roman" w:cs="Times New Roman" w:eastAsia="Times New Roman" w:hAnsi="Times New Roman"/>
          <w:sz w:val="18"/>
          <w:szCs w:val="18"/>
          <w:color w:val="auto"/>
        </w:rPr>
      </w:pPr>
    </w:p>
    <w:p>
      <w:pPr>
        <w:ind w:right="260" w:firstLine="436"/>
        <w:spacing w:after="0" w:line="256"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(i) an audited balance sheet and related statements of income (or operations) and cash flows of the Borrower and its Subsidiaries as of and for the year ended December 31, 2023, (ii) consolidated budget of the Borrower and its Subsidiaries for the fiscal year ending December 31, 2024 in form and substance consistent with the budget customarily prepared by management for internal use, (iii) the unaudited financial statements of the Borrower and its Subsidiaries for the fiscal quarter ended March 31, 2024 and (iv) a duly completed compliance certificate in form and substance satisfactory to the Administrative Agent and the Lenders demonstrating compliance with the Financial Covenants on a proforma basis as of the Closing Date.</w:t>
      </w:r>
    </w:p>
    <w:p>
      <w:pPr>
        <w:spacing w:after="0" w:line="187" w:lineRule="exact"/>
        <w:rPr>
          <w:rFonts w:ascii="Times New Roman" w:cs="Times New Roman" w:eastAsia="Times New Roman" w:hAnsi="Times New Roman"/>
          <w:sz w:val="18"/>
          <w:szCs w:val="18"/>
          <w:color w:val="auto"/>
        </w:rPr>
      </w:pPr>
    </w:p>
    <w:p>
      <w:pPr>
        <w:ind w:right="60" w:firstLine="436"/>
        <w:spacing w:after="0" w:line="261" w:lineRule="auto"/>
        <w:tabs>
          <w:tab w:leader="none" w:pos="65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at least three Business Days prior to the Closing Date (i) all documentation and other information about the Loan Parties in order to comply with applicable “know your customer” and anti-money laundering rules and regulations, including the USA PATRIOT Act, and (ii) to the extent the Borrower qualifies as a “legal entity customer” a customary FinCEN beneficial ownership certificate, that in each case has been requested in writing at least ten Business Days prior to the Closing Date.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the Initial Funding Date</w:t>
      </w:r>
      <w:r>
        <w:rPr>
          <w:rFonts w:ascii="Times New Roman" w:cs="Times New Roman" w:eastAsia="Times New Roman" w:hAnsi="Times New Roman"/>
          <w:sz w:val="18"/>
          <w:szCs w:val="18"/>
          <w:color w:val="auto"/>
        </w:rPr>
        <w:t xml:space="preserve">. The obligation of each Lender to extend the Initial Revolving Loans to the Borrower and of each Issuing Bank to issue Letters of Credit hereunder is subject to the satisfaction, or waiver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of each of the following conditions precedent, except as otherwise agreed between the Borrower and the Required Lenders or as set forth herein (such date,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80" w:hanging="244"/>
        <w:spacing w:after="0"/>
        <w:tabs>
          <w:tab w:leader="none" w:pos="6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or copies in .pdf format, unless otherwise specified: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duly executed by the Borrower, in accordance with the requirements hereof;</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Excluded Accounts, Control Agreements covering any Deposit Accounts or Securities Accounts of any Loan Party existing as of the Initial Funding Date (or such longer period (including after the Initial Funding Date) as the Administrative Agent may consent to in its sole discretion);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418" w:name="page419"/>
    <w:bookmarkEnd w:id="418"/>
    <w:p>
      <w:pPr>
        <w:ind w:left="440" w:right="520" w:firstLine="419"/>
        <w:spacing w:after="0" w:line="261" w:lineRule="auto"/>
        <w:tabs>
          <w:tab w:leader="none" w:pos="117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Vessel Mortgage in recordable form, together with documentary evidence that each Vessel Mortgage has been duly filed for recordation as a valid first preferred or priority ship mortgage (subject to Permitted Liens) with respect to each Vessel constituting Vessel Collateral as of the Initial Funding Date, in accordance with the laws of the Approved Flag Jurisdiction on which the Vessel Collateral is registered;</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the chief financial officer or other officer with equivalent duties of the Borrower as to the Solvency (after giving effect to the Transactions on the Closing Date) of the Borrower and its Subsidiaries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from a Responsible Officer of the Borrower that each Vessel constituting Vessel Collateral (other than any Stacked Vessels) is insured in accordance with the requirements of Section 6.19(k) and the other Loan Documents, with the relevant loss payee endorsements required under the Collateral Agreement;</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57" w:lineRule="auto"/>
        <w:tabs>
          <w:tab w:leader="none" w:pos="116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each Vessel constituting Vessel Collateral (excluding any Stacked Vessels) maintains the highest class for a vessel of its type with its classification society, free of any overdue recommendations or conditions affecting class, which status shall be established by a confirmation of class certificate or functional equivalent printout issued by the classification society and dated a date no earlier than thirty</w:t>
      </w:r>
    </w:p>
    <w:p>
      <w:pPr>
        <w:spacing w:after="0" w:line="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Initial Funding Date (or such longer period as the Administrative Agent may agree);</w:t>
      </w:r>
    </w:p>
    <w:p>
      <w:pPr>
        <w:spacing w:after="0" w:line="98"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21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from a firm of independent marine insurance consultant in respect of the insurances on the Vessel Collateral, in form and substance reasonably satisfactory to the Administrative Agent, with the cost of such report to be reimbursed by the Borrower;</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6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of insurance coverage of the Loan Parties evidencing that the Loan Parties are carrying insurance in accordance with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6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Collateral, certificates, if any, representing the Pledged Equity of the Borrower and the Subsidiaries of the Borrower, in each case, accompanied by undated stock powers executed in blank.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specific time periods described in this clause (a) may be modified as consented to by the Administrative Agent.</w:t>
      </w:r>
    </w:p>
    <w:p>
      <w:pPr>
        <w:spacing w:after="0" w:line="227" w:lineRule="exact"/>
        <w:rPr>
          <w:sz w:val="20"/>
          <w:szCs w:val="20"/>
          <w:color w:val="auto"/>
        </w:rPr>
      </w:pPr>
    </w:p>
    <w:p>
      <w:pPr>
        <w:ind w:right="20" w:firstLine="436"/>
        <w:spacing w:after="0" w:line="261" w:lineRule="auto"/>
        <w:tabs>
          <w:tab w:leader="none" w:pos="69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hereunder on the Initial Funding Date (and all fees and expenses required to be paid under the Fee Letter on the Closing Date) and, with respect to expenses and legal fees, to the extent invoiced in reasonable detail at least two Business Days before the Initial Funding Date (except as otherwise reasonably agreed to by the Borrower) shall have been paid in full in cash (or, with respect to amounts due on the Initial Funding Date, will have been paid on the Initial Funding Date from the proceeds of the Revolving Loans).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each Lender that has funded Loans hereunder on the Initial Funding Date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Initial Funding Date specifying its objection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40" w:top="270" w:right="479" w:bottom="1440" w:gutter="0" w:footer="0" w:header="0"/>
        </w:sectPr>
      </w:pPr>
    </w:p>
    <w:bookmarkStart w:id="419" w:name="page420"/>
    <w:bookmarkEnd w:id="419"/>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Conditions to All Borrowings After the Closing Date</w:t>
      </w:r>
      <w:r>
        <w:rPr>
          <w:rFonts w:ascii="Times New Roman" w:cs="Times New Roman" w:eastAsia="Times New Roman" w:hAnsi="Times New Roman"/>
          <w:sz w:val="18"/>
          <w:szCs w:val="18"/>
          <w:color w:val="auto"/>
        </w:rPr>
        <w:t>. Except as set forth herein with respect to Incremental Loans (other than any revolving Incremental Loans borrowed after the establishment of the relevant commitments), the obligation of each Lender to honor a Committed Loan Notice and of each Issuing Bank to issue, amend, renew or extend any Letter of Credit, is subject to the following conditions precedent:</w:t>
      </w:r>
    </w:p>
    <w:p>
      <w:pPr>
        <w:spacing w:after="0" w:line="68" w:lineRule="exact"/>
        <w:rPr>
          <w:sz w:val="20"/>
          <w:szCs w:val="20"/>
          <w:color w:val="auto"/>
        </w:rPr>
      </w:pPr>
    </w:p>
    <w:p>
      <w:pPr>
        <w:ind w:left="4" w:right="40" w:firstLine="436"/>
        <w:spacing w:after="0" w:line="258" w:lineRule="auto"/>
        <w:tabs>
          <w:tab w:leader="none" w:pos="68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such Borrowing or issuance, amendment, renewal or extension of any Letter of Credit;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such representations and warranties specifically refer to an earlier date, they shall be true and correct in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5"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Committed Loan Notice in accordance with the requirements hereof and, if applicable, the applicable Issuing Bank shall have received an Issuance Notice in accordance with the requirements hereof, which Committed Loan Notice or Issuance Notice, as applicable, shall include a representation from the Borrower that immediately prior to, and after giving effect to the extensions of credit requested to be made on such date, on a Pro Forma Basis, the Borrower will be in compliance with the Financial Covenants (based on the last delivered appraisals in the case of the Collateral Coverage Ratio and the RCF Collateral Coverage Ratio, and based on the financial statements in the most recently delivered Compliance Certificate, in the case of the Revolving Credit Facility Net Leverage Ratio);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a Financial Covenant Blocking Event has occurred prior to such Borrowing without the Borrower subsequently delivering a Compliance Certificate evidencing compliance with the Financial Covenants, the Borrower shall provide calculations reasonably satisfactory to the Administrative Agent evidencing such compliance with the Financial Covenants on a Pro Forma Basis.</w:t>
      </w:r>
    </w:p>
    <w:p>
      <w:pPr>
        <w:spacing w:after="0" w:line="188" w:lineRule="exact"/>
        <w:rPr>
          <w:rFonts w:ascii="Times New Roman" w:cs="Times New Roman" w:eastAsia="Times New Roman" w:hAnsi="Times New Roman"/>
          <w:sz w:val="18"/>
          <w:szCs w:val="18"/>
          <w:color w:val="auto"/>
        </w:rPr>
      </w:pPr>
    </w:p>
    <w:p>
      <w:pPr>
        <w:ind w:left="4" w:right="180" w:firstLine="436"/>
        <w:spacing w:after="0" w:line="272" w:lineRule="auto"/>
        <w:tabs>
          <w:tab w:leader="none" w:pos="699"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such Borrowing or the date of any issuance, amendment, renewal or extension of any Letter of Credit, the audited financial statements most recently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shall not have been subject to any “going concern” qualification (excluding any “emphasis of matter” paragraph or any explanatory statement), other than any such statement, qualification or exception resulting from or relating to</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anticipated breach of a Financial Covenant (provided that if such statement is included, the Borrower shall demonstrate in detail reasonably satisfactory to the Administrative Agent its compliance with the Financial Covenants as represented by the Borrower under paragraph (c) above), (ii) an upcoming maturity date or (iii) activities, operations, financial results or liabilities of any Person other than the Loan Parties and the Restricted Subsidiaries (unless waived by the Required Lenders).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64"/>
          </w:cols>
          <w:pgMar w:left="436" w:top="270" w:right="499" w:bottom="1440" w:gutter="0" w:footer="0" w:header="0"/>
        </w:sectPr>
      </w:pPr>
    </w:p>
    <w:bookmarkStart w:id="420" w:name="page421"/>
    <w:bookmarkEnd w:id="420"/>
    <w:p>
      <w:pPr>
        <w:ind w:right="120" w:firstLine="436"/>
        <w:spacing w:after="0" w:line="266"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such Borrowing or the date of any issuance, amendment, renewal or extension of any Letter of Credit, no Blocking Event shall have occurred and be continuing on such date (immediately prior to giving effect to the extensions of credit requested to be made) or would result after giving effect to the extensions of credit requested to be made on such date.</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1.08(g)</w:t>
      </w:r>
      <w:r>
        <w:rPr>
          <w:rFonts w:ascii="Times New Roman" w:cs="Times New Roman" w:eastAsia="Times New Roman" w:hAnsi="Times New Roman"/>
          <w:sz w:val="18"/>
          <w:szCs w:val="18"/>
          <w:color w:val="auto"/>
        </w:rPr>
        <w:t>, each Committed Loan Notice (other than a Committed Loan Notice requesting only a conversion of Loans to another Type or a continuation of SOFR Rate Loans) and each Issuance Notice submitted by the Borrower shall be deemed to be a representation and warranty that the condition specified in Sections 4.03(a) and (b) has been satisfied on and as of the date of the applicable Borrowing or issuance, amendment, renewal or extension of a Letter of Credit.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Borrower represents and warrants with respect to each of the following to the Lenders, the Issuing Banks,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Loan Party and each Restricted Subsidiary that is not an Immaterial Subsidiary,</w:t>
      </w:r>
    </w:p>
    <w:p>
      <w:pPr>
        <w:spacing w:after="0" w:line="162" w:lineRule="exact"/>
        <w:rPr>
          <w:sz w:val="20"/>
          <w:szCs w:val="20"/>
          <w:color w:val="auto"/>
        </w:rPr>
      </w:pPr>
    </w:p>
    <w:p>
      <w:pPr>
        <w:ind w:right="20" w:firstLine="436"/>
        <w:spacing w:after="0" w:line="282" w:lineRule="auto"/>
        <w:tabs>
          <w:tab w:leader="none" w:pos="6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organized or formed, validly existing and in good standing under the Laws of the jurisdiction of its incorporation or organization (to the extent such concepts exist in such jurisdiction);</w:t>
      </w:r>
    </w:p>
    <w:p>
      <w:pPr>
        <w:spacing w:after="0" w:line="161" w:lineRule="exact"/>
        <w:rPr>
          <w:rFonts w:ascii="Times New Roman" w:cs="Times New Roman" w:eastAsia="Times New Roman" w:hAnsi="Times New Roman"/>
          <w:sz w:val="18"/>
          <w:szCs w:val="18"/>
          <w:color w:val="auto"/>
        </w:rPr>
      </w:pPr>
    </w:p>
    <w:p>
      <w:pPr>
        <w:jc w:val="both"/>
        <w:ind w:firstLine="436"/>
        <w:spacing w:after="0" w:line="312" w:lineRule="auto"/>
        <w:tabs>
          <w:tab w:leader="none" w:pos="695"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w:t>
      </w:r>
    </w:p>
    <w:p>
      <w:pPr>
        <w:spacing w:after="0" w:line="139" w:lineRule="exact"/>
        <w:rPr>
          <w:rFonts w:ascii="Times New Roman" w:cs="Times New Roman" w:eastAsia="Times New Roman" w:hAnsi="Times New Roman"/>
          <w:sz w:val="17"/>
          <w:szCs w:val="17"/>
          <w:color w:val="auto"/>
        </w:rPr>
      </w:pPr>
    </w:p>
    <w:p>
      <w:pPr>
        <w:ind w:right="400" w:firstLine="436"/>
        <w:spacing w:after="0" w:line="282" w:lineRule="auto"/>
        <w:tabs>
          <w:tab w:leader="none" w:pos="6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qualified and in good standing (to the extent such concepts exist in such jurisdiction) under the Laws of each jurisdiction where its ownership, lease or operation of properties or the conduct of its business requires such qualification;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applicable Laws;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governmental licenses, authorizations, consents and approvals to operate its business as currently conducted;</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except in each case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the Borrower),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that failure to do so has not resulted in, or is not reasonably expected, individually or in the aggregate, to result in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421" w:name="page422"/>
    <w:bookmarkEnd w:id="4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36"/>
        <w:spacing w:after="0" w:line="282"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each Loan Document to which it is a party has been duly authorized by all necessary corporate or other organizational action.</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by each Loan Party of each Loan Document to which it is a party nor the consummation of the Transactions will,</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terms of any of its Organization Documents;</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contravention of, or the creation of any Lien (other than a Permitted Lien) upon any of the property or assets of such Loan Party or any of the Restricted Subsidiaries under (A) any contractual obligation relating to Material Indebtedness or (B) any order, injunction, writ or decree of any Governmental Authority or any arbitral award to which such Loan Party or its property is subject;</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applicable Law; or</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approval of stockholders, members or partners or any approval or consent of any Person under any contractual obligation relating to Material Indebtedness, except for such approvals or consents which will be obtained on or before the Closing Date;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except with respect to any breach, contravention or violation (but not creation of Liens) referred to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that such breach, contravention or violation has not resulted in, or is not reasonably expected, individually or in the aggregate, to result in a Material Adverse Effect.</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w:t>
      </w:r>
    </w:p>
    <w:p>
      <w:pPr>
        <w:spacing w:after="0" w:line="176" w:lineRule="exact"/>
        <w:rPr>
          <w:sz w:val="20"/>
          <w:szCs w:val="20"/>
          <w:color w:val="auto"/>
        </w:rPr>
      </w:pPr>
    </w:p>
    <w:p>
      <w:pPr>
        <w:ind w:left="680" w:hanging="244"/>
        <w:spacing w:after="0"/>
        <w:tabs>
          <w:tab w:leader="none" w:pos="6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necessary to perfect the Liens on the Collateral granted by the Loan Parties in favor of the Secured Parties;</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approvals, consents, exemptions, authorizations or other actions, notices or filings, the failure of which to obtain or make has not resulted in, or is not reasonably expected, individually or in the aggregate, to result in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422" w:name="page423"/>
    <w:bookmarkEnd w:id="422"/>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36"/>
        <w:spacing w:after="0" w:line="266" w:lineRule="auto"/>
        <w:tabs>
          <w:tab w:leader="none" w:pos="6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there has been no event or circumstance, either individually or in the aggregate, that has resulted in, and is reasonably expected, individually or in the aggregate, to result in a Material Adverse Effect.</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Sponsors, (iii) no assurance can be given that any particular forecasts will be realized and (iv) actual results may differ and such differences may be material.</w:t>
      </w:r>
    </w:p>
    <w:p>
      <w:pPr>
        <w:spacing w:after="0" w:line="187"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if determined adversely would reasonably be expected, individually or in the aggregate, to result in Material Adverse Effect.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or except as has not resulted in, or is not reasonably expected, individually or in the aggregate, to result in a Material Adverse Effect: (a) there are no strikes or other labor disputes against any of the Borrower or the Restricted Subsidiaries pending or, to the knowledge of the Borrower, threatened and (b) hours worked by and payment made based on hours worked to employees of the Borrower or a Restricted Subsidiary have not been in material violation of the Fair Labor Standards Act or any other applicable Laws dealing with wage and hour matters.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 to have such title or other interest has not resulted in, or is not reasonably expected, individually or in the aggregate, to result in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423" w:name="page424"/>
    <w:bookmarkEnd w:id="4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61" w:lineRule="auto"/>
        <w:tabs>
          <w:tab w:leader="none" w:pos="68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w:t>
      </w:r>
    </w:p>
    <w:p>
      <w:pPr>
        <w:spacing w:after="0" w:line="179"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any of the Restricted Subsidiaries has used, released, treated, stored, transported or disposed of Hazardous Materials, at or from any currently or formerly owned or operated real estate or facility relating to its business, in violation of Environmental Law and in a manner that has resulted in, or is reasonably expected, individually or in the aggregate, to result in a Material Adverse Effect.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has not resulted in, or is not reasonably expected, individually or in the aggregate, to result in a Material Adverse Effect, the Borrower and the Restricted Subsidiaries have timely filed all tax returns and reports required to be filed, and have paid all foreign, U.S. federal and state, and other Taxes, assessments, fees and other governmental charges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6" w:lineRule="auto"/>
        <w:tabs>
          <w:tab w:leader="none" w:pos="6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xml:space="preserve"> or has not resulted in, or would not reasonably be expected, individually or in the aggregate, to result in a Material Adverse Effect, each Plan is in compliance with the terms of such Plan and applicable provisions of ERISA, the Code and other applicable Laws.</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5.11(b)</w:t>
      </w:r>
      <w:r>
        <w:rPr>
          <w:rFonts w:ascii="Times New Roman" w:cs="Times New Roman" w:eastAsia="Times New Roman" w:hAnsi="Times New Roman"/>
          <w:sz w:val="18"/>
          <w:szCs w:val="18"/>
          <w:color w:val="auto"/>
        </w:rPr>
        <w:t xml:space="preserve"> or, with respect to each of the below clauses of this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as has not resulted in, or would not reasonably be expected, individually or in the aggregate, to result in a Material Adverse Effect: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or Foreign Plan Event has occurred;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28"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Pension Plan has failed to satisfy the minimum funding standards (within the meaning of Section 412 of the Code or Section 302 of ERISA) applicable to such Pension Plan;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78"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Guarantor nor any of their respective ERISA Affiliates has incurred, or would reasonably be expected to incur, any liability (and no event has occurred which, with the giving of notice under Section 4219 of ERISA, would result in such liability) under Sections 4201 et seq. of ERISA with respect to a Multiemployer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424" w:name="page425"/>
    <w:bookmarkEnd w:id="424"/>
    <w:p>
      <w:pPr>
        <w:ind w:left="440" w:right="440" w:firstLine="419"/>
        <w:spacing w:after="0" w:line="282" w:lineRule="auto"/>
        <w:tabs>
          <w:tab w:leader="none" w:pos="116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Borrower, nor any Guarantor nor any of their respective ERISA Affiliates has engaged in a transaction that is subject to Sections 4069 or 4212(c) of ERISA;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Guarantor nor any ERISA Affiliate has been notified in writing that a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Closing Date, all of the outstanding Equity Interests in the Borrower and each Restricted Subsidiary have been validly issued and are fully paid and (if applicable) non-assessable, and all Equity Interests owned by the Borrower or any Guarantor in any of their respective direct Material Subsidiaries are owned free and clear of all Liens (other than Permitted Liens) of any Person. As of the Closing Date,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(i)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Guarantor is an “investment company” under the Investment Company Act of 1940.</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Closing Date, none of the written information and written data heretofore or contemporaneously furnished in writing by or on behalf of the Borrower or any Guarantor to any Agent or any Lender on or prior to the Closing Date in connection with the transactions contemplated hereby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it being understood that for purposes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such written information and written data shall not include projections,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financial estimates, forecasts and forward-looking information or information of a general economic or general industry nature.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20"/>
          </w:cols>
          <w:pgMar w:left="440" w:top="270" w:right="439" w:bottom="1440" w:gutter="0" w:footer="0" w:header="0"/>
        </w:sectPr>
      </w:pPr>
    </w:p>
    <w:bookmarkStart w:id="425" w:name="page426"/>
    <w:bookmarkEnd w:id="4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Properties; Titles, Etc.</w:t>
      </w:r>
    </w:p>
    <w:p>
      <w:pPr>
        <w:spacing w:after="0" w:line="225" w:lineRule="exact"/>
        <w:rPr>
          <w:sz w:val="20"/>
          <w:szCs w:val="20"/>
          <w:color w:val="auto"/>
        </w:rPr>
      </w:pPr>
    </w:p>
    <w:p>
      <w:pPr>
        <w:ind w:right="60" w:firstLine="436"/>
        <w:spacing w:after="0" w:line="254" w:lineRule="auto"/>
        <w:tabs>
          <w:tab w:leader="none" w:pos="6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Loan Parties have good title to all of the Vessel Collateral, free and clear of all Liens except (i) Liens pursuant to the Loan Documents and the Junior Lien Debt (if any), (ii) Permitted Liens of the type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(oo)</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(iii) Liens being released on the Closing Date. Set forth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hereto is a complete and accurate list of all Vessel Collateral owned by each Loan Party as of the Closing Date and to be subject to the Vessel Mortgage on the Closing Date; as of the Closing Date all Vessel Collateral is duly documented in the name of the applicable Loan Party as shipowner under the laws and flag of the United States and, except as set forth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eligible to operate in the coastwise trade of the United States. Each Loan Party that owns Vessel Collateral is (i) if such Vessel Collateral is one or more Vessels registered under the laws and flag of the United States, a citizen of the United States within the meaning of Section 2(c) of the Shipping Act, 1916, as amended (46 U.S.C. § 50501), eligible to own and operate vessels in the coastwise trade of the United States, or (ii) eligible to own and operate vessels in whatever jurisdiction and trade the Vessel Collateral is qualified, as applicable.</w:t>
      </w:r>
    </w:p>
    <w:p>
      <w:pPr>
        <w:spacing w:after="0" w:line="188"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under the Loan Documents including the last sentence of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all filings and other actions on behalf of the Borrower or, as applicable, any Restricted Subsidiary of the Borrower necessary or desirable to perfect and protect the security interest in the Vessel Collateral created under the Vessel Mortgages have been duly made or taken (or arrangements reasonably satisfactory to the Lenders with respect thereto have been made) and such security interests are in full force and effect, and the Vessel Mortgages create in favor of the Collateral Agent or trustee/mortgagee, as the case may be, for the benefit of the Secured Parties a valid and, together with such filings, recordations and other actions, when effected, perfected first priority security interest (except for Permitted Liens of the type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(tt)</w:t>
      </w:r>
      <w:r>
        <w:rPr>
          <w:rFonts w:ascii="Times New Roman" w:cs="Times New Roman" w:eastAsia="Times New Roman" w:hAnsi="Times New Roman"/>
          <w:sz w:val="18"/>
          <w:szCs w:val="18"/>
          <w:color w:val="auto"/>
        </w:rPr>
        <w:t xml:space="preserve"> of the</w:t>
      </w:r>
    </w:p>
    <w:p>
      <w:pPr>
        <w:spacing w:after="0" w:line="5"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in the Vessel Collateral, securing the payment of the Indebtedness. To the extent that the Vessel Collateral is registered under the laws and flag of the United States, the Vessel Mortgage, executed and delivered, creates in favor of the Collateral Agent, as trustee/mortgagee, a legal, valid, and enforceable first preferred mortgage lien over the whole of the Vessel Collateral therein named and when duly recorded shall constitute a perfected first “preferred mortgage” within the meaning of Section 31301(6)(B) of Title 46 of the United States Code, entitled to the benefits accorded to a first preferred mortgage on a vessel registered under the laws and flag of the United States.</w:t>
      </w:r>
    </w:p>
    <w:p>
      <w:pPr>
        <w:spacing w:after="0" w:line="186"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material properties of the Borrower and its Restricted Subsidiaries that are reasonably necessary for the operation of their businesses (other than Excluded Stacked Vessels) are in good working condition, ordinary wear and tear excepted, and are maintained in accordance with reasonable commercial business standards, except (i) as set forth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or (ii) where the failure to be in such condition or maintain such property could not reasonably be expected to have a Material Adverse Effect.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Borrower and its Subsidiaries, on a consolidated basis, are Solvent.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40"/>
          </w:cols>
          <w:pgMar w:left="440" w:top="270" w:right="519" w:bottom="1440" w:gutter="0" w:footer="0" w:header="0"/>
        </w:sectPr>
      </w:pPr>
    </w:p>
    <w:bookmarkStart w:id="426" w:name="page427"/>
    <w:bookmarkEnd w:id="4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Times New Roman" w:cs="Times New Roman" w:eastAsia="Times New Roman" w:hAnsi="Times New Roman"/>
          <w:sz w:val="18"/>
          <w:szCs w:val="18"/>
          <w:u w:val="single" w:color="auto"/>
          <w:color w:val="auto"/>
        </w:rPr>
        <w:t>Compliance with 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is: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Party; or</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2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 subject of any claim, proceeding, formal notice, investigation or other action by any regulatory or enforcement authority concerning any alleged violation of Sanctions.</w:t>
      </w:r>
    </w:p>
    <w:p>
      <w:pPr>
        <w:spacing w:after="0" w:line="161" w:lineRule="exact"/>
        <w:rPr>
          <w:rFonts w:ascii="Times New Roman" w:cs="Times New Roman" w:eastAsia="Times New Roman" w:hAnsi="Times New Roman"/>
          <w:sz w:val="18"/>
          <w:szCs w:val="18"/>
          <w:color w:val="auto"/>
        </w:rPr>
      </w:pPr>
    </w:p>
    <w:p>
      <w:pPr>
        <w:ind w:right="240" w:firstLine="436"/>
        <w:spacing w:after="0" w:line="258" w:lineRule="auto"/>
        <w:tabs>
          <w:tab w:leader="none" w:pos="69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designed to ensure compliance by the Borrower, its Subsidiaries and their respective directors, officers, employees and agents with applicable Anti-Corruption Laws and Sanctions, and the Borrower, its Subsidiaries and their respective officers and directors and to the knowledge of the Borrower its employees and agents, are in compliance with applicable Anti-Corruption Laws and Sanctions in all material respects and are not knowingly engaged in any activity that would reasonably be expected to result in the Borrower being designated as a Sanctioned Person.</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the Collateral Agent of any Pledged Collateral required to be delivered pursuant to the applicable Collateral Documents), are effective to create in favor of the Collateral Agent for the benefit of the Secured Parties a legal, valid and enforceable perfected Lien (subject to Permitted Liens) with the applicable priority contemplated herein or in the other Loan Documents on all right, title and interest of the Borrower and the applicable Guarantors, respectively, in the Collateral described therein.</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has used the proceeds of the Loans and the Letters of Credit issued hereunder only in compliance (and not in contravention of) applicable Laws and each Loan Document.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shall, and shall (except in the case of the covenants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cause each of the Restricted Subsidiaries to:</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prompt further distribution by the Administrative Agent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each of the following:</w:t>
      </w:r>
    </w:p>
    <w:p>
      <w:pPr>
        <w:spacing w:after="0" w:line="99" w:lineRule="exact"/>
        <w:rPr>
          <w:sz w:val="20"/>
          <w:szCs w:val="20"/>
          <w:color w:val="auto"/>
        </w:rPr>
      </w:pPr>
    </w:p>
    <w:p>
      <w:pPr>
        <w:ind w:firstLine="436"/>
        <w:spacing w:after="0" w:line="261" w:lineRule="auto"/>
        <w:tabs>
          <w:tab w:leader="none" w:pos="68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Audited Annual Financial Statements</w:t>
      </w:r>
      <w:r>
        <w:rPr>
          <w:rFonts w:ascii="Times New Roman" w:cs="Times New Roman" w:eastAsia="Times New Roman" w:hAnsi="Times New Roman"/>
          <w:sz w:val="18"/>
          <w:szCs w:val="18"/>
          <w:color w:val="auto"/>
        </w:rPr>
        <w:t>. Within one hundred twenty (120) days after the end of each fiscal year (commencing with the fiscal year ending December 31, 2024) of the Borrower,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427" w:name="page428"/>
    <w:bookmarkEnd w:id="42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which financial statements shall be accompanied by management’s discussion and analysis describing results of operations in the form customarily prepared by management of the Borrower.</w:t>
      </w:r>
    </w:p>
    <w:p>
      <w:pPr>
        <w:spacing w:after="0" w:line="180" w:lineRule="exact"/>
        <w:rPr>
          <w:sz w:val="20"/>
          <w:szCs w:val="20"/>
          <w:color w:val="auto"/>
        </w:rPr>
      </w:pPr>
    </w:p>
    <w:p>
      <w:pPr>
        <w:ind w:firstLine="436"/>
        <w:spacing w:after="0" w:line="253" w:lineRule="auto"/>
        <w:tabs>
          <w:tab w:leader="none" w:pos="69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but in any event within sixty (60) days after the end of each of the first three fiscal quarters of each fiscal year of the Borrower (commencing with the fiscal quarter ended September 30, 2024), (i) an unaudited consolidated balance sheet of the Borrower and its Subsidiaries as at the end of such fiscal quarter, (ii) the related unaudited consolidated statements of comprehensive income (loss) for such fiscal quarter and for the portion of the fiscal year then ended and (iii) the related unaudited consolidated statement of cash flows for the portion of the fiscal year then ended, setting forth, in each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year-end adjustments and the absence of footnotes, which financial statements, to the extent the Borrower (or Parent Entity or Qualified Reporting Subsidiary) is not required to file a 10-Q, shall be accompanied by management’s discussion and analysis describing results of operations in the form customarily prepared by management of the Borrower. Notwithstanding the foregoing, the Borrower shall deliver to the Administrative Agent, when available, the financial statements described in this paragraph (b) in respect of the fiscal quarter ended June 30,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Compliance Certificate shall be required to be delivered in connection with or in respect of such financial statements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Budget; Projections</w:t>
      </w:r>
      <w:r>
        <w:rPr>
          <w:rFonts w:ascii="Times New Roman" w:cs="Times New Roman" w:eastAsia="Times New Roman" w:hAnsi="Times New Roman"/>
          <w:sz w:val="18"/>
          <w:szCs w:val="18"/>
          <w:color w:val="auto"/>
        </w:rPr>
        <w:t xml:space="preserve">. On or prior to the date financial statements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(commencing with the first fiscal year ending after the Closing Date), a consolidated budget for the following fiscal year on a quarterly basis in form and substance consistent with the budget customarily prepared by management of the Borrower for their internal use.</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 xml:space="preserve">.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above, such supplemental financial information (which need not be audited) as is necessary to eliminate the accounts of Unrestricted Subsidiaries (if any) from such consolidated financial statements.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(a) and (b)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satisfied by furnishing, at the Borrower’s option, (i) the applicable financial statements of (1) any wholly-owned Restricted Subsidiary of the Borrower that, together with its combined and consolidated Restricted Subsidiaries, constitutes substantially all of the assets of the Borrower and its combined consolidated Subsidiaries (a “</w:t>
      </w:r>
      <w:r>
        <w:rPr>
          <w:rFonts w:ascii="Times New Roman" w:cs="Times New Roman" w:eastAsia="Times New Roman" w:hAnsi="Times New Roman"/>
          <w:sz w:val="18"/>
          <w:szCs w:val="18"/>
          <w:b w:val="1"/>
          <w:bCs w:val="1"/>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Reporting Subsidiary</w:t>
      </w:r>
      <w:r>
        <w:rPr>
          <w:rFonts w:ascii="Times New Roman" w:cs="Times New Roman" w:eastAsia="Times New Roman" w:hAnsi="Times New Roman"/>
          <w:sz w:val="18"/>
          <w:szCs w:val="18"/>
          <w:color w:val="auto"/>
        </w:rPr>
        <w:t>”) or (2) any Person of which the Borrower is a Subsidiary (such Person,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or (ii) the Borrower or a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Subsidiary’s or Parent Entity’s Form 10-K or 10-Q, as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428" w:name="page429"/>
    <w:bookmarkEnd w:id="428"/>
    <w:p>
      <w:pPr>
        <w:ind w:left="4" w:right="1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filed with the SEC (or equivalent form whether or not filed with the SEC consistent with the Borrower’s practice as of the Closing Date);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with respect to each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 to the extent such information relates to a Qualified Reporting Subsidiary, or a Parent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Entity, such information is accompanied by customary consolidating information (which need not be audited) that explains in reasonable detail the material differences between the information relating to such Qualified Reporting Subsidiary or Parent Entity, on the one hand, and the information relating to the Borrower and its Subsidiaries, on the other hand; (B) (i) in the event that the Borrower (or any Qualified Reporting Subsidiary or Parent Entity) delivers to the Administrative Agent a Form 10K for any fiscal year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such Form 10-K shall satisfy all requirements of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with respect to such fiscal year to the extent that it contains the information and report and opinion required by such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and (ii) in the event that the Borrower (or any Qualified Reporting Subsidiary or Parent Entity) delivers to the Administrative Agent a Quarterly Report on Form 10-Q for any fiscal quarter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such Form</w:t>
      </w:r>
    </w:p>
    <w:p>
      <w:pPr>
        <w:spacing w:after="0" w:line="1" w:lineRule="exact"/>
        <w:rPr>
          <w:sz w:val="20"/>
          <w:szCs w:val="20"/>
          <w:color w:val="auto"/>
        </w:rPr>
      </w:pPr>
    </w:p>
    <w:p>
      <w:pPr>
        <w:ind w:left="4" w:right="100"/>
        <w:spacing w:after="0" w:line="265" w:lineRule="auto"/>
        <w:rPr>
          <w:sz w:val="20"/>
          <w:szCs w:val="20"/>
          <w:color w:val="auto"/>
        </w:rPr>
      </w:pPr>
      <w:r>
        <w:rPr>
          <w:rFonts w:ascii="Times New Roman" w:cs="Times New Roman" w:eastAsia="Times New Roman" w:hAnsi="Times New Roman"/>
          <w:sz w:val="17"/>
          <w:szCs w:val="17"/>
          <w:color w:val="auto"/>
        </w:rPr>
        <w:t xml:space="preserve">10-Q shall satisfy all requirements of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with respect to such fiscal quarter to the extent that it contains the information required by such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(C) any financial statements required to be delivered pursuant to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shall not be required to contain purchase accounting adjustments and (D) following the consummation of an acquisition in the applicable period or the period thereafter, the obligations in paragraphs (a) and (b) of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with respect to the target of such acquisition may be satisfied by, at the option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-299085</wp:posOffset>
            </wp:positionV>
            <wp:extent cx="285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4" w:hanging="4"/>
        <w:spacing w:after="0" w:line="260" w:lineRule="auto"/>
        <w:tabs>
          <w:tab w:leader="none" w:pos="25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management accounts for the target of such acquisition or (2) omitting the target of such acquisition from the required financial statements of the Borrower and its Subsidiaries for the applicable period and period thereafter.</w:t>
      </w:r>
    </w:p>
    <w:p>
      <w:pPr>
        <w:spacing w:after="0" w:line="181"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upon the request of the Borrower in connection with any material Permitted Investment or other acquisition permitted hereunder, the Administrative Agent may consent to a thirty-day extension to the deadlines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prompt further distribution by the Administrative Agent to each Lender each of the following:</w:t>
      </w:r>
    </w:p>
    <w:p>
      <w:pPr>
        <w:spacing w:after="0" w:line="54" w:lineRule="exact"/>
        <w:rPr>
          <w:sz w:val="20"/>
          <w:szCs w:val="20"/>
          <w:color w:val="auto"/>
        </w:rPr>
      </w:pPr>
    </w:p>
    <w:p>
      <w:pPr>
        <w:ind w:left="4" w:right="260" w:firstLine="436"/>
        <w:spacing w:after="0" w:line="282" w:lineRule="auto"/>
        <w:tabs>
          <w:tab w:leader="none" w:pos="68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No later than fifteen (15) Business Days after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a duly completed Compliance Certificate.</w:t>
      </w:r>
    </w:p>
    <w:p>
      <w:pPr>
        <w:spacing w:after="0" w:line="161" w:lineRule="exact"/>
        <w:rPr>
          <w:rFonts w:ascii="Times New Roman" w:cs="Times New Roman" w:eastAsia="Times New Roman" w:hAnsi="Times New Roman"/>
          <w:sz w:val="18"/>
          <w:szCs w:val="18"/>
          <w:color w:val="auto"/>
        </w:rPr>
      </w:pPr>
    </w:p>
    <w:p>
      <w:pPr>
        <w:jc w:val="both"/>
        <w:ind w:left="4" w:right="180" w:firstLine="436"/>
        <w:spacing w:after="0" w:line="236" w:lineRule="auto"/>
        <w:tabs>
          <w:tab w:leader="none" w:pos="69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VesselsValue</w:t>
      </w:r>
      <w:r>
        <w:rPr>
          <w:rFonts w:ascii="Times New Roman" w:cs="Times New Roman" w:eastAsia="Times New Roman" w:hAnsi="Times New Roman"/>
          <w:sz w:val="26"/>
          <w:szCs w:val="26"/>
          <w:u w:val="single" w:color="auto"/>
          <w:color w:val="auto"/>
          <w:vertAlign w:val="superscript"/>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Provided that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successor thereof) exists at the time such written request is received by the Borrower, within thirty (30) days of the reasonable written request of the Administrative Agent (or by such later date as the Administrative Agent may agree), a statement of the fair market value of each Vessel that is Collateral, as determined by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successor thereof).</w:t>
      </w:r>
    </w:p>
    <w:p>
      <w:pPr>
        <w:spacing w:after="0" w:line="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4"/>
          </w:cols>
          <w:pgMar w:left="436" w:top="270" w:right="439" w:bottom="1440" w:gutter="0" w:footer="0" w:header="0"/>
        </w:sectPr>
      </w:pPr>
    </w:p>
    <w:bookmarkStart w:id="429" w:name="page430"/>
    <w:bookmarkEnd w:id="429"/>
    <w:p>
      <w:pPr>
        <w:ind w:firstLine="436"/>
        <w:spacing w:after="0" w:line="253"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 Filings</w:t>
      </w:r>
      <w:r>
        <w:rPr>
          <w:rFonts w:ascii="Times New Roman" w:cs="Times New Roman" w:eastAsia="Times New Roman" w:hAnsi="Times New Roman"/>
          <w:sz w:val="18"/>
          <w:szCs w:val="18"/>
          <w:color w:val="auto"/>
        </w:rPr>
        <w:t xml:space="preserve">. Concurrently with each Compliance Certificate, copies of all annual, regular, periodic and special reports, proxy statements and registration statements which the Borrower or any Restricted Subsidiary has filed with the SEC subsequent to the delivery of the immediately preceding Compliance Certificate (or, if prior to the delivery of the first Compliance Certificate, subsequent to the Closing Date)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obligations in this</w:t>
      </w:r>
    </w:p>
    <w:p>
      <w:pPr>
        <w:spacing w:after="0" w:line="5" w:lineRule="exact"/>
        <w:rPr>
          <w:rFonts w:ascii="Times New Roman" w:cs="Times New Roman" w:eastAsia="Times New Roman" w:hAnsi="Times New Roman"/>
          <w:sz w:val="18"/>
          <w:szCs w:val="18"/>
          <w:color w:val="auto"/>
        </w:rPr>
      </w:pPr>
    </w:p>
    <w:p>
      <w:pPr>
        <w:ind w:righ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may be satisfied by causing such information to be publicly available on the SEC’s EDGAR website, another publicly available reporting service or the applicable regulator’s website.</w:t>
      </w:r>
    </w:p>
    <w:p>
      <w:pPr>
        <w:spacing w:after="0" w:line="181"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The Borrower will furnish to the Administrative Agent concurrently with each Compliance Certificate or by such later date as reasonably agreed to by the Administrative Agent, written notice of any change (i) in any Loan Party’s legal name (as set forth in its certificate of organization or like document) or (ii) in the location of any Loan Party’s chief executive office or the jurisdiction of incorporation or organization of any Loan Party or in the form of its organization, in each case, occurring subsequent to the delivery of the immediately preceding Compliance Certificate (or, if prior to the delivery of the first Compliance Certificate, subsequent to the Closing Date), in each case to the extent such information is necessary to enable the Collateral Agent to perfect or maintain the perfection or priority of its security interest in the Collateral of the relevant Loan Party.</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Calls</w:t>
      </w:r>
      <w:r>
        <w:rPr>
          <w:rFonts w:ascii="Times New Roman" w:cs="Times New Roman" w:eastAsia="Times New Roman" w:hAnsi="Times New Roman"/>
          <w:sz w:val="18"/>
          <w:szCs w:val="18"/>
          <w:color w:val="auto"/>
        </w:rPr>
        <w:t>. Upon the reasonable request of the Administrative Agent, following delivery of the financial statements pursuant to</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Sections 6.01(a) and (b) above, the Borrower shall promptly hold a conference call (at a time selected by the Borrower and reasonably acceptable to the Administrative Agent) with all Lenders (including both “public” and “private” side lenders) who choose to attend such conference call, at which call shall be reviewed the financial information presented in such financial statements;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more than one such conference call be requested in any fiscal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obligations of this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may be satisfied by (i) the Borrower holding a public earnings call in respect of such fiscal quarter or (ii) the Borrower inviting the Lenders to attend a conference call for such fiscal quarter with other holders of Indebtedness.</w:t>
      </w:r>
    </w:p>
    <w:p>
      <w:pPr>
        <w:spacing w:after="0" w:line="190" w:lineRule="exact"/>
        <w:rPr>
          <w:sz w:val="20"/>
          <w:szCs w:val="20"/>
          <w:color w:val="auto"/>
        </w:rPr>
      </w:pPr>
    </w:p>
    <w:p>
      <w:pPr>
        <w:ind w:right="240" w:firstLine="436"/>
        <w:spacing w:after="0" w:line="281" w:lineRule="auto"/>
        <w:tabs>
          <w:tab w:leader="none" w:pos="66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Such additional information (a) regarding the business operations of any Loan Party or any Restricted Subsidiary as the Administrative Agent may from time to time on its own behalf or on behalf of the Required Lenders reasonably request and (b) as may be reasonably requested by the Administrative Agent or any Lender through the Administrative Agent for purposes of compliance with applicable “know your customer” and anti-money laundering rules and regulations, including the USA PATRIOT Act and the Beneficial Ownership Regulation.</w:t>
      </w:r>
    </w:p>
    <w:p>
      <w:pPr>
        <w:spacing w:after="0" w:line="16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(or any Qualified Reporting Subsidiary or Parent Entity) posts such documents, or provides a link thereto, on the Borrower’s (or any Qualified Reporting Subsidiary’s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430" w:name="page431"/>
    <w:bookmarkEnd w:id="4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Parent Entity’s) website on the Internet, or (ii) on which such documents are posted on the Borrower’s behalf on Syndtrak or another relevant website, if any, to which each Lender and the Administrative Agent have access (whether a commercial, third-party website or whether sponsored by the Administrative Agent). Each Lender shall be solely responsible for timely accessing posted documents or requesting delivery of paper copies of such documents from the Administrative Agent and maintaining its copies of such documents.</w:t>
      </w:r>
    </w:p>
    <w:p>
      <w:pPr>
        <w:spacing w:after="0" w:line="18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Lead Arranger will make available to the Lenders materials and/or information provided by or on behalf of the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Syndtrak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the Lead Arranger and the Lenders to treat such Borrower Materials as containing only Public-Side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(iii) all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marked “PUBLIC” are permitted to be made available through a portion of the Platform designated “Public-Side Information”; and (iv) the Administrative Agent and the Lead Arranger shall treat any Borrower Materials that are not marked “PUBLIC” as being suitable only for posting on a portion of the Platform not designated “Public-Side Information.”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obtains actual knowledge thereof, notify the Administrative Agent for prompt further notification by the Administrative Agent to each Lender of:</w:t>
      </w:r>
    </w:p>
    <w:p>
      <w:pPr>
        <w:spacing w:after="0" w:line="162" w:lineRule="exact"/>
        <w:rPr>
          <w:sz w:val="20"/>
          <w:szCs w:val="20"/>
          <w:color w:val="auto"/>
        </w:rPr>
      </w:pPr>
    </w:p>
    <w:p>
      <w:pPr>
        <w:ind w:left="680" w:hanging="244"/>
        <w:spacing w:after="0"/>
        <w:tabs>
          <w:tab w:leader="none" w:pos="6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any Default or Event of Default; and</w:t>
      </w:r>
    </w:p>
    <w:p>
      <w:pPr>
        <w:spacing w:after="0" w:line="22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or (iii) the occurrence of any ERISA Event or Foreign Plan Event that, in any such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has resulted, or has a reasonable probability of being determined adversely and could reasonably be expected, individually or in the aggregate, to result in a Material Adverse Effect.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431" w:name="page432"/>
    <w:bookmarkEnd w:id="431"/>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Payment of Certain Taxes</w:t>
      </w:r>
      <w:r>
        <w:rPr>
          <w:rFonts w:ascii="Times New Roman" w:cs="Times New Roman" w:eastAsia="Times New Roman" w:hAnsi="Times New Roman"/>
          <w:sz w:val="18"/>
          <w:szCs w:val="18"/>
          <w:color w:val="auto"/>
        </w:rPr>
        <w:t>. Pay, discharge or otherwise satisfy, as the same shall become due and payable, all obligations and liabilities in respect of Taxes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of the Borrower</w:t>
      </w:r>
      <w:r>
        <w:rPr>
          <w:rFonts w:ascii="Times New Roman" w:cs="Times New Roman" w:eastAsia="Times New Roman" w:hAnsi="Times New Roman"/>
          <w:sz w:val="18"/>
          <w:szCs w:val="18"/>
          <w:color w:val="auto"/>
        </w:rPr>
        <w:t>. Preserve, renew and maintain in full force and effect its legal existence under the Laws of the jurisdiction of its incorporation or organization, except as otherwise expressly permitted under this Agreement.</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or cause to be maintained with insurance companies that the Borrower believe (in the good faith judgment of their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sets forth a true, complete and accurate description of all material insurance maintained by or on behalf of the Borrower or the other Loan Parties as of the Closing Date.</w:t>
      </w:r>
    </w:p>
    <w:p>
      <w:pPr>
        <w:spacing w:after="0" w:line="19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Initial Funding Date, the Borrower shall use commercially reasonable efforts such that each such policy of insurance (as appropriate and is customary and with respect to jurisdictions outside the United States, to the extent available in such jurisdiction without undue cost or expense),</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names the Collateral Agent and the Administrative Agent, on behalf of the Secured Parties, as an additional insured thereunder (with respect to liability insurance) and/or (B) to the extent covering Collateral in the case of property insurance, contains a loss payable clause or endorsement that names the Collateral Agent and the Administrative Agent, on behalf of the Secured Parties, as the loss payee thereunder;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80"/>
          </w:cols>
          <w:pgMar w:left="440" w:top="270" w:right="479" w:bottom="1440" w:gutter="0" w:footer="0" w:header="0"/>
        </w:sectPr>
      </w:pPr>
    </w:p>
    <w:bookmarkStart w:id="432" w:name="page433"/>
    <w:bookmarkEnd w:id="432"/>
    <w:p>
      <w:pPr>
        <w:ind w:left="440" w:right="80" w:firstLine="419"/>
        <w:spacing w:after="0" w:line="254" w:lineRule="auto"/>
        <w:tabs>
          <w:tab w:leader="none" w:pos="112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provides that it shall not be cancelled, modified (such modification, to the extent causing a material impairment or otherwise adverse effect on the interests of the Lenders) or not renewed (x) by reason of nonpayment of premium except upon not less than 10 days’ prior written notice thereof by the insurer to the Administrative Agent (giving the Administrative Agent the right to cure defaults in the payment of premiums) or (y) for any other reason except upon not less than thirty (30) days’ prior written notice thereof by the insurer to the Administrative Agent. The Borrower shall deliver to the Administrative Agent, prior to the cancellation, modification (such modification, to the extent causing a material impairment or otherwise adverse effect on the interests of the Lenders) or non-renewal of any such policy of insurance, a copy of a renewal or replacement policy (or other evidence of renewal of a policy previously delivered to the Administrative Agent, including an insurance binder) together with evidence reasonably satisfactory to the Administrative Agent of payment of the premium therefor;</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absent a Specified Event of Default that is continuing, any proceeds of any insurance shall be delivered by the insurer(s)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or one of their Subsidiaries and applied in accordance with this Agreement and (B) this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shall not be applicable to (1) business interruption insurance, workers’ compensation policies, employee liability policies, fiduciary policies, directors and officers policies and certain other policies as agreed between the Borrower and the Administrative Agent or (2) the extent unavailable from the relevant insurer after the Borrower’s use of their commercially reasonable efforts.</w:t>
      </w:r>
    </w:p>
    <w:p>
      <w:pPr>
        <w:spacing w:after="0" w:line="18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Sections 6.01(a) and 6.01(b).</w:t>
      </w:r>
    </w:p>
    <w:p>
      <w:pPr>
        <w:spacing w:after="0" w:line="187"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6.19(h)</w:t>
      </w:r>
      <w:r>
        <w:rPr>
          <w:rFonts w:ascii="Times New Roman" w:cs="Times New Roman" w:eastAsia="Times New Roman" w:hAnsi="Times New Roman"/>
          <w:sz w:val="18"/>
          <w:szCs w:val="18"/>
          <w:color w:val="auto"/>
        </w:rPr>
        <w:t xml:space="preserve"> in respect of Vessels, permit representatives of the Administrative Agent and the Required Lenders to visit and inspect any of their properties (subject to the rights of lessees or sublessees thereof and subject to any restrictions or limitations in the applicable lease, sublease or other written occupancy arrangement pursuant to which any such Subsidiary party),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80"/>
          </w:cols>
          <w:pgMar w:left="440" w:top="270" w:right="479" w:bottom="1440" w:gutter="0" w:footer="0" w:header="0"/>
        </w:sectPr>
      </w:pPr>
    </w:p>
    <w:bookmarkStart w:id="433" w:name="page434"/>
    <w:bookmarkEnd w:id="4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advance written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excluding any such visits and inspections during the continuation of an Event of Default, only the Administrative Agent on behalf of the Lenders may exercise rights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the Administrative Agent shall not exercise such rights more often than two times during any calendar year absent the continuation of an Event of Default and one such time shall be at the Borrower’s expense and (b) when an Event of Default is continuing, the Administrative Agent or the Required Lenders (or any of their respective representatives) may do any of the foregoing at the expense of the Borrower at any time during normal business hours and upon reasonable advance written notice. Notwithstanding anything to the contrary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none of the Loan Parties or their Restricted Subsidiaries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The Administrative Agent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 At the Borrower’s expense, subject to any applicable limitation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 Document (including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take the following actions:</w:t>
      </w:r>
    </w:p>
    <w:p>
      <w:pPr>
        <w:spacing w:after="0" w:line="99" w:lineRule="exact"/>
        <w:rPr>
          <w:sz w:val="20"/>
          <w:szCs w:val="20"/>
          <w:color w:val="auto"/>
        </w:rPr>
      </w:pPr>
    </w:p>
    <w:p>
      <w:pPr>
        <w:ind w:right="760" w:firstLine="436"/>
        <w:spacing w:after="0" w:line="282"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of the occurrence of any Grant Event (or such longer period as the Administrative Agent may agree in its reasonable discretion),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to execute and deliver the Guaranty (or a joinder thereto);</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2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to execute and deliver the Collateral Agreement (or a supplement thereto, including a Collateral Agreement Supplement);</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to execute and deliver, to the extent applicable, the Vessel Mortgage;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74" w:lineRule="auto"/>
        <w:tabs>
          <w:tab w:leader="none" w:pos="1118"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Restricted Subsidiary subject of the Grant Event (and any Loan Party of which such Restricted Subsidiary is a direct Subsidiary) to (A) if such Restricted Subsidiary has “opted into” Article 8 of the Uniform Commercial Code, deliver any and all certificates representing its Equity Interests (to the extent certificated) that constitute Collateral and are required to be pledged pursuant to the Collateral Agreement, accompanied by undated stock powers or other appropriate instruments of transfer executed in blank (or any other documents customary under local law), (B) [reserved] and (C) deliver all instruments evidencing Indebtedness held by such Restricted Subsidiary that constitute Collateral and are required to be pledged pursuant to the Collateral Agreement, endorsed in blank, to the Collateral Agent; and</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60"/>
          </w:cols>
          <w:pgMar w:left="440" w:top="268" w:right="499" w:bottom="1440" w:gutter="0" w:footer="0" w:header="0"/>
        </w:sectPr>
      </w:pPr>
    </w:p>
    <w:bookmarkStart w:id="434" w:name="page435"/>
    <w:bookmarkEnd w:id="434"/>
    <w:p>
      <w:pPr>
        <w:ind w:left="400" w:right="20" w:firstLine="419"/>
        <w:spacing w:after="0" w:line="255" w:lineRule="auto"/>
        <w:tabs>
          <w:tab w:leader="none" w:pos="1128"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reasonable request of the Administrative Agent, take and cause the Restricted Subsidiary the subject of the Grant Event and each direct or indirect parent of such Restricted Subsidiary that is required to become a Guarantor pursuant to the Collateral Agreement that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of such Restricted Subsidiary to the extent required by the Loan Documents, enforceable against all third parties in accordance with their terms, except as such enforceability may be limited by Debtor Relief Laws and by general principles of equity (regardless of whether enforcement is sought in equity or at law).</w:t>
      </w:r>
    </w:p>
    <w:p>
      <w:pPr>
        <w:spacing w:after="0" w:line="18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436"/>
        <w:spacing w:after="0" w:line="254" w:lineRule="auto"/>
        <w:tabs>
          <w:tab w:leader="none" w:pos="64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other than with respect to Excluded Accounts, maintain at all times all cash and Cash Equivalents of the Borrower and any Loan Parties in Deposit Accounts or Securities Accounts with either (i) any financial institution that is a Lender or an Affiliate of a Lender or (ii) any financial institution that has entered into a Control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apply with respect to any Deposit Accounts or Securities Accounts of any Loan Party existing as of the Initial Funding Date (or such longer period as the Administrative Agent may consent to in its sole discretion) and, in respect of any other Deposit Account or Securities Account opened or acquired after the Closing Date, for a period of sixty (60) days after the date of opening or acquisition thereof and, in respect of any Deposit Accounts or Securities Account of any Loan Party that cease to be held with a Lender or an Affiliate of a Lender on account of the applicable Lender ceasing to be a Lender, within sixty (60) days after the Borrower receives written notice that such Lender has ceased to be a Lender hereunder (each such bank account, a “</w:t>
      </w:r>
      <w:r>
        <w:rPr>
          <w:rFonts w:ascii="Times New Roman" w:cs="Times New Roman" w:eastAsia="Times New Roman" w:hAnsi="Times New Roman"/>
          <w:sz w:val="18"/>
          <w:szCs w:val="18"/>
          <w:b w:val="1"/>
          <w:bCs w:val="1"/>
          <w:color w:val="auto"/>
        </w:rPr>
        <w:t>Blocked Account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Vessel Collateral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firstLine="419"/>
        <w:spacing w:after="0" w:line="253" w:lineRule="auto"/>
        <w:tabs>
          <w:tab w:leader="none" w:pos="103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of the acquisition (including by way of construction or through a Permitted Asset Swap) (or by such later date as the Administrative Agent may agree to in its sole discretion) by the Borrower or any Restricted Subsidiary of any Vessel (excluding any Excluded Vessel) the Borrower or such Restricted Subsidiary shall mortgage, substantially on terms and conditions set forth in the Vessel Mortgage (or the applicable foreign law equivalent in form and substance reasonably acceptable to the Borrower, the Administrative Agent and Collateral Agent), such Vessel so as to grant to the Collateral Agent, for the ratable benefit of the Secured Parties, Vessel Mortgage Liens (or the foreign equivalent in form and substance reasonably acceptable to the Borrower, the Administrative Agent and Collateral Agent) thereon and first priority (subject to Permitted Liens) security interests (or the foreign equivalent in form and substance reasonably acceptable to the Borrower, the Administrative Agent and Collateral Agent) in all related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if the Restricted Subsidiary that has acquired any such Vessel that is required to become Collateral is not already a Guarantor, such Restricted Subsidiary of the Borrower shall become a Guarantor. No Loan Party shall be required to grant a Lien in any Excluded Vessel to the Collateral Agent for the benefit of the Secured Parties; provided, however,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20"/>
          </w:cols>
          <w:pgMar w:left="480" w:top="270" w:right="499" w:bottom="1440" w:gutter="0" w:footer="0" w:header="0"/>
        </w:sectPr>
      </w:pPr>
    </w:p>
    <w:bookmarkStart w:id="435" w:name="page436"/>
    <w:bookmarkEnd w:id="435"/>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Loan Party or Restricted Subsidiary may elect to grant a Lien in any Excluded Vessel to the Collateral Agent for the benefit of the Secured Parties, including for purposes of including any such Vessel in the calculation of the Collateral Coverage Ratio and the RCF Collateral Coverage Ratio. In the event any Loan Party or Restricted Subsidiary makes such election, such Loan Party or Restricted Subsidiary shall satisfy the requirements of this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xml:space="preserve"> in respect of such Vessels (assuming, for such purpose, that such Vessel does not constitute an Excluded Vessel).</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 [Reserved].</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any applicable limitations in any Loan Document, and in each case at the expense of the Borrower, promptly upon the reasonable request by the Administrative Agent or Collateral Agent (a) correct any material defect or error that may be discovered in the execution, acknowledgment, filing, publication or recordation of any Collateral Document or other document or instrument relating to any Collateral and (b) do, execute, acknowledge, deliver, record, re-record, file, re-file, register, re-register, publish and re-publish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unless otherwise expressly elected by the Borrower, none of the Borrower nor any Restricted Subsidiary will be required to, nor will the Administrative Agent or the Collateral Agent be authorized,</w:t>
      </w:r>
    </w:p>
    <w:p>
      <w:pPr>
        <w:spacing w:after="0" w:line="162" w:lineRule="exact"/>
        <w:rPr>
          <w:sz w:val="20"/>
          <w:szCs w:val="20"/>
          <w:color w:val="auto"/>
        </w:rPr>
      </w:pPr>
    </w:p>
    <w:p>
      <w:pPr>
        <w:ind w:left="680" w:hanging="244"/>
        <w:spacing w:after="0"/>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security interests in the Collateral other than by,</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07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asset” filings pursuant to the Uniform Commercial Code in the office of the secretary of state (or similar central filing office) of the relevant state(s) and filing and filings in the applicable real estate records with respect to any applicable real property pursuant to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(as applicable);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Mortgage in respect of Vessel Collateral; and</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to the Administrative Agent or Collateral Agent to be held in its possession of all Collateral consisting of (A) certificates representing Pledged Equity, and (B) all promissory notes and other instruments constituting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promissory notes and instruments having an aggregate principal amount equal to or less than the greater of 5% of Closing Date Consolidated Net Tangible Assets and 5% of Consolidated Net Tangible Assets determined as of the most recently completed fiscal quarter need not be delivered to the Collateral Agent; in each case, in the manner provided in the Collateral Documents;</w:t>
      </w:r>
    </w:p>
    <w:p>
      <w:pPr>
        <w:spacing w:after="0" w:line="183"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enter into any control agreement, lockbox or similar arrangement with respect to any commodities account or other bank account (other than a Deposit Account or Securities Account to the extent required by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 or otherwise take or perfect a security interest with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436" w:name="page437"/>
    <w:bookmarkEnd w:id="436"/>
    <w:p>
      <w:pPr>
        <w:ind w:firstLine="436"/>
        <w:spacing w:after="0" w:line="266" w:lineRule="auto"/>
        <w:tabs>
          <w:tab w:leader="none" w:pos="68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take any action (i) outside of the United States with respect to any assets located outside of the United States, (ii) in any non-U.S. jurisdiction or (iii) required by the laws of any non-U.S. jurisdiction to create, perfect or maintain any security interest or otherwise (unless, in each case, expressly elected by the Borrower in respect of the Vessel Collateral); or</w:t>
      </w:r>
    </w:p>
    <w:p>
      <w:pPr>
        <w:spacing w:after="0" w:line="175"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applicable Collateral Agreement or the relevant Collateral Document.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Further, the Loan Parties shall not be required to perform any periodic collateral reporting, if any, with any frequency greater than once per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limit the obligation of the Loan Parties to comply with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by action of its Board of Directors,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68" w:lineRule="exact"/>
        <w:rPr>
          <w:sz w:val="20"/>
          <w:szCs w:val="20"/>
          <w:color w:val="auto"/>
        </w:rPr>
      </w:pPr>
    </w:p>
    <w:p>
      <w:pPr>
        <w:ind w:left="680" w:hanging="244"/>
        <w:spacing w:after="0"/>
        <w:tabs>
          <w:tab w:leader="none" w:pos="6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such designation (or re-designation), 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resulting from the designation of such Restricted Subsidiary as an Unrestricted Subsidiary as described above is a Permitted Investment or other Investment permitted hereunder;</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designation would result in Vessel Collateral being owned by an Unrestricted Subsidiary, immediately before and after such designation determined after giving effect to any concurrent reduction in the Commitments (or the commitments under any Incremental Facilities), the RCF Collateral Release Ratio must be greater than or equal to 5.0:1.0.</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designation of any Subsidiary as an Unrestricted Subsidiary shall constitute an Investment by the Borrower therein at the date of designation in an amount equal to the Fair Market Value of the Borrower’s or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437" w:name="page438"/>
    <w:bookmarkEnd w:id="43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6.14 </w:t>
      </w:r>
      <w:r>
        <w:rPr>
          <w:rFonts w:ascii="Times New Roman" w:cs="Times New Roman" w:eastAsia="Times New Roman" w:hAnsi="Times New Roman"/>
          <w:sz w:val="18"/>
          <w:szCs w:val="18"/>
          <w:u w:val="single" w:color="auto"/>
          <w:color w:val="auto"/>
        </w:rPr>
        <w:t>Compliance with Anti-Corruption Laws and Sanctions.</w:t>
      </w:r>
    </w:p>
    <w:p>
      <w:pPr>
        <w:spacing w:after="0" w:line="225" w:lineRule="exact"/>
        <w:rPr>
          <w:sz w:val="20"/>
          <w:szCs w:val="20"/>
          <w:color w:val="auto"/>
        </w:rPr>
      </w:pPr>
    </w:p>
    <w:p>
      <w:pPr>
        <w:ind w:left="4" w:right="80" w:firstLine="436"/>
        <w:spacing w:after="0" w:line="282" w:lineRule="auto"/>
        <w:tabs>
          <w:tab w:leader="none" w:pos="68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(and the Borrower shall ensure that no other Relevant Person will) take any action, make any omission or use (directly or knowingly indirectly) any Borrowing or Letter of Credit:</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082"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breach of Sanctions;</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that causes (or will cause) a breach of Sanctions by any Lender; or</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72"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funding, financing or facilitating any activities, business or transaction of or with any Restricted Party, except to the extent permitted for a Person required to comply with Sanctions.</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(and the Borrower shall ensure that no other Relevant Person will) take any action or make any omission that results, or is reasonably likely to result, in it or any Lender becoming a Restricted Party.</w:t>
      </w:r>
    </w:p>
    <w:p>
      <w:pPr>
        <w:spacing w:after="0" w:line="16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maintain in effect and enforce policies and procedures designed to ensure compliance by the Borrower, its Subsidiaries and their respective directors, officers, employees and agents with applicable Anti-Corruption Laws and Sanctions.</w:t>
      </w:r>
    </w:p>
    <w:p>
      <w:pPr>
        <w:spacing w:after="0" w:line="161"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9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requirements set forth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as they pertain to compliance by any Foreign Subsidiary with Anti-Corruption Laws and Sanctions are limited by any Law applicable to such Foreign Subsidiary in its relevant local jurisdiction.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36"/>
        <w:spacing w:after="0" w:line="282" w:lineRule="auto"/>
        <w:tabs>
          <w:tab w:leader="none" w:pos="68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and will cause each of the Restricted Subsidiaries to, take each of the actions set forth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within the time period prescribed therefor on such schedule (as such time period may be extended by the Administrative Agent).</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date that is no later than ninety-one (91) days prior to the maturity date under the existing Second Lien Credit Agreement, Indebtedness under the Second Lien Credit Agreement is to be repaid or otherwise refinanced with the proceeds of or exchanged for Second Lien Credit Agreement Refinancing Indebtedness or the maturity date thereunder otherwise extended such that, after giving effect to such refinancing or extension, the maturity date of any such resulting Indebtedness is no earlier than ninety-one (91) days after the then-latest Maturity Date.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Revolving Loans will be used for general corporate purposes of the Borrower and the Restricted Subsidiaries, including</w:t>
      </w:r>
    </w:p>
    <w:p>
      <w:pPr>
        <w:spacing w:after="0" w:line="27" w:lineRule="exact"/>
        <w:rPr>
          <w:rFonts w:ascii="Times New Roman" w:cs="Times New Roman" w:eastAsia="Times New Roman" w:hAnsi="Times New Roman"/>
          <w:sz w:val="18"/>
          <w:szCs w:val="18"/>
          <w:color w:val="auto"/>
        </w:rPr>
      </w:pPr>
    </w:p>
    <w:p>
      <w:pPr>
        <w:ind w:left="4" w:right="140" w:hanging="4"/>
        <w:spacing w:after="0" w:line="260" w:lineRule="auto"/>
        <w:tabs>
          <w:tab w:leader="none" w:pos="24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(b) acquisitions that are not prohibited by the terms of this Agreement (including Permitted Investments) and (c) standby letters of credit.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64"/>
          </w:cols>
          <w:pgMar w:left="436" w:top="270" w:right="499" w:bottom="1440" w:gutter="0" w:footer="0" w:header="0"/>
        </w:sectPr>
      </w:pPr>
    </w:p>
    <w:bookmarkStart w:id="438" w:name="page439"/>
    <w:bookmarkEnd w:id="438"/>
    <w:p>
      <w:pPr>
        <w:ind w:right="500" w:firstLine="436"/>
        <w:spacing w:after="0" w:line="282" w:lineRule="auto"/>
        <w:tabs>
          <w:tab w:leader="none" w:pos="6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Letters of Credit will be used by the Borrower for general corporate purposes of the Borrower and the Restricted Subsidiaries, including supporting transactions not prohibited by the Loan Documents.</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Incremental Loans may be used as specified in the applicable Incremental Amendment and otherwise in accordance with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Conduct all transactions (including the purchase, sale, lease or exchange of any property or the rendering of any service) with any Affiliate of the Borrower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involving aggregate value in excess of $5.0 million, on terms which taken as a whole are not materially less favorable to the Borrower or such Restricted Subsidiary, as the case may be, than those that could be obtained in a comparable transaction at the time of such transaction or the execution of the agreement providing for such transaction in arm’s length dealings with a Person who is not such an Affiliate or, if in the good faith judgment of the Board of Directors of the Borrower no comparable transaction is available with which to compare such Affiliate Transaction, such Affiliate Transaction is otherwise fair to the Borrower or such Restricted Subsidiary from a financial point of view.</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Any Affiliate Transaction shall be deemed to have satisfied the requirements set forth in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if such Affiliate Transaction is approved by a majority of the Disinterested Directors of the Borrower, if 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the preceding paragraph will not apply to:</w:t>
      </w:r>
    </w:p>
    <w:p>
      <w:pPr>
        <w:spacing w:after="0" w:line="131" w:lineRule="exact"/>
        <w:rPr>
          <w:sz w:val="20"/>
          <w:szCs w:val="20"/>
          <w:color w:val="auto"/>
        </w:rPr>
      </w:pPr>
    </w:p>
    <w:p>
      <w:pPr>
        <w:ind w:left="960" w:hanging="532"/>
        <w:spacing w:after="0"/>
        <w:tabs>
          <w:tab w:leader="none" w:pos="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or any Permitted Investment;</w:t>
      </w:r>
    </w:p>
    <w:p>
      <w:pPr>
        <w:spacing w:after="0" w:line="130"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transfer or sale of (a) Equity Interests,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Advances and any waiver or transaction with respect thereto;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0"/>
          </w:cols>
          <w:pgMar w:left="440" w:top="270" w:right="479" w:bottom="1440" w:gutter="0" w:footer="0" w:header="0"/>
        </w:sectPr>
      </w:pPr>
    </w:p>
    <w:bookmarkStart w:id="439" w:name="page440"/>
    <w:bookmarkEnd w:id="439"/>
    <w:p>
      <w:pPr>
        <w:ind w:left="540" w:right="240" w:hanging="532"/>
        <w:spacing w:after="0" w:line="281" w:lineRule="auto"/>
        <w:tabs>
          <w:tab w:leader="none" w:pos="540"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any transaction between or among the Borrower and any Restricted Subsidiary (or entity that becomes a Restricted Subsidiary as a result of such transaction), or between or among Restricted Subsidiaries and (b) any merger, amalgamation or consolidation with any Parent Entity,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Parent Entity shall have no material liabilities and no material assets other than cash, Cash Equivalents and the Equity Interests of the Borrower and such merger, amalgamation or consolidation is otherwise permitted under this Agreement;</w:t>
      </w:r>
    </w:p>
    <w:p>
      <w:pPr>
        <w:spacing w:after="0" w:line="69" w:lineRule="exact"/>
        <w:rPr>
          <w:rFonts w:ascii="Times New Roman" w:cs="Times New Roman" w:eastAsia="Times New Roman" w:hAnsi="Times New Roman"/>
          <w:sz w:val="17"/>
          <w:szCs w:val="17"/>
          <w:color w:val="auto"/>
        </w:rPr>
      </w:pPr>
    </w:p>
    <w:p>
      <w:pPr>
        <w:ind w:left="540" w:right="80" w:hanging="532"/>
        <w:spacing w:after="0" w:line="258"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Borrower, any Parent Entity or any Restricted Subsidiary (whether directly or indirectly and including through their Controlled Investment Affiliates or Immediate Family Members);</w:t>
      </w:r>
    </w:p>
    <w:p>
      <w:pPr>
        <w:spacing w:after="0" w:line="88"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and performance of obligations of the Borrower or any of the Restricted Subsidiaries under the terms of any transaction arising out of, and any payments pursuant to or for purposes of funding, any agreement or instrument in effect as of or on the Closing Date, as these agreements and instruments may be amended, modified, supplemented, extended, renewed or refinanced from time to time in accordance with the other terms of this covenant or to the extent not disadvantageous in any material respect in the reasonable determination of the Borrower to the Lenders when taken as a whole as compared to the applicable agreement as in effect on the Closing Date;</w:t>
      </w:r>
    </w:p>
    <w:p>
      <w:pPr>
        <w:spacing w:after="0" w:line="92" w:lineRule="exact"/>
        <w:rPr>
          <w:rFonts w:ascii="Times New Roman" w:cs="Times New Roman" w:eastAsia="Times New Roman" w:hAnsi="Times New Roman"/>
          <w:sz w:val="18"/>
          <w:szCs w:val="18"/>
          <w:color w:val="auto"/>
        </w:rPr>
      </w:pPr>
    </w:p>
    <w:p>
      <w:pPr>
        <w:ind w:left="540" w:right="520" w:hanging="532"/>
        <w:spacing w:after="0" w:line="266"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81"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vendors, clients, joint venture partners, suppliers, contractors, distributors or purchasers or sellers of goods or services, in each case in the ordinary course of business or consistent with past practice, which are fair to the Borrower and the Restricted Subsidiaries, in the reasonable determination of the Borrower, or are on terms, taken as a whole, that are not materially less favorable as might reasonably have been obtained at such time from an unaffiliated party;</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Borrower or any Restricted Subsidiary and any Person (other than an Unrestricted Subsidiary) that is an Affiliate of the Borrower or an Associate or similar entity solely because the Borrower or a Restricted Subsidiary or any Affiliate of the Borrower or a Restricted Subsidiary or any Affiliate of any Permitted Holder owns an equity interest in or otherwise controls such Affiliate, Associate or similar entity;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580"/>
          </w:cols>
          <w:pgMar w:left="860" w:top="270" w:right="459" w:bottom="1440" w:gutter="0" w:footer="0" w:header="0"/>
        </w:sectPr>
      </w:pPr>
    </w:p>
    <w:bookmarkStart w:id="440" w:name="page441"/>
    <w:bookmarkEnd w:id="440"/>
    <w:p>
      <w:pPr>
        <w:ind w:left="540" w:right="60" w:hanging="532"/>
        <w:spacing w:after="0" w:line="261"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issuance, sale or transfer of Equity Interests (other than Disqualified Equity Interests) of the Borrower, any Parent Entity or any of its Restricted Subsidiaries or options, warrants or other rights to acquire such Equity Interests and the granting of registration and other customary rights (and the performance of the related obligations) in connection therewith or any contribution to capital of the Borrower or any Restricted Subsidiary;</w:t>
      </w:r>
    </w:p>
    <w:p>
      <w:pPr>
        <w:spacing w:after="0" w:line="85"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payments by the Borrower or any Restricted Subsidiary (or distributions or dividends by the Borrower in lieu of such payments) to any Permitted Holder (whether directly or indirectly), including to its affiliates or its designees, of management, consulting, monitoring, refinancing, transaction, advisory, indemnities and other fees, costs and expenses (plus any unpaid management, consulting, monitoring, transaction, advisory, indemnities and other fees, costs and expenses accrued in any prior year) and any exit and termination fees (including any such cash lump sum or present value fee upon the consummation of a corporate event, including an initial public offering) pursuant to any management or similar agreements or the management or other relevant provisions in an investor rights agreement, limited partnership agreement, limited liability company agreement or other equityholders’ agreement, as the case may be, with terms reasonably consistent with the terms of similar agreements entered into by similar financial sponsors and portfolio companies as reasonably determined by the Borrower or any Parent Entity on behalf of the Borrower at the time such management or similar agreement is entered into by the Sponsors and the Borrower or any Parent Entity and (b) payments by the Borrower or any Restricted Subsidiary to any Permitted Holder (whether directly or indirectly, including through any Parent Entity) for financial advisory, financing, underwriting or placement services or in respect of other investment banking activities, including in connection with acquisitions or divestitures, which payments are approved in the reasonable determination of the Borrower;</w:t>
      </w:r>
    </w:p>
    <w:p>
      <w:pPr>
        <w:spacing w:after="0" w:line="92"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any Permitted Holder of all out of pocket expenses incurred by such Permitted Holder in connection with its direct or indirect investment in the Borrower and its Subsidiaries;</w:t>
      </w:r>
    </w:p>
    <w:p>
      <w:pPr>
        <w:spacing w:after="0" w:line="67" w:lineRule="exact"/>
        <w:rPr>
          <w:rFonts w:ascii="Times New Roman" w:cs="Times New Roman" w:eastAsia="Times New Roman" w:hAnsi="Times New Roman"/>
          <w:sz w:val="18"/>
          <w:szCs w:val="18"/>
          <w:color w:val="auto"/>
        </w:rPr>
      </w:pPr>
    </w:p>
    <w:p>
      <w:pPr>
        <w:jc w:val="both"/>
        <w:ind w:left="540" w:right="120" w:hanging="532"/>
        <w:spacing w:after="0" w:line="266"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preceding paragraph;</w:t>
      </w:r>
    </w:p>
    <w:p>
      <w:pPr>
        <w:spacing w:after="0" w:line="81"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Borrower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Parent Entity) may enter into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or the performance by the Borrower or any Restricted Subsidiary (or any Parent Entity) of its obligations under any future amendment to any such existing</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560"/>
          </w:cols>
          <w:pgMar w:left="860" w:top="270" w:right="479" w:bottom="1440" w:gutter="0" w:footer="0" w:header="0"/>
        </w:sectPr>
      </w:pPr>
    </w:p>
    <w:bookmarkStart w:id="441" w:name="page442"/>
    <w:bookmarkEnd w:id="441"/>
    <w:p>
      <w:pPr>
        <w:ind w:left="5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w:t>
      </w:r>
    </w:p>
    <w:p>
      <w:pPr>
        <w:spacing w:after="0" w:line="81" w:lineRule="exact"/>
        <w:rPr>
          <w:sz w:val="20"/>
          <w:szCs w:val="20"/>
          <w:color w:val="auto"/>
        </w:rPr>
      </w:pPr>
    </w:p>
    <w:p>
      <w:pPr>
        <w:ind w:left="540" w:right="80" w:hanging="532"/>
        <w:spacing w:after="0" w:line="261"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purchases by the Borrower’s Affiliates of Indebtedness or Disqualified Equity Interests of the Borrower or any of the Restricted Subsidiaries the majority of which Indebtedness or Disqualified Equity Interests is purchased by Persons who are not the Borrower’s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by the Borrower’s Affiliates are on the same terms as such purchases by such Persons who are not the Borrower’s Affiliates;</w:t>
      </w:r>
    </w:p>
    <w:p>
      <w:pPr>
        <w:spacing w:after="0" w:line="85" w:lineRule="exact"/>
        <w:rPr>
          <w:rFonts w:ascii="Times New Roman" w:cs="Times New Roman" w:eastAsia="Times New Roman" w:hAnsi="Times New Roman"/>
          <w:sz w:val="18"/>
          <w:szCs w:val="18"/>
          <w:color w:val="auto"/>
        </w:rPr>
      </w:pPr>
    </w:p>
    <w:p>
      <w:pPr>
        <w:ind w:left="540" w:right="120" w:hanging="532"/>
        <w:spacing w:after="0" w:line="270" w:lineRule="auto"/>
        <w:tabs>
          <w:tab w:leader="none" w:pos="540" w:val="left"/>
        </w:tabs>
        <w:numPr>
          <w:ilvl w:val="0"/>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investments by Affiliates in securities or loans of the Borrower or any of the Restricted Subsidiaries (and payment of reasonable out-of-pocket expenses incurred by such Affiliates in connection therewith) so long as the investment is being offered by the Borrower or such Restricted Subsidiary generally to other non-affiliated third party investors on the same or more favorable terms and (ii) payments to Affiliates in respect of securities or loans of the Borrower or any of the Restricted Subsidiaries contemplated in the foregoing </w:t>
      </w:r>
      <w:r>
        <w:rPr>
          <w:rFonts w:ascii="Times New Roman" w:cs="Times New Roman" w:eastAsia="Times New Roman" w:hAnsi="Times New Roman"/>
          <w:sz w:val="17"/>
          <w:szCs w:val="17"/>
          <w:u w:val="single" w:color="auto"/>
          <w:color w:val="auto"/>
        </w:rPr>
        <w:t>subclause</w:t>
      </w:r>
    </w:p>
    <w:p>
      <w:pPr>
        <w:spacing w:after="0" w:line="2" w:lineRule="exact"/>
        <w:rPr>
          <w:rFonts w:ascii="Times New Roman" w:cs="Times New Roman" w:eastAsia="Times New Roman" w:hAnsi="Times New Roman"/>
          <w:sz w:val="17"/>
          <w:szCs w:val="17"/>
          <w:color w:val="auto"/>
        </w:rPr>
      </w:pPr>
    </w:p>
    <w:p>
      <w:pPr>
        <w:ind w:left="5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that were acquired from Persons other than the Borrower and its Restricted Subsidiaries, in each case, in accordance with the terms of such securities or loans;</w:t>
      </w:r>
    </w:p>
    <w:p>
      <w:pPr>
        <w:spacing w:after="0" w:line="86" w:lineRule="exact"/>
        <w:rPr>
          <w:rFonts w:ascii="Times New Roman" w:cs="Times New Roman" w:eastAsia="Times New Roman" w:hAnsi="Times New Roman"/>
          <w:sz w:val="17"/>
          <w:szCs w:val="17"/>
          <w:color w:val="auto"/>
        </w:rPr>
      </w:pPr>
    </w:p>
    <w:p>
      <w:pPr>
        <w:ind w:left="540" w:hanging="532"/>
        <w:spacing w:after="0" w:line="256"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entering into of any Tax sharing agreement or arrangement and payments made with respect thereto, in each case between or among the Borrower, any Parent Entity or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amount of such payments in any taxable year does not exceed the amount that the Borrower, its Restricted Subsidiaries and its Unrestricted Subsidiaries (to the extent of amounts actually received from the Unrestricted Subsidiaries) would be required to pay in respect of foreign, federal, state and local Taxes for such taxable year were the Borrower, its Restricted Subsidiaries and its Unrestricted Subsidiaries (to the extent of amounts actually received from the Unrestricted Subsidiaries) to pay such Taxes separately from any such Parent Entity;</w:t>
      </w:r>
    </w:p>
    <w:p>
      <w:pPr>
        <w:spacing w:after="0" w:line="92"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Indebtedness and Disqualified Equity Interests (and cancellation of any thereof) of the Borrower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Borrower,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Borrower in good faith;</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580"/>
          </w:cols>
          <w:pgMar w:left="860" w:top="270" w:right="459" w:bottom="1440" w:gutter="0" w:footer="0" w:header="0"/>
        </w:sectPr>
      </w:pPr>
    </w:p>
    <w:bookmarkStart w:id="442" w:name="page443"/>
    <w:bookmarkEnd w:id="442"/>
    <w:p>
      <w:pPr>
        <w:ind w:left="960" w:hanging="532"/>
        <w:spacing w:after="0" w:line="258" w:lineRule="auto"/>
        <w:tabs>
          <w:tab w:leader="none" w:pos="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Borrower or its Restricted Subsidiaries and any distributor, employee, director, officer, manager, contractor, consultant or advisor (or their respective Controlled Investment Affiliates or Immediate Family Members) approved by the reasonable determination of the Borrower;</w:t>
      </w:r>
    </w:p>
    <w:p>
      <w:pPr>
        <w:spacing w:after="0" w:line="88"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transition services arrangement, supply arrangement or similar arrangement entered into in connection with or in contemplation of the disposition of assets or Equity Interests in any Restricted Subsidiary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entered into with any Business Successor, in each case, that the Borrower determines in good faith is either fair to the Borrower or otherwise on customary terms for such type of arrangements in connection with similar transactions;</w:t>
      </w:r>
    </w:p>
    <w:p>
      <w:pPr>
        <w:spacing w:after="0" w:line="85"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Borrower or any Restricted Subsidiary, as lessee, and any Affiliate of the Borrower (other than an Unrestricted Subsidiary), as lessor and any operational services or other arrangement entered into between the Borrower or any Restricted Subsidiary and any Affiliate of the Borrower (other than an Unrestricted Subsidiary), in each case, which is approved by the reasonable determination of the Borrower;</w:t>
      </w:r>
    </w:p>
    <w:p>
      <w:pPr>
        <w:spacing w:after="0" w:line="85"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costs and expenses related to registration rights and indemnities provided to equityholders pursuant to equityholders, investor rights, registration rights or similar agreements;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Reorganization Transaction, Permitted Intercompany Activities, Intercompany License Agreements or related transactions.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if the Borrower or any of its Restricted Subsidiaries (i) purchases or otherwise acquires assets or properties from a Person which is not an Affiliate, the purchase or acquisition by an Affiliate of the Borrower of an interest in all or a portion of the assets or properties acquired shall not be deemed an Affiliate Transaction (or cause such purchase or acquisition by the Borrower or a Restricted Subsidiary to be deemed an Affiliate Transaction) or (ii) sells or otherwise disposes of assets or other properties to a Person who is not an Affiliate, the sale or other disposition by an Affiliate of the Borrower of an interest in all or a portion of the assets or properties sold shall not be deemed an Affiliate Transaction (or cause such sale or other disposition by the Borrower or a Restricted Subsidiary to be deemed an Affiliate Transaction).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Vessel Collateral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Shipowner covenants and agrees as follow with respect to any Vessel Collateral owned by it:</w:t>
      </w:r>
    </w:p>
    <w:p>
      <w:pPr>
        <w:spacing w:after="0" w:line="117" w:lineRule="exact"/>
        <w:rPr>
          <w:sz w:val="20"/>
          <w:szCs w:val="20"/>
          <w:color w:val="auto"/>
        </w:rPr>
      </w:pPr>
    </w:p>
    <w:p>
      <w:pPr>
        <w:ind w:firstLine="436"/>
        <w:spacing w:after="0" w:line="282" w:lineRule="auto"/>
        <w:tabs>
          <w:tab w:leader="none" w:pos="6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Jones Act Compliance</w:t>
      </w:r>
      <w:r>
        <w:rPr>
          <w:rFonts w:ascii="Times New Roman" w:cs="Times New Roman" w:eastAsia="Times New Roman" w:hAnsi="Times New Roman"/>
          <w:sz w:val="18"/>
          <w:szCs w:val="18"/>
          <w:color w:val="auto"/>
        </w:rPr>
        <w:t>. Each Shipowner owning Vessel Collateral consisting of a Jones Act Vessel covenants that it is now, and shall so remain until any Vessel Mortgage granted pursuant to this Agreement is discharged, (i) a citizen of the United States pursuant to Section 2(c)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80"/>
          </w:cols>
          <w:pgMar w:left="440" w:top="270" w:right="479" w:bottom="1440" w:gutter="0" w:footer="0" w:header="0"/>
        </w:sectPr>
      </w:pPr>
    </w:p>
    <w:bookmarkStart w:id="443" w:name="page444"/>
    <w:bookmarkEnd w:id="44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Shipping Act of 1916, as amended (46 USC § 50501), and the regulations in effect thereunder from time to time, as amended, and (ii) qualified to own and operate such Vessel for so long as it is documented under the laws of the United States and in the coastwise trade of the United States pursuant to 46 U.S.C. §§ 12102 and 12103, and the regulations in effect thereunder from time to time, as amended.</w:t>
      </w:r>
    </w:p>
    <w:p>
      <w:pPr>
        <w:spacing w:after="0" w:line="176" w:lineRule="exact"/>
        <w:rPr>
          <w:sz w:val="20"/>
          <w:szCs w:val="20"/>
          <w:color w:val="auto"/>
        </w:rPr>
      </w:pPr>
    </w:p>
    <w:p>
      <w:pPr>
        <w:ind w:firstLine="436"/>
        <w:spacing w:after="0" w:line="254" w:lineRule="auto"/>
        <w:tabs>
          <w:tab w:leader="none" w:pos="69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 of Vessels</w:t>
      </w:r>
      <w:r>
        <w:rPr>
          <w:rFonts w:ascii="Times New Roman" w:cs="Times New Roman" w:eastAsia="Times New Roman" w:hAnsi="Times New Roman"/>
          <w:sz w:val="18"/>
          <w:szCs w:val="18"/>
          <w:color w:val="auto"/>
        </w:rPr>
        <w:t xml:space="preserve">. Except as has not resulted in, or is not reasonably expected, individually or in the aggregate, to result in, a Material Adverse Effect, each Shipowner will not cause or permit its Vessels to be operated in any manner contrary to applicable law, engage in any unlawful trade or operations or violate any applicable law or carry any cargo, in the case of any of the foregoing, that will unreasonably expose such Vessel to penalty, confiscation, forfeiture, capture or condemnation, and will not do, or suffer or permit to be done, anything that can or may injuriously affect the registration of such Vessel under the laws and regulations of the United States of America and will at all times keep each United States-flagged Jones Act Vessel duly documented under Chapter 121 of Title 46 of the United States Code, eligible for registry and the coastwise trade of the United States under Section 2(c) of the Shipping Act of 1916, as amended;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prohibit, and the Shipowner may enter into, Permitted Reflagging Transactions.</w:t>
      </w:r>
    </w:p>
    <w:p>
      <w:pPr>
        <w:spacing w:after="0" w:line="191" w:lineRule="exact"/>
        <w:rPr>
          <w:rFonts w:ascii="Times New Roman" w:cs="Times New Roman" w:eastAsia="Times New Roman" w:hAnsi="Times New Roman"/>
          <w:sz w:val="18"/>
          <w:szCs w:val="18"/>
          <w:color w:val="auto"/>
        </w:rPr>
      </w:pPr>
    </w:p>
    <w:p>
      <w:pPr>
        <w:ind w:firstLine="436"/>
        <w:spacing w:after="0" w:line="273" w:lineRule="auto"/>
        <w:tabs>
          <w:tab w:leader="none" w:pos="685"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 fees, etc.</w:t>
      </w:r>
      <w:r>
        <w:rPr>
          <w:rFonts w:ascii="Times New Roman" w:cs="Times New Roman" w:eastAsia="Times New Roman" w:hAnsi="Times New Roman"/>
          <w:sz w:val="17"/>
          <w:szCs w:val="17"/>
          <w:color w:val="auto"/>
        </w:rPr>
        <w:t xml:space="preserve"> Each Shipowner will pay and discharge or cause to be paid and discharged, prior to delinquency, all claims and demands in respect of, and all taxes, assessments, governmental charges, levies, fees, fines and penalties imposed on, its Vessel, cargoes owned by such Shipowner or any income or profits therefrom and all lawful claims which, if unpaid, might become a lien or charge upon such Vessel or any income therefrom not constituting a Permitted Lien; provided that such Shipowner shall not be required to pay any such claim, demand, fee, tax, assessment, charge, fine, levy or penalty (1) which is being contested in good faith by appropriate actions and for which the Shipowner has maintained adequate accruals in accordance with GAAP, and such Vessel shall not have been arrested or detained therefor or (2) to the extent failure to do so could not reasonably be expected to result in a Material Adverse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such contest shall not subject such Vessel, or any part thereof, to forfeiture or loss.</w:t>
      </w:r>
    </w:p>
    <w:p>
      <w:pPr>
        <w:spacing w:after="0" w:line="171" w:lineRule="exact"/>
        <w:rPr>
          <w:rFonts w:ascii="Times New Roman" w:cs="Times New Roman" w:eastAsia="Times New Roman" w:hAnsi="Times New Roman"/>
          <w:sz w:val="17"/>
          <w:szCs w:val="17"/>
          <w:color w:val="auto"/>
        </w:rPr>
      </w:pPr>
    </w:p>
    <w:p>
      <w:pPr>
        <w:ind w:right="100" w:firstLine="436"/>
        <w:spacing w:after="0" w:line="266" w:lineRule="auto"/>
        <w:tabs>
          <w:tab w:leader="none" w:pos="69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None of the Shipowners, any charterer, the Master of any of the Vessels or any other Person shall have any right, power or authority to, and none of the same shall create, incur or permit to be placed or imposed or continued upon any of the Vessels, its freights, profits or hire, any Lien whatsoever other than for crew wages not overdue, salvage, the lien of any Vessel Mortgage and other Permitted Liens.</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Mortgage</w:t>
      </w:r>
      <w:r>
        <w:rPr>
          <w:rFonts w:ascii="Times New Roman" w:cs="Times New Roman" w:eastAsia="Times New Roman" w:hAnsi="Times New Roman"/>
          <w:sz w:val="18"/>
          <w:szCs w:val="18"/>
          <w:color w:val="auto"/>
        </w:rPr>
        <w:t>. Each Shipowner will place, and at all times and places will retain, a copy of the relevant Vessel Mortgage (however evidenced, whether in physical or electronic form) on board each relevant Vessel with her papers and will cause such copy (however evidenced, whether in physical or electronic form) and each such Vessel’s marine document to be exhibited to any and all persons having business therewith which might give rise to any lien thereon other than liens for crew wages and salvage, and to any representative of the Administrative Agent and will place and prominently display in the chart room and in the Master’s cabin of each such Vessel a framed printed notice in plain type reading as follows: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MORTGAGE</w:t>
      </w:r>
    </w:p>
    <w:p>
      <w:pPr>
        <w:spacing w:after="0" w:line="221" w:lineRule="exact"/>
        <w:rPr>
          <w:sz w:val="20"/>
          <w:szCs w:val="20"/>
          <w:color w:val="auto"/>
        </w:rPr>
      </w:pPr>
    </w:p>
    <w:p>
      <w:pPr>
        <w:ind w:left="980" w:right="60"/>
        <w:spacing w:after="0" w:line="262" w:lineRule="auto"/>
        <w:rPr>
          <w:sz w:val="20"/>
          <w:szCs w:val="20"/>
          <w:color w:val="auto"/>
        </w:rPr>
      </w:pPr>
      <w:r>
        <w:rPr>
          <w:rFonts w:ascii="Times New Roman" w:cs="Times New Roman" w:eastAsia="Times New Roman" w:hAnsi="Times New Roman"/>
          <w:sz w:val="18"/>
          <w:szCs w:val="18"/>
          <w:color w:val="auto"/>
        </w:rPr>
        <w:t>This Vessel is owned by [___] (the “Owner”) and is subject to a First Preferred [Fleet] Mortgage (the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in favor of WILMINGTON TRUST, NATIONAL ASSOCIATION as Collateral Agent and Mortgagee. Under the terms of said Mortgage, neither the Owner, any charterer, the Master of this Vessel nor any other person has any right, power or authority to create, incur or permit to be imposed upon this Vessel any other lien whatsoever except Permitted Liens (as defined in the Mortgage).”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444" w:name="page445"/>
    <w:bookmarkEnd w:id="444"/>
    <w:p>
      <w:pPr>
        <w:ind w:firstLine="436"/>
        <w:spacing w:after="0" w:line="252" w:lineRule="auto"/>
        <w:tabs>
          <w:tab w:leader="none" w:pos="66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Libel or Attachment</w:t>
      </w:r>
      <w:r>
        <w:rPr>
          <w:rFonts w:ascii="Times New Roman" w:cs="Times New Roman" w:eastAsia="Times New Roman" w:hAnsi="Times New Roman"/>
          <w:sz w:val="18"/>
          <w:szCs w:val="18"/>
          <w:color w:val="auto"/>
        </w:rPr>
        <w:t xml:space="preserve">. If a libel or complaint is filed against any of the Vessels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by virtue of any legal proceeding in any court or by a government or other authority, the relevant Shipowner will promptly notify the Administrative Agent thereof by facsimile as appropriate, confirmed by letter, at its address, as specified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and within thirty (30) days of any arrest arising out of such libel or complaint, or fifteen (15) days after the request of the Administrative Agent (in each case, or by such later date as the Administrative Agent may agree to in its sole discretion), will cause such Vessel to be released and all Liens thereon (other than Permitted Liens) to be discharged and will promptly notify the Administrative Agent thereof in the manner aforesaid. In the event that the Shipowner does not appear in such action by filing a claim of owner or similar pleading within such thirty (30) day period (or such longer period) or otherwise provide replacement Vessel Collateral acceptable to the Administrative Agent in accordance with this Agreement, the relevant Shipowner does hereby authorize and empower the Administrative Agent, in the name of such Shipowner, or their successors or assigns, to apply for and receive possession of and to take possession of such Vessel (or authorize and empower the Administrative Agent to direct the Collateral Agent to apply for and receive possession of and to take possession of such Vessel) with all the rights and powers that the Shipowner, or their successors or assigns, might have, possess or exercise in any such event; and this power of attorney shall be irrevocable and may be exercised not only by the Administrative Agent (or by the Collateral Agent at the direction of the Administrative Agent) but also by any one such appointee or the appointees of the Administrative Agent, (or the Collateral Agent) with full power of substitution, to the same extent as if the said appointee or appointees had been named as one of the attorneys above named by express designation. The relevant Shipowner will notify the Administrative Agent in writing within three (3) Business Days (or by such later date as the Administrative Agent may agree to in its sole discretion) after it has become known to the chief executive officer, the chief operating officer or the chief financial officer of the relevant Shipowner of any arrest, detention, average or salvage incurred by any of the Vessels.</w:t>
      </w:r>
    </w:p>
    <w:p>
      <w:pPr>
        <w:spacing w:after="0" w:line="19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Vessel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07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while any Vessel constituting Vessel Collateral is undergoing repairs or maintenance or is a Stacked Vessel, the relevant Shipowner will keep each Vessel, or cause it to be kept in such condition as will entitle it to at least the current classification and rating for each Vessel in the American Bureau of Shipping, or other classification society of like standing, if such certification is applicable, with no overdue conditions or recommendations affecting any such Vessel’s classification, except where the failure to do so, individually or in the aggregate, could not reasonably be expected to result in a Material Adverse Effect. Except for any Vessel that is stacked or in lay up, each Shipowner shall furnish annually, upon request by the Administrative Agent, a certificate from the American Bureau of Shipping or other applicable classification society confirming that such classification has been maintained.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68" w:right="459" w:bottom="1440" w:gutter="0" w:footer="0" w:header="0"/>
        </w:sectPr>
      </w:pPr>
    </w:p>
    <w:bookmarkStart w:id="445" w:name="page446"/>
    <w:bookmarkEnd w:id="445"/>
    <w:p>
      <w:pPr>
        <w:jc w:val="both"/>
        <w:ind w:left="4" w:right="200" w:firstLine="419"/>
        <w:spacing w:after="0" w:line="261" w:lineRule="auto"/>
        <w:tabs>
          <w:tab w:leader="none" w:pos="69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where the failure to do so, individually or in the aggregate, could not reasonably be expected to result in a Material Adverse Effect, each Shipowner will make all necessary repairs, renewals, betterments and improvements necessary to keep its Vessels, insofar as due diligence can make them so, well maintained and in seaworthy condition, except while any such Vessel is undergoing repairs, maintenance or is stacked or in lay up.</w:t>
      </w:r>
    </w:p>
    <w:p>
      <w:pPr>
        <w:spacing w:after="0" w:line="71"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74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Vessel which is a U.S. flag Vessel shall, and each relevant Shipowner covenants that it will, at all times comply in all material respects with all applicable laws, and all treaties and covenants to which the United States of America is a party, and rules and regulations issued thereunder, and shall have on board, when required, valid certificates required thereby, except where the failure to do so, individually or in the aggregate, could not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 w:right="360" w:firstLine="419"/>
        <w:spacing w:after="0" w:line="258" w:lineRule="auto"/>
        <w:tabs>
          <w:tab w:leader="none" w:pos="73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Shipowner will make, or permit to be made, any substantial change in the structure, rig or type of any Vessels that would be reasonably likely to materially diminish the value of the Vessel Collateral, as a whole, without first receiving the written consent of the Administrative Agent, which consent shall not be unreasonably similarly,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Shipowner may move or otherwise change the assets and other equipment from any of the Vessels to another Vessel (including to a Vessel owned by another direct or indirect Subsidiary of Borrower and including, for the avoidance of doubt, Excluded Vessels).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Attorney in Fact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4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each Shipowner will at all reasonable times afford the Administrative Agent or its authorized representatives, in each case, to the extent such Person has agreed to and executed a vessel boarding agreement in form and substance reasonably satisfactory to the Borrower at their risk and expense full and complete access to each Vessel during normal business hours for the purpose of inspecting such Vessel and its papers, and such Shipowner will deliver for inspection copies of such contracts and documents relating to such Vessel, whether on board or not, as the Administrative Agent may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non-public information obtained by the Administrative Agent pursuant to any Loan Document concerning such Shipowner, any Vessel, any other assets of such Shipowner or such Shipowner’s financial condition and prospects shall be kept confidential by the Administrative Agent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exceptions contained therein), and (ii) any inspection of any Vessel and its papers shall be subject to the requirements of any operators of such Vessel and any applicable Governmental Authority.</w:t>
      </w:r>
    </w:p>
    <w:p>
      <w:pPr>
        <w:spacing w:after="0" w:line="80" w:lineRule="exact"/>
        <w:rPr>
          <w:rFonts w:ascii="Times New Roman" w:cs="Times New Roman" w:eastAsia="Times New Roman" w:hAnsi="Times New Roman"/>
          <w:sz w:val="18"/>
          <w:szCs w:val="18"/>
          <w:color w:val="auto"/>
        </w:rPr>
      </w:pPr>
    </w:p>
    <w:p>
      <w:pPr>
        <w:ind w:left="4" w:firstLine="419"/>
        <w:spacing w:after="0" w:line="266" w:lineRule="auto"/>
        <w:tabs>
          <w:tab w:leader="none" w:pos="691"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Shipowner hereby appoints the Administrative Agent as attorney-in-fact of the Shipowner to appear before governmental bodies, classification societies and insurers and to demand and receive to the same extent that such Shipowner itself might, all information and certificates respecting (i) the corporate status of such Shipowner under the</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544"/>
          </w:cols>
          <w:pgMar w:left="876" w:top="270" w:right="479" w:bottom="1440" w:gutter="0" w:footer="0" w:header="0"/>
        </w:sectPr>
      </w:pPr>
    </w:p>
    <w:bookmarkStart w:id="446" w:name="page447"/>
    <w:bookmarkEnd w:id="446"/>
    <w:p>
      <w:pPr>
        <w:ind w:left="40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laws of its jurisdiction of incorporation or any other jurisdiction in which it may have qualified to do business, (ii) the status of each Vessel under the laws and regulations of its country of registration and its compliance with the requirements thereof, and (iii) the state of the records of each Vessel or of the relevant Shipowner in respect of each Vessel in any classification society with which the Vessel may be classed or of any company, association or club by whom any Vessel or the relevant Shipowner in respect of any Vessel may be insured; and each Shipowner hereby agrees that the Administrative Agent may execute its powers as attorney-in-fact as aforesaid through its agents, representatives and attorneys, provided however, that, it is a condition of this power of attorney that the Administrative Agent may not act on the strength of this power of attorney unless an Event of Default has occurred and is continuing. This power of attorney is coupled with an interest and shall be irrevocable as long as the Obligations remain outstanding.</w:t>
      </w:r>
    </w:p>
    <w:p>
      <w:pPr>
        <w:spacing w:after="0" w:line="192" w:lineRule="exact"/>
        <w:rPr>
          <w:sz w:val="20"/>
          <w:szCs w:val="20"/>
          <w:color w:val="auto"/>
        </w:rPr>
      </w:pPr>
    </w:p>
    <w:p>
      <w:pPr>
        <w:ind w:left="620" w:hanging="224"/>
        <w:spacing w:after="0"/>
        <w:tabs>
          <w:tab w:leader="none" w:pos="6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40" w:right="560" w:firstLine="436"/>
        <w:spacing w:after="0" w:line="266" w:lineRule="auto"/>
        <w:tabs>
          <w:tab w:leader="none" w:pos="61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Chartering</w:t>
      </w:r>
      <w:r>
        <w:rPr>
          <w:rFonts w:ascii="Times New Roman" w:cs="Times New Roman" w:eastAsia="Times New Roman" w:hAnsi="Times New Roman"/>
          <w:sz w:val="18"/>
          <w:szCs w:val="18"/>
          <w:color w:val="auto"/>
        </w:rPr>
        <w:t>. Except as permitted herein, no Shipowner will charter or similarly dispose of all or any part of any of the Vessels other than pursuant to agreements in the ordinary course of business or pursuant to agreements that would not materially diminish the value of the Vessel Collateral, as a whole.</w:t>
      </w:r>
    </w:p>
    <w:p>
      <w:pPr>
        <w:spacing w:after="0" w:line="17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60" w:firstLine="419"/>
        <w:spacing w:after="0" w:line="282" w:lineRule="auto"/>
        <w:tabs>
          <w:tab w:leader="none" w:pos="1038"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and Coverage</w:t>
      </w:r>
      <w:r>
        <w:rPr>
          <w:rFonts w:ascii="Times New Roman" w:cs="Times New Roman" w:eastAsia="Times New Roman" w:hAnsi="Times New Roman"/>
          <w:sz w:val="18"/>
          <w:szCs w:val="18"/>
          <w:color w:val="auto"/>
        </w:rPr>
        <w:t xml:space="preserve">. Following the Initial Funding Date, each Shipowner shall maintain required vessel insurances as consistent with past practice and as further described on </w:t>
      </w:r>
      <w:r>
        <w:rPr>
          <w:rFonts w:ascii="Times New Roman" w:cs="Times New Roman" w:eastAsia="Times New Roman" w:hAnsi="Times New Roman"/>
          <w:sz w:val="18"/>
          <w:szCs w:val="18"/>
          <w:u w:val="single" w:color="auto"/>
          <w:color w:val="auto"/>
        </w:rPr>
        <w:t>Schedule 6.19(k)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436"/>
        <w:spacing w:after="0" w:line="254" w:lineRule="auto"/>
        <w:tabs>
          <w:tab w:leader="none" w:pos="61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Each Shipowner will reimburse the Administrative Agent promptly, for any and all expenditures which the Administrative Agent may, from time to time, make, lay out or expend in providing such protection in respect of insurance, discharge or purchase of liens, taxes, dues, assessments, governmental charges, fines and penalties lawfully imposed (other than income, franchise or similar Taxes of the Collateral Agent or its affiliates), repairs, attorneys’ fees, translation fees for documents made in a language other than English and other matters as such Shipowner is obligated herein to provide, but fails to provide. Such obligation of such Shipowner to reimburse the Administrative Agent shall be an additional indebtedness due from the Shipowner, secured by the relevant Vessel Mortgage, and shall be payable by such Shipowner promptly upon presentation of documentation in form and detail consistent with the requirements under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The Administrative Agent, though privileged so to do, shall be under no obligation to the relevant Shipowner to make any such expenditures, nor shall the making thereof relieve such Shipowner of any default in that respect.</w:t>
      </w:r>
    </w:p>
    <w:p>
      <w:pPr>
        <w:spacing w:after="0" w:line="188"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70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the event that this Agreement or any provision hereof shall be deemed invalidated in whole or in part by reason of any present or future law or any decision of any authoritative court, or if the documents at any time held by the Administrative Agent or Collateral Agent shall be deemed by the Administrative Agent for any reason insufficient to carry out the true intent and spirit of any Vessel Mortgage, then from time to time, the relevant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920"/>
          </w:cols>
          <w:pgMar w:left="480" w:top="270" w:right="499" w:bottom="1440" w:gutter="0" w:footer="0" w:header="0"/>
        </w:sectPr>
      </w:pPr>
    </w:p>
    <w:bookmarkStart w:id="447" w:name="page448"/>
    <w:bookmarkEnd w:id="447"/>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Shipowner will execute, on its own behalf, such other and further assurances and documents as in the reasonable opinion of the Administrative Agent may be required more effectively to subject each relevant Vessel to the payment of the Obligations, as in the Vessel Mortgage provided, and the performance of the terms and provisions of the Vessel Mortgage and this Agreement.</w:t>
      </w:r>
    </w:p>
    <w:p>
      <w:pPr>
        <w:spacing w:after="0" w:line="176" w:lineRule="exact"/>
        <w:rPr>
          <w:sz w:val="20"/>
          <w:szCs w:val="20"/>
          <w:color w:val="auto"/>
        </w:rPr>
      </w:pPr>
    </w:p>
    <w:p>
      <w:pPr>
        <w:ind w:left="700" w:hanging="264"/>
        <w:spacing w:after="0"/>
        <w:tabs>
          <w:tab w:leader="none" w:pos="7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relating to Incremental Loans</w:t>
      </w:r>
      <w:r>
        <w:rPr>
          <w:rFonts w:ascii="Times New Roman" w:cs="Times New Roman" w:eastAsia="Times New Roman" w:hAnsi="Times New Roman"/>
          <w:sz w:val="18"/>
          <w:szCs w:val="18"/>
          <w:color w:val="auto"/>
        </w:rPr>
        <w:t>. Each Shipowner agrees, promptly upon entering into any Incremental Loan, to amend the relevant Vessel Mortgage, in form and substance satisfactory to the Administrative Agent, if requested by the Administrative Agent. The reasonable costs associated with such amendment (including reasonable fees of counsel to the Administrative Agent) shall be borne by the relevant Shipowner.</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Ship Recycling</w:t>
      </w:r>
      <w:r>
        <w:rPr>
          <w:rFonts w:ascii="Times New Roman" w:cs="Times New Roman" w:eastAsia="Times New Roman" w:hAnsi="Times New Roman"/>
          <w:sz w:val="18"/>
          <w:szCs w:val="18"/>
          <w:color w:val="auto"/>
        </w:rPr>
        <w:t>. In the event that a Restricted Subsidiary undertakes to dismantle a Vessel (or to sell such Vessel with the intention of it being dismantled) to the extent permitted under the Loan Documents, the Restricted Subsidiary must comply with the Hong Kong International Convention for the Safe and Environmentally Sound Recycling of Ships, 2009 and/or the EU Ship Recycling Regulations, 2013.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the Termination Conditions are not satisfied, the Borrower shall not, nor shall the Borrower permit any Restricted Subsidiary to:</w:t>
      </w:r>
    </w:p>
    <w:p>
      <w:pPr>
        <w:spacing w:after="0" w:line="11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that secures Indebtedness other than the following:</w:t>
      </w:r>
    </w:p>
    <w:p>
      <w:pPr>
        <w:spacing w:after="0" w:line="54" w:lineRule="exact"/>
        <w:rPr>
          <w:sz w:val="20"/>
          <w:szCs w:val="20"/>
          <w:color w:val="auto"/>
        </w:rPr>
      </w:pPr>
    </w:p>
    <w:p>
      <w:pPr>
        <w:ind w:right="60" w:firstLine="436"/>
        <w:spacing w:after="0" w:line="273" w:lineRule="auto"/>
        <w:tabs>
          <w:tab w:leader="none" w:pos="685"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 obligations in respect of Indebtedness incurred pursuant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7.03(a)(i)</w:t>
      </w:r>
      <w:r>
        <w:rPr>
          <w:rFonts w:ascii="Times New Roman" w:cs="Times New Roman" w:eastAsia="Times New Roman" w:hAnsi="Times New Roman"/>
          <w:sz w:val="17"/>
          <w:szCs w:val="17"/>
          <w:color w:val="auto"/>
        </w:rPr>
        <w:t xml:space="preserve">, including obligations in respect of any Loan, any Incremental Loan, any Refinancing Loan and any Extended Loan, and any other Obligations, Incremental Equivalent Debt and any Refinancing Indebtedness in respect of the foregoing and (ii) Indebtedness incurred pursuant to </w:t>
      </w:r>
      <w:r>
        <w:rPr>
          <w:rFonts w:ascii="Times New Roman" w:cs="Times New Roman" w:eastAsia="Times New Roman" w:hAnsi="Times New Roman"/>
          <w:sz w:val="17"/>
          <w:szCs w:val="17"/>
          <w:u w:val="single" w:color="auto"/>
          <w:color w:val="auto"/>
        </w:rPr>
        <w:t>Section 7.03(a)(ii)</w:t>
      </w:r>
      <w:r>
        <w:rPr>
          <w:rFonts w:ascii="Times New Roman" w:cs="Times New Roman" w:eastAsia="Times New Roman" w:hAnsi="Times New Roman"/>
          <w:sz w:val="17"/>
          <w:szCs w:val="17"/>
          <w:color w:val="auto"/>
        </w:rPr>
        <w:t xml:space="preserve"> and any Refinancing Indebtedness in respect of the foregoing;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this clause (ii), with respect to any such Indebtedness for borrowed money secured by Liens on the Collateral, such Indebtedness must be either First Lien Debt (but not Super-Priority Debt) (and subject to an Equal Priority Intercreditor Agreement and, if the Borrower elects, the Collateral Trust Agreement or in each case a joinder thereto) or Junior Lien Debt (and subject to a Junior Lien Intercreditor Agreement and, if the Borrower elects, a Collateral Trust Agreement or in each case a joinder thereto);</w:t>
      </w:r>
    </w:p>
    <w:p>
      <w:pPr>
        <w:spacing w:after="0" w:line="171"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obligations under the Second Lien Credit Agreement and any Second Lien Credit Agreement Refinancing Indebtedness thereof;</w:t>
      </w:r>
    </w:p>
    <w:p>
      <w:pPr>
        <w:spacing w:after="0" w:line="236" w:lineRule="exact"/>
        <w:rPr>
          <w:rFonts w:ascii="Times New Roman" w:cs="Times New Roman" w:eastAsia="Times New Roman" w:hAnsi="Times New Roman"/>
          <w:sz w:val="17"/>
          <w:szCs w:val="17"/>
          <w:color w:val="auto"/>
        </w:rPr>
      </w:pPr>
    </w:p>
    <w:p>
      <w:pPr>
        <w:ind w:right="540" w:firstLine="436"/>
        <w:spacing w:after="0" w:line="282" w:lineRule="auto"/>
        <w:tabs>
          <w:tab w:leader="none" w:pos="68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(other than Liens incurred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and listed on </w:t>
      </w:r>
      <w:r>
        <w:rPr>
          <w:rFonts w:ascii="Times New Roman" w:cs="Times New Roman" w:eastAsia="Times New Roman" w:hAnsi="Times New Roman"/>
          <w:sz w:val="18"/>
          <w:szCs w:val="18"/>
          <w:u w:val="single" w:color="auto"/>
          <w:color w:val="auto"/>
        </w:rPr>
        <w:t>Schedule 7.01(c)</w:t>
      </w:r>
      <w:r>
        <w:rPr>
          <w:rFonts w:ascii="Times New Roman" w:cs="Times New Roman" w:eastAsia="Times New Roman" w:hAnsi="Times New Roman"/>
          <w:sz w:val="18"/>
          <w:szCs w:val="18"/>
          <w:color w:val="auto"/>
        </w:rPr>
        <w:t xml:space="preserve"> hereto, together with any Liens securing any Refinancing Indebtedness of any Indebtedness secured by such Liens;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70" w:right="459" w:bottom="1440" w:gutter="0" w:footer="0" w:header="0"/>
        </w:sectPr>
      </w:pPr>
    </w:p>
    <w:bookmarkStart w:id="448" w:name="page449"/>
    <w:bookmarkEnd w:id="448"/>
    <w:p>
      <w:pPr>
        <w:ind w:left="-20" w:right="40" w:firstLine="436"/>
        <w:spacing w:after="0" w:line="253" w:lineRule="auto"/>
        <w:tabs>
          <w:tab w:leader="none" w:pos="67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191" w:lineRule="exact"/>
        <w:rPr>
          <w:rFonts w:ascii="Times New Roman" w:cs="Times New Roman" w:eastAsia="Times New Roman" w:hAnsi="Times New Roman"/>
          <w:sz w:val="18"/>
          <w:szCs w:val="18"/>
          <w:color w:val="auto"/>
        </w:rPr>
      </w:pPr>
    </w:p>
    <w:p>
      <w:pPr>
        <w:ind w:left="-20" w:firstLine="436"/>
        <w:spacing w:after="0" w:line="258" w:lineRule="auto"/>
        <w:tabs>
          <w:tab w:leader="none" w:pos="66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imposed by law or regulation, including carriers’, warehousemen’s, mechanics’, landlords’, suppliers’, materialmen’s, repairmen’s, architects’, construction contractors’ or other similar Liens, in each case for amounts not overdue for a period of more than sixty (60) days or, if more than sixty (60) days overdue, are unfiled and no other action has been taken to enforce such Liens or that are being contested in good faith by appropriate proceedings, provided that appropriate reserves required pursuant to GAAP have been made in respect thereof;</w:t>
      </w:r>
    </w:p>
    <w:p>
      <w:pPr>
        <w:spacing w:after="0" w:line="183"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4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that are not overdue for a period of more than sixty (60) days or not yet payable or subject to penalties for nonpayment or that are being contested in good faith by appropriate proceedings; provided that appropriate reserves required pursuant to GAAP have been made in respect thereof, or for property Taxes on property of the Borrower or one of its Subsidiaries has determined to abandon if the sole recourse for such Tax is to such property;</w:t>
      </w:r>
    </w:p>
    <w:p>
      <w:pPr>
        <w:spacing w:after="0" w:line="179"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its Restricted Subsidiaries, taken as a whole;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60"/>
          </w:cols>
          <w:pgMar w:left="460" w:top="270" w:right="479" w:bottom="1440" w:gutter="0" w:footer="0" w:header="0"/>
        </w:sectPr>
      </w:pPr>
    </w:p>
    <w:bookmarkStart w:id="449" w:name="page450"/>
    <w:bookmarkEnd w:id="449"/>
    <w:p>
      <w:pPr>
        <w:ind w:right="20" w:firstLine="436"/>
        <w:spacing w:after="0" w:line="253" w:lineRule="auto"/>
        <w:tabs>
          <w:tab w:leader="none" w:pos="69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 securing Hedge Agreements, Cash Management Obligations and the costs thereof; (ii) that are rights of set-off, rights of pledge or other bankers’ Liens (x) relating to treasury, depository and cash management services or any automated clearing house transfers of funds in the ordinary course of business or consistent with past practice, (y) relating to pooled deposit or sweep accounts to permit satisfaction of overdraft or similar obligations incurred in the ordinary course of business of the Borrower or any Subsidiary or consistent with past practice or (z) relating to purchase orders and other agreements entered into with customers of the Borrower or any Restricted Subsidiary in the ordinary course of business or consistent with past practice; (iii) on cash accounts securing Indebtedness and other Obligations permitted to be incurred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with financial institutions; (iv) encumbering reasonable customary initial deposits and margin deposits and similar Liens attaching to commodity trading accounts or other brokerage accounts incurred in the ordinary course of business or consistent with past practice and not for speculative purposes; and (v)(A) of a collection bank arising under Section 4-210 of the UCC or any comparable or successor provision on items in the course of collection and (B) in favor of a banking or other financial institution or electronic payment service providers arising as a matter of law encumbering deposits (including the right of set-off) arising in the ordinary course of business in connection with the maintenance of such accounts and (C)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Borrower and its Restricted Subsidiaries, taken as a whole;</w:t>
      </w:r>
    </w:p>
    <w:p>
      <w:pPr>
        <w:spacing w:after="0" w:line="175" w:lineRule="exact"/>
        <w:rPr>
          <w:rFonts w:ascii="Times New Roman" w:cs="Times New Roman" w:eastAsia="Times New Roman" w:hAnsi="Times New Roman"/>
          <w:sz w:val="18"/>
          <w:szCs w:val="18"/>
          <w:color w:val="auto"/>
        </w:rPr>
      </w:pPr>
    </w:p>
    <w:p>
      <w:pPr>
        <w:ind w:right="500" w:firstLine="436"/>
        <w:spacing w:after="0" w:line="282" w:lineRule="auto"/>
        <w:tabs>
          <w:tab w:leader="none" w:pos="65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or otherwise arising out of judgments, decrees, attachments, orders or awards not giving rise to an Event of Default under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securing Capitalized Leases,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(i) the aggregate principal amount of Indebtedness secured by such Liens is otherwise permitted to be incurred under this Agreement and (ii)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450" w:name="page451"/>
    <w:bookmarkEnd w:id="450"/>
    <w:p>
      <w:pPr>
        <w:ind w:left="-20" w:right="260" w:firstLine="436"/>
        <w:spacing w:after="0" w:line="282" w:lineRule="auto"/>
        <w:tabs>
          <w:tab w:leader="none" w:pos="63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from UCC financing statements, including precautionary financing statements (or similar filings) regarding operating leases or consignments entered into by the Borrower and its Restricted Subsidiaries;</w:t>
      </w:r>
    </w:p>
    <w:p>
      <w:pPr>
        <w:spacing w:after="0" w:line="161" w:lineRule="exact"/>
        <w:rPr>
          <w:rFonts w:ascii="Times New Roman" w:cs="Times New Roman" w:eastAsia="Times New Roman" w:hAnsi="Times New Roman"/>
          <w:sz w:val="18"/>
          <w:szCs w:val="18"/>
          <w:color w:val="auto"/>
        </w:rPr>
      </w:pPr>
    </w:p>
    <w:p>
      <w:pPr>
        <w:ind w:left="-20" w:right="60" w:firstLine="436"/>
        <w:spacing w:after="0" w:line="271" w:lineRule="auto"/>
        <w:tabs>
          <w:tab w:leader="none" w:pos="725"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provided, however, that such Liens are not created in anticipation of such other Person becoming a Subsidiary (or such acquisition of such property, other assets or stock); provided, further,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173" w:lineRule="exact"/>
        <w:rPr>
          <w:rFonts w:ascii="Times New Roman" w:cs="Times New Roman" w:eastAsia="Times New Roman" w:hAnsi="Times New Roman"/>
          <w:sz w:val="17"/>
          <w:szCs w:val="17"/>
          <w:color w:val="auto"/>
        </w:rPr>
      </w:pPr>
    </w:p>
    <w:p>
      <w:pPr>
        <w:ind w:left="-20" w:right="60" w:firstLine="436"/>
        <w:spacing w:after="0" w:line="282" w:lineRule="auto"/>
        <w:tabs>
          <w:tab w:leader="none" w:pos="67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relating to any Indebtedness or other obligations of the Borrower or a Restricted Subsidiary owing to the Borrower or another Restricted Subsidiary, or Liens in favor of the Borrower or any Restricted Subsidiary or the Collateral Agent;</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54" w:lineRule="auto"/>
        <w:tabs>
          <w:tab w:leader="none" w:pos="67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any Refinancing Indebtedness incurred to refinance Indebtedness that was previously so secured, and permitted to be secured under this Agreement (other than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191"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mortgages, liens, security interests, restrictions, encumbrances or any other matters of record that have been placed by any government, statutory or regulatory authority, developer, landlord or other third party on property over which the Borrower or any Restricted Subsidiary has easement rights or on any leased property and subordination or similar arrangements relating thereto and (ii) any condemnation or eminent domain proceedings affecting any real property;</w:t>
      </w:r>
    </w:p>
    <w:p>
      <w:pPr>
        <w:spacing w:after="0" w:line="179" w:lineRule="exact"/>
        <w:rPr>
          <w:rFonts w:ascii="Times New Roman" w:cs="Times New Roman" w:eastAsia="Times New Roman" w:hAnsi="Times New Roman"/>
          <w:sz w:val="18"/>
          <w:szCs w:val="18"/>
          <w:color w:val="auto"/>
        </w:rPr>
      </w:pPr>
    </w:p>
    <w:p>
      <w:pPr>
        <w:ind w:left="-20" w:right="220" w:firstLine="436"/>
        <w:spacing w:after="0" w:line="312" w:lineRule="auto"/>
        <w:tabs>
          <w:tab w:leader="none" w:pos="675"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(including put and call arrangements) with respect to Equity Interests of any joint venture securing financing arrangement, joint venture or similar arrangement pursuant to any joint venture securing financing agreement, joint venture or similar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80"/>
          </w:cols>
          <w:pgMar w:left="460" w:top="270" w:right="459" w:bottom="1440" w:gutter="0" w:footer="0" w:header="0"/>
        </w:sectPr>
      </w:pPr>
    </w:p>
    <w:bookmarkStart w:id="451" w:name="page452"/>
    <w:bookmarkEnd w:id="451"/>
    <w:p>
      <w:pPr>
        <w:ind w:right="420" w:firstLine="436"/>
        <w:spacing w:after="0" w:line="282" w:lineRule="auto"/>
        <w:tabs>
          <w:tab w:leader="none" w:pos="66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property or assets under construction (and related rights) in favor of a contractor or developer or arising from progress or partial payments by a third party relating to such property or assets;</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67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right="20" w:firstLine="436"/>
        <w:spacing w:after="0" w:line="255" w:lineRule="auto"/>
        <w:tabs>
          <w:tab w:leader="none" w:pos="65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permitted under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 xml:space="preserve"> provided that such Liens shall only be permitted if such Liens are limited to all or part of the same property or assets, including Equity Interests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w:t>
      </w:r>
    </w:p>
    <w:p>
      <w:pPr>
        <w:spacing w:after="0" w:line="188"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or other securities or assets of any Unrestricted Subsidiary that secure Indebtedness or other obligations of such Unrestricted Subsidiary;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permitted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“Cash Equivalents”;</w:t>
      </w:r>
    </w:p>
    <w:p>
      <w:pPr>
        <w:spacing w:after="0" w:line="225" w:lineRule="exact"/>
        <w:rPr>
          <w:rFonts w:ascii="Times New Roman" w:cs="Times New Roman" w:eastAsia="Times New Roman" w:hAnsi="Times New Roman"/>
          <w:sz w:val="18"/>
          <w:szCs w:val="18"/>
          <w:color w:val="auto"/>
        </w:rPr>
      </w:pPr>
    </w:p>
    <w:p>
      <w:pPr>
        <w:jc w:val="both"/>
        <w:ind w:firstLine="436"/>
        <w:spacing w:after="0" w:line="258" w:lineRule="auto"/>
        <w:tabs>
          <w:tab w:leader="none" w:pos="73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 goods the purchase price of which is financed by a documentary letter of credit issued for the account of the Borrower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Borrower or any Restricted Subsidiary in the ordinary course of business or consistent with past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w:t>
      </w:r>
    </w:p>
    <w:p>
      <w:pPr>
        <w:spacing w:after="0" w:line="206"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securities deemed to arise in connection with and solely as a result of the execution, delivery or performance of contracts to sell such assets or securities if such sale is otherwise not prohibited by this Agreement;</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60"/>
          </w:cols>
          <w:pgMar w:left="440" w:top="270" w:right="499" w:bottom="1440" w:gutter="0" w:footer="0" w:header="0"/>
        </w:sectPr>
      </w:pPr>
    </w:p>
    <w:bookmarkStart w:id="452" w:name="page453"/>
    <w:bookmarkEnd w:id="452"/>
    <w:p>
      <w:pPr>
        <w:ind w:right="400" w:firstLine="436"/>
        <w:spacing w:after="0" w:line="282" w:lineRule="auto"/>
        <w:tabs>
          <w:tab w:leader="none" w:pos="7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solely on any cash earnest money deposits made in connection with any letter of intent or purchase agreement permitted under this Agreement;</w:t>
      </w:r>
    </w:p>
    <w:p>
      <w:pPr>
        <w:spacing w:after="0" w:line="161" w:lineRule="exact"/>
        <w:rPr>
          <w:rFonts w:ascii="Times New Roman" w:cs="Times New Roman" w:eastAsia="Times New Roman" w:hAnsi="Times New Roman"/>
          <w:sz w:val="18"/>
          <w:szCs w:val="18"/>
          <w:color w:val="auto"/>
        </w:rPr>
      </w:pPr>
    </w:p>
    <w:p>
      <w:pPr>
        <w:ind w:right="240" w:firstLine="436"/>
        <w:spacing w:after="0" w:line="258" w:lineRule="auto"/>
        <w:tabs>
          <w:tab w:leader="none" w:pos="7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7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in an aggregate principal amount not to exceed at any time outstanding the greater of (a) $50.0 million and (b) an amount equal to 6.0% of the Borrower’s Consolidated Net Tangible Assets determined as of the end of the Borrower’s most recently completed fiscal quarter for which internal financial statements are available at the time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Indebtedness or obligations secured by Liens on all or substantially all of the Collateral, such Indebtedness must be either Other Pari Lien Obligations (and subject to an Equal-Priority Intercreditor Agreement and, if the Borrower elects, the Collateral Trust Agreement or in each case a joinder thereto) or Junior Lien Debt (and subject to a Junior Lien Intercreditor Agreement and, if the Borrower elects, the Collateral Trust Agreement or in each case a joinder thereto);</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then existing with respect to assets of an Unrestricted Subsidiary on the day such Unrestricted Subsidiary is redesignated as a 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 Qualified Securitization Financing or a Receivables Facility;</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7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in favor of the seller of such property set forth in customary purchase agreements and related arrangements with any government, statutory or regulatory authority;</w:t>
      </w:r>
    </w:p>
    <w:p>
      <w:pPr>
        <w:spacing w:after="0" w:line="161" w:lineRule="exact"/>
        <w:rPr>
          <w:rFonts w:ascii="Times New Roman" w:cs="Times New Roman" w:eastAsia="Times New Roman" w:hAnsi="Times New Roman"/>
          <w:sz w:val="18"/>
          <w:szCs w:val="18"/>
          <w:color w:val="auto"/>
        </w:rPr>
      </w:pPr>
    </w:p>
    <w:p>
      <w:pPr>
        <w:jc w:val="both"/>
        <w:ind w:right="260" w:firstLine="436"/>
        <w:spacing w:after="0" w:line="266" w:lineRule="auto"/>
        <w:tabs>
          <w:tab w:leader="none" w:pos="7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to or vested in any Person or government, statutory or regulatory authority by the terms of any lease, license, franchise, grant or permit held by the Borrower or any Restricted Subsidiary or by a statutory provision, to terminate any such lease, license, franchise, grant or permit, or to require annual or periodic payments as a condition to the continuance thereof;</w:t>
      </w:r>
    </w:p>
    <w:p>
      <w:pPr>
        <w:spacing w:after="0" w:line="175"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70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Borrower or any Restricted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440" w:top="270" w:right="459" w:bottom="1440" w:gutter="0" w:footer="0" w:header="0"/>
        </w:sectPr>
      </w:pPr>
    </w:p>
    <w:bookmarkStart w:id="453" w:name="page454"/>
    <w:bookmarkEnd w:id="453"/>
    <w:p>
      <w:pPr>
        <w:ind w:right="420" w:firstLine="436"/>
        <w:spacing w:after="0" w:line="284" w:lineRule="auto"/>
        <w:tabs>
          <w:tab w:leader="none" w:pos="70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on property, assets or Permitted Investments used to defease or to satisfy or discharge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defeasance, satisfaction or discharge is not prohibited by this Agreement;</w:t>
      </w:r>
    </w:p>
    <w:p>
      <w:pPr>
        <w:spacing w:after="0" w:line="160" w:lineRule="exact"/>
        <w:rPr>
          <w:rFonts w:ascii="Times New Roman" w:cs="Times New Roman" w:eastAsia="Times New Roman" w:hAnsi="Times New Roman"/>
          <w:sz w:val="18"/>
          <w:szCs w:val="18"/>
          <w:color w:val="auto"/>
        </w:rPr>
      </w:pPr>
    </w:p>
    <w:p>
      <w:pPr>
        <w:ind w:right="20" w:firstLine="436"/>
        <w:spacing w:after="0" w:line="258" w:lineRule="auto"/>
        <w:tabs>
          <w:tab w:leader="none" w:pos="78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any Indebtedness owed to any Captive Insurance Subsidiary by the Borrower or any Restricted Subsidiary;</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88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the benefit of Borrower or any Restricted Subsidiary arising in connection with any Permitted Intercompany Activities and related transactions;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Maritime Liens; and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78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Vessels under or to be under construction or conversion or otherwise not constituting Collateral and assets related thereto (including cash and Cash Equivalents held in one or more Excluded Accounts constituting the proceeds of any financing described under this clause (oo) or that are earmarked to fund such construction or conversion and costs and expenses ancillary thereto, including any downpayments in respect thereof (“</w:t>
      </w:r>
      <w:r>
        <w:rPr>
          <w:rFonts w:ascii="Times New Roman" w:cs="Times New Roman" w:eastAsia="Times New Roman" w:hAnsi="Times New Roman"/>
          <w:sz w:val="18"/>
          <w:szCs w:val="18"/>
          <w:b w:val="1"/>
          <w:bCs w:val="1"/>
          <w:color w:val="auto"/>
        </w:rPr>
        <w:t>Subsidized Indebtedness Specified Cash</w:t>
      </w:r>
      <w:r>
        <w:rPr>
          <w:rFonts w:ascii="Times New Roman" w:cs="Times New Roman" w:eastAsia="Times New Roman" w:hAnsi="Times New Roman"/>
          <w:sz w:val="18"/>
          <w:szCs w:val="18"/>
          <w:color w:val="auto"/>
        </w:rPr>
        <w:t>”)) securing government or quasi-government provided, supported, guaranteed or subsidized Indebtedness in an aggregate principal amount not to exceed (i) in the case of Liens on Vessels registered under the laws and flag of the United States, the greater of $40 million and an amount equal to 5% of the Borrower’s Consolidated Net Tangible Assets as determined as of the end of the Borrower’s most recently completed fiscal quarter for which internal financial statements are available and (ii) in the case of any Vessel not registered under the laws and flag of the United States, an amount equal to 75% of the aggregate cost and expenses associated with or otherwise anticipated by the Borrower to be incurred in connection with such acquisition, construction or conversion.</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in the event that any Lien (or any portion thereof) meets the criteria of more than one of the categories set forth above, the Borrower may, in their sole discretion, at the time of incurrence, divide, classify or reclassify, or at any later time divide, classify or reclassify, such Lien (or any portion thereof) in any manner that complies with this covenant on the date such Lien is incurred or such later time, as applicable. For the avoidance of doubt, a Lien may be reclassified at a time subsequent to the time it was originally incurred, so long as such Lien would have been able to have been incurred at the time of such reclassification pursuant to the provision to which such Lien is being reclassified.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68" w:right="459" w:bottom="1440" w:gutter="0" w:footer="0" w:header="0"/>
        </w:sectPr>
      </w:pPr>
    </w:p>
    <w:bookmarkStart w:id="454" w:name="page455"/>
    <w:bookmarkEnd w:id="454"/>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neither the Borrower nor any Restricted Subsidiary shall permit any Lien to exist on (x) Excluded Foreign Flag Vessels or (y) in the case of a FSHCO, a Foreign Subsidiary or a Restricted Subsidiary of any FSHCO or Foreign Subsidiary (in each case, which is not a Guarantor), any assets or properties thereof, which Liens are securing Indebtedness for Borrowed Money, excluding (i) Liens arising as a matter of law, (ii) Liens securing Purchase Money Obligations or Capitalized Lease Obligations, (iii) Liens securing Acquiring Indebtedness, (iv) Liens securing insurance financings in respect of </w:t>
      </w:r>
      <w:r>
        <w:rPr>
          <w:rFonts w:ascii="Times New Roman" w:cs="Times New Roman" w:eastAsia="Times New Roman" w:hAnsi="Times New Roman"/>
          <w:sz w:val="18"/>
          <w:szCs w:val="18"/>
          <w:u w:val="single" w:color="auto"/>
          <w:color w:val="auto"/>
        </w:rPr>
        <w:t>Section 7.03(m)(i)</w:t>
      </w:r>
      <w:r>
        <w:rPr>
          <w:rFonts w:ascii="Times New Roman" w:cs="Times New Roman" w:eastAsia="Times New Roman" w:hAnsi="Times New Roman"/>
          <w:sz w:val="18"/>
          <w:szCs w:val="18"/>
          <w:color w:val="auto"/>
        </w:rPr>
        <w:t>, (v) Liens which are not a mortgage Lien which secure Intercompany Indebtedness, and (vi) any permitted refinancings of each of the foregoing.</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neither the Borrower nor any Restricted Subsidiary shall permit any Liens on the Collateral secured on a senior or otherwise preferred basis with the Liens securing the Obligations to the extent such Liens secure (i) Super-Priority Debt (excluding the Obligations) or other Indebtedness and (ii) any other First Lien Debt for borrowed money (other than to the extent constituting Obligations, Second Lien Credit Agreement Refinancing Indebtedness or Indebtedness permitted under Section 7.03(a) above), in each case, without the prior written consent of all Lenders.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Create, incur or assume any Indebtedness (including Acquired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Borrower and any of its Restricted Subsidiaries may incur Indebtedness (including Acquired Indebtedness), if on the date of such incurrence and after giving pro forma effect thereto (including pro forma application of the proceeds thereof), (A) the Fixed Charge Coverage Ratio of the Borrower and its Restricted Subsidiaries is greater than 2.00 to 1.00 and (B) the Borrower is in pro forma compliance with the Financial Covenants (“</w:t>
      </w:r>
      <w:r>
        <w:rPr>
          <w:rFonts w:ascii="Times New Roman" w:cs="Times New Roman" w:eastAsia="Times New Roman" w:hAnsi="Times New Roman"/>
          <w:sz w:val="17"/>
          <w:szCs w:val="17"/>
          <w:b w:val="1"/>
          <w:bCs w:val="1"/>
          <w:color w:val="auto"/>
        </w:rPr>
        <w:t>Ratio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foregoing shall not prohibit the incurrence of the following Indebtedness (collectively, together with Ratio Debt, “</w:t>
      </w:r>
      <w:r>
        <w:rPr>
          <w:rFonts w:ascii="Times New Roman" w:cs="Times New Roman" w:eastAsia="Times New Roman" w:hAnsi="Times New Roman"/>
          <w:sz w:val="17"/>
          <w:szCs w:val="17"/>
          <w:b w:val="1"/>
          <w:bCs w:val="1"/>
          <w:color w:val="auto"/>
        </w:rPr>
        <w:t>Permitted Debt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firstLine="436"/>
        <w:spacing w:after="0" w:line="253" w:lineRule="auto"/>
        <w:tabs>
          <w:tab w:leader="none" w:pos="68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 under the Loan Documents (including Incremental Loans, Refinancing Loans and Extended Loans) and all other Obligations and any Incremental Equivalent Debt and (ii) Indebtedness incurred by the Borrower or any Guarantor (including any First Lien Debt (other than Super-Priority Debt), Junior Lien Debt and any letters of credit or bankers’ acceptances) and Guarantees in respect thereof, up to an aggregate principal amount at the time of incurrence not exceeding (x) the greater of $200.0 million and an amount equal to 35% of the Borrower’s Consolidated Net Tangible Assets determined as of the end of the Borrower’s most recently completed fiscal quarter for which internal financial statements are available, plus (y) an unlimited amount if on the date of such incurrence and after giving pro forma effect thereto (including pro forma application of the proceeds thereof) the Secured Net Leverage Ratio of the Borrower and its Restricted Subsidiaries is no greater than 2.25 to 1.00 (or, with respect to an acquisition (by merger, consolidation, amalgamation or otherwise), if the Secured Net Leverage Ratio after giving effect to such acquisition of the Borrower and its Restricted Subsidiaries is no worse than the Secured Net Leverage Ratio of the Borrower and its Restricted Subsidiaries immediately prior to such acquisition) (in each case, with any Indebtedness incurred in reliance upon this clause (ii) being deemed to be Consolidated Secured Net Debt for purposes of calculating the Secured Leverage Ratio, whether or not secured), as long as, in the case of this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the Borrower is in pro forma compliance with the Financial Covenants upon giving pro forma effect thereto and,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Refinancing Indebtedness in respect thereof;</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440" w:top="270" w:right="479" w:bottom="1440" w:gutter="0" w:footer="0" w:header="0"/>
        </w:sectPr>
      </w:pPr>
    </w:p>
    <w:bookmarkStart w:id="455" w:name="page456"/>
    <w:bookmarkEnd w:id="455"/>
    <w:p>
      <w:pPr>
        <w:ind w:left="704" w:hanging="264"/>
        <w:spacing w:after="0"/>
        <w:tabs>
          <w:tab w:leader="none" w:pos="70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(together with guarantee obligations thereunder), including Indebtedness under the Second Lien Credit Agreement, so long all such Indebtedness is repaid, refinanced with the proceeds of or exchanged for Second Lien Credit Agreement Refinancing Indebtedness or the maturity date thereunder is otherwise extended by the date that is no later than ninety-one (91) days prior to the maturity date under the existing Second Lien Credit Agreement and as long as, after giving effect to such refinancing or extension, the maturity date of such resulting Indebtedness is no earlier than ninety-one (91) days after the then-latest Maturity Date and as otherwise listed on </w:t>
      </w:r>
      <w:r>
        <w:rPr>
          <w:rFonts w:ascii="Times New Roman" w:cs="Times New Roman" w:eastAsia="Times New Roman" w:hAnsi="Times New Roman"/>
          <w:sz w:val="18"/>
          <w:szCs w:val="18"/>
          <w:u w:val="single" w:color="auto"/>
          <w:color w:val="auto"/>
        </w:rPr>
        <w:t>Schedule 7.03(c))</w:t>
      </w:r>
      <w:r>
        <w:rPr>
          <w:rFonts w:ascii="Times New Roman" w:cs="Times New Roman" w:eastAsia="Times New Roman" w:hAnsi="Times New Roman"/>
          <w:sz w:val="18"/>
          <w:szCs w:val="18"/>
          <w:color w:val="auto"/>
        </w:rPr>
        <w:t xml:space="preserve"> hereto and any Refinancing Indebtedness thereof (or, in the case of Indebtedness under the Second Lien Credit Agreement, any Second Lien Credit Agreement Refinancing Indebtedness) and any Intercompany Indebtedness outstanding on the Closing Date;</w:t>
      </w:r>
    </w:p>
    <w:p>
      <w:pPr>
        <w:spacing w:after="0" w:line="188"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or any Restricted Subsidiary of Indebtedness or other obligations of the Borrower or any Restricted Subsidiary so long as the incurrence of such Indebtedness or other obligations guaranteed pursuant hereto was not prohibited by the terms of this Agreement at the time it was incurred and, with respect to non-Guarantor Restricted Subsidiaries, could have been incurred by a non-Guarantor Restricted Subsidiary;</w:t>
      </w:r>
    </w:p>
    <w:p>
      <w:pPr>
        <w:spacing w:after="0" w:line="175"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89"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to any Restricted Subsidiary or Indebtedness of a Restricted Subsidiary to the Borrower or to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082"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or any other event which results in any such Indebtedness being held by a Person other than the Borrower or a Restricted Subsidiary, and</w:t>
      </w:r>
    </w:p>
    <w:p>
      <w:pPr>
        <w:spacing w:after="0" w:line="53"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32"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Indebtedness to a Person other than the Borrower or a Restricted Subsidiary, shall be deemed, in each case, to constitute an incurrence of such Indebtedness by the Borrower or such Restricted Subsidiary, as the case may be;</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(i) by Refinancing Indebtedness incurred in respect of any indebtedness described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and (ii) by Management Advances;</w:t>
      </w:r>
    </w:p>
    <w:p>
      <w:pPr>
        <w:spacing w:after="0" w:line="206" w:lineRule="exact"/>
        <w:rPr>
          <w:rFonts w:ascii="Times New Roman" w:cs="Times New Roman" w:eastAsia="Times New Roman" w:hAnsi="Times New Roman"/>
          <w:sz w:val="18"/>
          <w:szCs w:val="18"/>
          <w:u w:val="single" w:color="auto"/>
          <w:color w:val="auto"/>
        </w:rPr>
      </w:pPr>
    </w:p>
    <w:p>
      <w:pPr>
        <w:ind w:left="4" w:firstLine="436"/>
        <w:spacing w:after="0" w:line="261" w:lineRule="auto"/>
        <w:tabs>
          <w:tab w:leader="none" w:pos="699"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(x) the Borrower or any Restricted Subsidiary incurred or issued to finance an acquisition or Investment or (y) Persons that are acquired by the Borrower or any Restricted Subsidiary or merged into, amalgamated or consolidated with the Borrower or a Restricted Subsidiary in accordance with the terms of this Agreement (including designating an Unrestricted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acquisition, merger, amalgamation or consolidation and after giving pro forma effect to the incurrence of such Indebtedness, either:</w:t>
      </w:r>
    </w:p>
    <w:p>
      <w:pPr>
        <w:spacing w:after="0" w:line="71"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Restricted Subsidiaries would be permitted to incur at least $1.00 of Ratio Debt; or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4"/>
          </w:cols>
          <w:pgMar w:left="436" w:top="270" w:right="479" w:bottom="1440" w:gutter="0" w:footer="0" w:header="0"/>
        </w:sectPr>
      </w:pPr>
    </w:p>
    <w:bookmarkStart w:id="456" w:name="page457"/>
    <w:bookmarkEnd w:id="456"/>
    <w:p>
      <w:pPr>
        <w:ind w:left="440" w:right="260" w:firstLine="419"/>
        <w:spacing w:after="0" w:line="282" w:lineRule="auto"/>
        <w:tabs>
          <w:tab w:leader="none" w:pos="112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Fixed Charge Coverage Ratio of the Borrower and its Restricted Subsidiaries would not be lower than it was immediately prior to such acquisition, merger, amalgamation or consolidation;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any Hedge Agreements (excluding Hedge Agreements entered into for speculative purposes);</w:t>
      </w:r>
    </w:p>
    <w:p>
      <w:pPr>
        <w:spacing w:after="0" w:line="225" w:lineRule="exact"/>
        <w:rPr>
          <w:rFonts w:ascii="Times New Roman" w:cs="Times New Roman" w:eastAsia="Times New Roman" w:hAnsi="Times New Roman"/>
          <w:sz w:val="18"/>
          <w:szCs w:val="18"/>
          <w:color w:val="auto"/>
        </w:rPr>
      </w:pPr>
    </w:p>
    <w:p>
      <w:pPr>
        <w:ind w:right="320" w:firstLine="436"/>
        <w:spacing w:after="0" w:line="258" w:lineRule="auto"/>
        <w:tabs>
          <w:tab w:leader="none" w:pos="6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by Capitalized Leases or purchase money obligations or Sale Leaseback Transactions in an aggregate outstanding principal amount which, when taken together with the principal amount of all other Indebtedness incurred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then outstanding, does not exceed the greater of (x) $50.0 million and (y) an amount equal to 6.0% of the Borrower’s Consolidated Net Tangible Assets determined as of the end of the Borrower’s most recently completed fiscal quarter for which internal financial statements are available, and any Refinancing Indebtedness in respect thereof;</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w:t>
      </w:r>
    </w:p>
    <w:p>
      <w:pPr>
        <w:spacing w:after="0" w:line="194"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Equity Interests of a Subsidiary) or Investment (other than Guarantees of Indebtedness incurred by any Person acquiring or disposing of such business, assets, Person or Investment for the purpose of financing such acquisition or disposition);</w:t>
      </w:r>
    </w:p>
    <w:p>
      <w:pPr>
        <w:spacing w:after="0" w:line="183" w:lineRule="exact"/>
        <w:rPr>
          <w:rFonts w:ascii="Times New Roman" w:cs="Times New Roman" w:eastAsia="Times New Roman" w:hAnsi="Times New Roman"/>
          <w:sz w:val="18"/>
          <w:szCs w:val="18"/>
          <w:color w:val="auto"/>
        </w:rPr>
      </w:pPr>
    </w:p>
    <w:p>
      <w:pPr>
        <w:ind w:right="140" w:firstLine="436"/>
        <w:spacing w:after="0" w:line="256" w:lineRule="auto"/>
        <w:tabs>
          <w:tab w:leader="none" w:pos="6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an aggregate outstanding principal amount which, when taken together with the principal amount of all other Indebtedness incurred pursuant to this clause and then outstanding, will not exceed 100% of the net cash proceeds received by the Borrower or its Restricted Subsidiaries from the issuance or sale (other than to a Restricted Subsidiary) of its Equity Interests or otherwise contributed to the equity (in each case, other than through the issuance of Disqualified Equity Interest) of the Borrower or its Restricted Subsidiaries, in each case, subsequent to the Closing Date, and any Refinancing Indebtedness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any such net cash proceeds that are so received or contributed shall not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440" w:top="270" w:right="459" w:bottom="1440" w:gutter="0" w:footer="0" w:header="0"/>
        </w:sectPr>
      </w:pPr>
    </w:p>
    <w:bookmarkStart w:id="457" w:name="page458"/>
    <w:bookmarkEnd w:id="457"/>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increase the Available Amount to the extent the Borrower and its Restricted Subsidiaries incur Indebtedness pursuant to this </w:t>
      </w:r>
      <w:r>
        <w:rPr>
          <w:rFonts w:ascii="Times New Roman" w:cs="Times New Roman" w:eastAsia="Times New Roman" w:hAnsi="Times New Roman"/>
          <w:sz w:val="17"/>
          <w:szCs w:val="17"/>
          <w:u w:val="single" w:color="auto"/>
          <w:color w:val="auto"/>
        </w:rPr>
        <w:t>clause (l)</w:t>
      </w:r>
      <w:r>
        <w:rPr>
          <w:rFonts w:ascii="Times New Roman" w:cs="Times New Roman" w:eastAsia="Times New Roman" w:hAnsi="Times New Roman"/>
          <w:sz w:val="17"/>
          <w:szCs w:val="17"/>
          <w:color w:val="auto"/>
        </w:rPr>
        <w:t xml:space="preserve"> in reliance thereon and (ii) any net cash proceeds that are so received or contributed shall be excluded for purposes of incurring Indebtedness pursuant to this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left="4" w:right="400" w:hanging="4"/>
        <w:spacing w:after="0" w:line="260" w:lineRule="auto"/>
        <w:tabs>
          <w:tab w:leader="none" w:pos="219" w:val="left"/>
        </w:tabs>
        <w:numPr>
          <w:ilvl w:val="0"/>
          <w:numId w:val="3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the extent such net cash proceeds or cash have been applied to make Investments, Permitted Payments and other transactions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u w:val="single" w:color="auto"/>
          <w:color w:val="auto"/>
        </w:rPr>
      </w:pPr>
    </w:p>
    <w:p>
      <w:pPr>
        <w:ind w:left="4" w:right="300" w:firstLine="436"/>
        <w:spacing w:after="0" w:line="282" w:lineRule="auto"/>
        <w:tabs>
          <w:tab w:leader="none" w:pos="74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its Restricted Subsidiaries consisting of (i) the financing of insurance premiums or (ii) take-or-pay obligations contained in supply arrangements, in each case incurred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9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outstanding principal amount which, when taken together with the principal amount of all other Indebtedness incurred pursuant to this clause and then outstanding, including any Refinancing Indebtedness in respect thereof, will not exceed the greater of (i) $50.0 million and (ii) an amount equal to 6.0% of the Borrower’s Consolidated Net Tangible Assets determined as of the end of the Borrower’s most recently completed fiscal quarter for which internal financial statements are available;</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guaranty of any obligation, of the Borrower or any Restricted Subsidiary to reimburse or indemnify a Person extending credit to customers of the Borrower or a Restricted Subsidiary incurred in the ordinary course of business or consistent with past practice for all or any portion of the amounts payable by such customers to the Person extending such credit;</w:t>
      </w:r>
    </w:p>
    <w:p>
      <w:pPr>
        <w:spacing w:after="0" w:line="17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to a customer to finance the acquisition of any equipment necessary to perform services for such customer; provided that the terms of such Indebtedness are consistent with those entered into with respect to similar Indebtedness prior to the Closing Date, including, if so consistent, that (1) the repayment of such Indebtedness is conditional upon such customer ordering a specific amount of goods or services and (2) such Indebtedness does not bear interest or provide for scheduled amortization or maturity;</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Restricted Payments pursuant to the Jones Act Warrants (or other warrants issued pursuant thereto) to the extent that such Restricted Payments were made in compliance with Section 7.06 (assuming for such purpose that payment by the Borrower of such Indebtedness as of such date (even if the actual payment occurs as of a later date) constitutes a Restricted Payment for purposes of Section 7.06 herein) (“</w:t>
      </w:r>
      <w:r>
        <w:rPr>
          <w:rFonts w:ascii="Times New Roman" w:cs="Times New Roman" w:eastAsia="Times New Roman" w:hAnsi="Times New Roman"/>
          <w:sz w:val="18"/>
          <w:szCs w:val="18"/>
          <w:b w:val="1"/>
          <w:bCs w:val="1"/>
          <w:color w:val="auto"/>
        </w:rPr>
        <w:t>Jones Act Notes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6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by Foreign Subsidiaries or non-Guarantor Restricted Subsidiaries in an aggregate outstanding principal amount which, when taken together with the principal amount of all other Indebtedness incurred pursuant to this </w:t>
      </w:r>
      <w:r>
        <w:rPr>
          <w:rFonts w:ascii="Times New Roman" w:cs="Times New Roman" w:eastAsia="Times New Roman" w:hAnsi="Times New Roman"/>
          <w:sz w:val="18"/>
          <w:szCs w:val="18"/>
          <w:u w:val="single" w:color="auto"/>
          <w:color w:val="auto"/>
        </w:rPr>
        <w:t>clause (r)</w:t>
      </w:r>
      <w:r>
        <w:rPr>
          <w:rFonts w:ascii="Times New Roman" w:cs="Times New Roman" w:eastAsia="Times New Roman" w:hAnsi="Times New Roman"/>
          <w:sz w:val="18"/>
          <w:szCs w:val="18"/>
          <w:color w:val="auto"/>
        </w:rPr>
        <w:t xml:space="preserve"> and then outstanding, including any Refinancing Indebtedness in respect thereof, does not exceed the greater of (a) $10.0 million and (b) an amount equal to 1.25% of the Borrower’s Consolidated Net Tangible Assets determined as of the end of the Borrower’s most recently completed fiscal quarter for which internal financial statements are available;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0984"/>
          </w:cols>
          <w:pgMar w:left="436" w:top="270" w:right="479" w:bottom="1440" w:gutter="0" w:footer="0" w:header="0"/>
        </w:sectPr>
      </w:pPr>
    </w:p>
    <w:bookmarkStart w:id="458" w:name="page459"/>
    <w:bookmarkEnd w:id="458"/>
    <w:p>
      <w:pPr>
        <w:ind w:right="100" w:firstLine="436"/>
        <w:spacing w:after="0" w:line="261" w:lineRule="auto"/>
        <w:tabs>
          <w:tab w:leader="none" w:pos="67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incurred on behalf of, or representing Guarantees of Indebtedness of, any joint ventures in an aggregate principal amount at any time outstanding not to exceed the greater of (a) $25.0 million and (b) an amount equal to 3.0% of the Borrower’s Consolidated Net Tangible Assets determined as of the end of the Borrower’s most recently completed fiscal quarter for which internal financial statements are available, and any Refinancing Indebtedness in respect thereof;</w:t>
      </w:r>
    </w:p>
    <w:p>
      <w:pPr>
        <w:spacing w:after="0" w:line="179" w:lineRule="exact"/>
        <w:rPr>
          <w:rFonts w:ascii="Times New Roman" w:cs="Times New Roman" w:eastAsia="Times New Roman" w:hAnsi="Times New Roman"/>
          <w:sz w:val="18"/>
          <w:szCs w:val="18"/>
          <w:color w:val="auto"/>
        </w:rPr>
      </w:pPr>
    </w:p>
    <w:p>
      <w:pPr>
        <w:ind w:right="480" w:firstLine="436"/>
        <w:spacing w:after="0" w:line="282" w:lineRule="auto"/>
        <w:tabs>
          <w:tab w:leader="none" w:pos="65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its Restricted Subsidiaries arising pursuant to any Permitted Intercompany Activities and related transactions;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purposes of determining compliance with, and the outstanding principal amount of any particular Indebtedness incurred pursuant to and in compliance with, this covenant:</w:t>
      </w:r>
    </w:p>
    <w:p>
      <w:pPr>
        <w:spacing w:after="0" w:line="67" w:lineRule="exact"/>
        <w:rPr>
          <w:sz w:val="20"/>
          <w:szCs w:val="20"/>
          <w:color w:val="auto"/>
        </w:rPr>
      </w:pPr>
    </w:p>
    <w:p>
      <w:pPr>
        <w:ind w:left="960" w:right="60" w:hanging="532"/>
        <w:spacing w:after="0" w:line="266" w:lineRule="auto"/>
        <w:tabs>
          <w:tab w:leader="none" w:pos="9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any item of Indebtedness meets the criteria of more than one of the types of Permitted Debt, the Borrower, in its sole discretion, will classify, and may from time to time reclassify, such item of Indebtedness (or any portion thereof) and only be required to include the amount and type of such Indebtedness in the applicable Permitted Debt category;</w:t>
      </w:r>
    </w:p>
    <w:p>
      <w:pPr>
        <w:spacing w:after="0" w:line="81"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all or any portion of any item of Indebtedness may later be reclassified as having been incurred pursuant to any type of Indebtedness described as Permitted Debt so long as such Indebtedness is permitted to be incurred pursuant to such provision and any related Liens are permitted to be incurred at the time of reclassification (it being understood that any Permitted Debt incurred pursuant to one of the clauses of the second proviso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cease to be deemed incurred or outstanding for purposes of such Section but shall be deemed incurred as Ratio Debt from and after the first date on which the Borrower or its Restricted Subsidiaries could have incurred such Ratio Debt without reliance on such clause);</w:t>
      </w:r>
    </w:p>
    <w:p>
      <w:pPr>
        <w:spacing w:after="0" w:line="92"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Obligations shall be incurred under </w:t>
      </w:r>
      <w:r>
        <w:rPr>
          <w:rFonts w:ascii="Times New Roman" w:cs="Times New Roman" w:eastAsia="Times New Roman" w:hAnsi="Times New Roman"/>
          <w:sz w:val="18"/>
          <w:szCs w:val="18"/>
          <w:u w:val="single" w:color="auto"/>
          <w:color w:val="auto"/>
        </w:rPr>
        <w:t>Section 7.03(a)(i)</w:t>
      </w:r>
      <w:r>
        <w:rPr>
          <w:rFonts w:ascii="Times New Roman" w:cs="Times New Roman" w:eastAsia="Times New Roman" w:hAnsi="Times New Roman"/>
          <w:sz w:val="18"/>
          <w:szCs w:val="18"/>
          <w:color w:val="auto"/>
        </w:rPr>
        <w:t xml:space="preserve"> and Super-Priority Debt shall only be permitted to be incurred under </w:t>
      </w:r>
      <w:r>
        <w:rPr>
          <w:rFonts w:ascii="Times New Roman" w:cs="Times New Roman" w:eastAsia="Times New Roman" w:hAnsi="Times New Roman"/>
          <w:sz w:val="18"/>
          <w:szCs w:val="18"/>
          <w:u w:val="single" w:color="auto"/>
          <w:color w:val="auto"/>
        </w:rPr>
        <w:t>Section 7.03(a)(i)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Indebtedness and Second Lien Credit Agreement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85"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940"/>
          </w:cols>
          <w:pgMar w:left="440" w:top="270" w:right="519" w:bottom="1440" w:gutter="0" w:footer="0" w:header="0"/>
        </w:sectPr>
      </w:pPr>
    </w:p>
    <w:bookmarkStart w:id="459" w:name="page460"/>
    <w:bookmarkEnd w:id="459"/>
    <w:p>
      <w:pPr>
        <w:ind w:left="540" w:hanging="532"/>
        <w:spacing w:after="0"/>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30" w:lineRule="exact"/>
        <w:rPr>
          <w:rFonts w:ascii="Times New Roman" w:cs="Times New Roman" w:eastAsia="Times New Roman" w:hAnsi="Times New Roman"/>
          <w:sz w:val="18"/>
          <w:szCs w:val="18"/>
          <w:color w:val="auto"/>
        </w:rPr>
      </w:pPr>
    </w:p>
    <w:p>
      <w:pPr>
        <w:ind w:left="540" w:right="160" w:hanging="532"/>
        <w:spacing w:after="0" w:line="266" w:lineRule="auto"/>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w:t>
      </w:r>
    </w:p>
    <w:p>
      <w:pPr>
        <w:spacing w:after="0" w:line="81" w:lineRule="exact"/>
        <w:rPr>
          <w:rFonts w:ascii="Times New Roman" w:cs="Times New Roman" w:eastAsia="Times New Roman" w:hAnsi="Times New Roman"/>
          <w:sz w:val="18"/>
          <w:szCs w:val="18"/>
          <w:color w:val="auto"/>
        </w:rPr>
      </w:pPr>
    </w:p>
    <w:p>
      <w:pPr>
        <w:ind w:left="540" w:right="220" w:hanging="532"/>
        <w:spacing w:after="0" w:line="266" w:lineRule="auto"/>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by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permitting such Indebtedness;</w:t>
      </w:r>
    </w:p>
    <w:p>
      <w:pPr>
        <w:spacing w:after="0" w:line="81"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calculating ratio-based baskets and pro forma compliance with the Financial Covenants, as applicable, in connection with the incurrence, issuance or assumption of any Indebtedness pursuant to the Permitted Debt clauses above or the incurrence or creation of any Lien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Borrower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cs="Times New Roman" w:eastAsia="Times New Roman" w:hAnsi="Times New Roman"/>
          <w:sz w:val="18"/>
          <w:szCs w:val="18"/>
          <w:b w:val="1"/>
          <w:bCs w:val="1"/>
          <w:color w:val="auto"/>
        </w:rPr>
        <w:t>Reserved Indebtedness Amount</w:t>
      </w:r>
      <w:r>
        <w:rPr>
          <w:rFonts w:ascii="Times New Roman" w:cs="Times New Roman" w:eastAsia="Times New Roman" w:hAnsi="Times New Roman"/>
          <w:sz w:val="18"/>
          <w:szCs w:val="18"/>
          <w:color w:val="auto"/>
        </w:rPr>
        <w:t xml:space="preserve">”), as being incurred as of such election date, and, if such ratio-based basket, Financial Covenant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as applicable, whether or not the ratio-based basket or pro forma compliance with the Financial Covenant,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subsequent calculations of the applicable ratio-based basket or Financial Covenant (including testing of the Financial Covenants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as applicable, the Reserved Indebtedness Amount shall be deemed to be outstanding, whether or not such amount is actually outstanding, for so long as such commitments are outstanding or until the Borrower revokes an election of a Reserved Indebtedness Amount;</w:t>
      </w:r>
    </w:p>
    <w:p>
      <w:pPr>
        <w:spacing w:after="0" w:line="10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right="160" w:hanging="532"/>
        <w:spacing w:after="0" w:line="261" w:lineRule="auto"/>
        <w:tabs>
          <w:tab w:leader="none" w:pos="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covenant to the contrary, in the case of any Indebtedness incurred to refinance Indebtedness initially incurred in reliance on a clause of Permitted Debt (other than Ratio Debt) measured by reference to a percentage of Consolidated Net Tangible Assets at the time of incurrence, if such refinancing would cause the percentage of Consolidated Net Tangible Assets restriction to be exceeded if calculated based on the percentage of Consolidated Net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580"/>
          </w:cols>
          <w:pgMar w:left="860" w:top="270" w:right="459" w:bottom="1440" w:gutter="0" w:footer="0" w:header="0"/>
        </w:sectPr>
      </w:pPr>
    </w:p>
    <w:bookmarkStart w:id="460" w:name="page461"/>
    <w:bookmarkEnd w:id="460"/>
    <w:p>
      <w:pPr>
        <w:ind w:left="56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Tangible Assets on the date of such refinancing, such percentage of Consolidated Net Tangible Assets restriction shall not be deemed to be exceeded so long as the principal amount of such refinancing Indebtedness does not exceed the principal amount of such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dividends, premiums (including tender premiums), defeasance costs, underwriting discounts, fees, costs and expenses (including original issue discount, upfront fees or similar fees) in connection with such refinancing;</w:t>
      </w:r>
    </w:p>
    <w:p>
      <w:pPr>
        <w:spacing w:after="0" w:line="85" w:lineRule="exact"/>
        <w:rPr>
          <w:sz w:val="20"/>
          <w:szCs w:val="20"/>
          <w:color w:val="auto"/>
        </w:rPr>
      </w:pPr>
    </w:p>
    <w:p>
      <w:pPr>
        <w:ind w:left="540" w:right="340" w:hanging="532"/>
        <w:spacing w:after="0" w:line="282" w:lineRule="auto"/>
        <w:tabs>
          <w:tab w:leader="none" w:pos="5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issued at a price that is less than the principal amount thereof will be equal to the amount of the liability in respect thereof determined in accordance with GAAP; and</w:t>
      </w:r>
    </w:p>
    <w:p>
      <w:pPr>
        <w:spacing w:after="0" w:line="67"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Borrower or a Restricted Subsidiary incurs additional Indebtedness constituting Consolidated First and Second Lien Debt (other than, for the avoidance of doubt, the Obligations and Second Lien Credit Agreement Refinancing Indebtedness), in each case, pursuant to a provision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based on a percentage of the Borrower’s Consolidated Net Tangible Assets or subject to pro forma compliance with the Secured Net Leverage Ratio, the Borrower shall demonstrate that immediately following the incurrence of such additional Indebtedness, the Collateral Coverage Ratio is not less than 1.50:1.00.</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117" w:lineRule="exact"/>
        <w:rPr>
          <w:sz w:val="20"/>
          <w:szCs w:val="20"/>
          <w:color w:val="auto"/>
        </w:rPr>
      </w:pPr>
    </w:p>
    <w:p>
      <w:pPr>
        <w:ind w:left="20" w:firstLine="419"/>
        <w:spacing w:after="0" w:line="268" w:lineRule="auto"/>
        <w:tabs>
          <w:tab w:leader="none" w:pos="738"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in all respects to the Inside Maturity Exception, none of the Borrower nor any of its Restricted Subsidiaries may incur Material Indebtedness under this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amend, modify or supplement the terms of any such Material Indebtedness) if such Indebtedness has (or, as a result of such amendment, modification or supplement, would have) a final stated maturity date any earlier than ninety-one (91) days after the latest maturity date of the Initial Revolving Loans; provided however that this paragraph shall not apply to (i) Purchase Money Obligations and Capitalized Lease Obligations (in each case, for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equipment, vehicle or similar asset-specific financings as determined in good faith by a Responsible Officer), (ii) Acquired Indebtedness or (iii) insurance financings in respect of </w:t>
      </w:r>
      <w:r>
        <w:rPr>
          <w:rFonts w:ascii="Times New Roman" w:cs="Times New Roman" w:eastAsia="Times New Roman" w:hAnsi="Times New Roman"/>
          <w:sz w:val="17"/>
          <w:szCs w:val="17"/>
          <w:u w:val="single" w:color="auto"/>
          <w:color w:val="auto"/>
        </w:rPr>
        <w:t>Section 7.03(m)(i)</w:t>
      </w:r>
      <w:r>
        <w:rPr>
          <w:rFonts w:ascii="Times New Roman" w:cs="Times New Roman" w:eastAsia="Times New Roman" w:hAnsi="Times New Roman"/>
          <w:sz w:val="17"/>
          <w:szCs w:val="17"/>
          <w:color w:val="auto"/>
        </w:rPr>
        <w:t>, (iv) Intercompany Indebtedness,</w:t>
      </w:r>
    </w:p>
    <w:p>
      <w:pPr>
        <w:spacing w:after="0" w:line="4" w:lineRule="exact"/>
        <w:rPr>
          <w:rFonts w:ascii="Times New Roman" w:cs="Times New Roman" w:eastAsia="Times New Roman" w:hAnsi="Times New Roman"/>
          <w:sz w:val="17"/>
          <w:szCs w:val="17"/>
          <w:color w:val="auto"/>
        </w:rPr>
      </w:pPr>
    </w:p>
    <w:p>
      <w:pPr>
        <w:ind w:left="20" w:right="80" w:hanging="4"/>
        <w:spacing w:after="0" w:line="260" w:lineRule="auto"/>
        <w:tabs>
          <w:tab w:leader="none" w:pos="27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quasi-government provided, supported, guaranteed or subsidized financings or (vi) Refinancing Indebtedness in respect of any of the foregoing.</w:t>
      </w:r>
    </w:p>
    <w:p>
      <w:pPr>
        <w:spacing w:after="0" w:line="73" w:lineRule="exact"/>
        <w:rPr>
          <w:rFonts w:ascii="Times New Roman" w:cs="Times New Roman" w:eastAsia="Times New Roman" w:hAnsi="Times New Roman"/>
          <w:sz w:val="18"/>
          <w:szCs w:val="18"/>
          <w:color w:val="auto"/>
        </w:rPr>
      </w:pPr>
    </w:p>
    <w:p>
      <w:pPr>
        <w:ind w:left="20" w:right="220" w:firstLine="419"/>
        <w:spacing w:after="0" w:line="273" w:lineRule="auto"/>
        <w:tabs>
          <w:tab w:leader="none" w:pos="728" w:val="left"/>
        </w:tabs>
        <w:numPr>
          <w:ilvl w:val="1"/>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Excluded Subsidiary which is a FSHCO, a Foreign Subsidiary or a Restricted Subsidiary of any FSHCO or Foreign Subsidiary (unless such Subsidiary has become a Guarantor) shall be permitted to incur Indebtedness for Borrowed Money (excluding (i) Purchase Money Obligations and Capitalized Lease Obligations, (ii) Acquired Indebtedness, (iii) insurance financings in respect of </w:t>
      </w:r>
      <w:r>
        <w:rPr>
          <w:rFonts w:ascii="Times New Roman" w:cs="Times New Roman" w:eastAsia="Times New Roman" w:hAnsi="Times New Roman"/>
          <w:sz w:val="17"/>
          <w:szCs w:val="17"/>
          <w:u w:val="single" w:color="auto"/>
          <w:color w:val="auto"/>
        </w:rPr>
        <w:t>Section 7.03(m)(i)</w:t>
      </w:r>
      <w:r>
        <w:rPr>
          <w:rFonts w:ascii="Times New Roman" w:cs="Times New Roman" w:eastAsia="Times New Roman" w:hAnsi="Times New Roman"/>
          <w:sz w:val="17"/>
          <w:szCs w:val="17"/>
          <w:color w:val="auto"/>
        </w:rPr>
        <w:t>, (iv) Intercompany Indebtedness, (v) government or quasi-government provided, supported, guaranteed or subsidized financings, (vi) Indebtedness under the Second Lien Credit Agreement or, to the extent permitted thereunder, constituting Second Lien Credit Agreement Refinancing Indebtedness or (vii) and Refinancing Indebtedness in respect of any of the foregoing), unless such Excluded Subsidiary is or becomes a Guarantor at the time of incurring such Indebtedness and would otherwise be permitted to incur such Indebtedness under this Agreement.</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560"/>
          </w:cols>
          <w:pgMar w:left="860" w:top="270" w:right="479" w:bottom="1440" w:gutter="0" w:footer="0" w:header="0"/>
        </w:sectPr>
      </w:pPr>
    </w:p>
    <w:bookmarkStart w:id="461" w:name="page462"/>
    <w:bookmarkEnd w:id="461"/>
    <w:p>
      <w:pPr>
        <w:ind w:left="440" w:right="120" w:firstLine="419"/>
        <w:spacing w:after="0" w:line="258" w:lineRule="auto"/>
        <w:tabs>
          <w:tab w:leader="none" w:pos="1148"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neither the Borrower nor any Restricted Subsidiary shall incur any (i) Super-Priority Debt (excluding the Obligations) or Indebtedness that is secured by a Lien on the Collateral on a senior or otherwise preferred basis with the Liens securing the Obligations and (ii) any Indebtedness for borrowed money secured by a first priority lien on the Collateral (other than to the extent constituting Obligations, Second Lien Credit Agreement Refinancing Indebtedness or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in each case, without the prior written consent of all Lenders.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Indebtedness created pursuant to the Loan Documents will be deemed to have been incurred in reliance on the exception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will not be permitted to be reclassified pursuant to this paragraph;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all or any portion of any item of Indebtedness may later be reclassified as having been incurred pursuant to any type of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covenant so long as such Indebtedness is permitted to be incurred pursuant to such provision and any related Liens are permitted to be incurred at the time of reclassification. In the case of any Refinancing Indebtedness or Second Lien Credit Agreement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If obligations in respect of letters of credit, bankers’ acceptances or other similar instruments are incurred pursuant to the Facility and are being treated as incurred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the letters of credit, bankers’ acceptances or other similar instruments relate to other Indebtedness, then such other Indebtedness shall not be included. The principal amount of any Disqualified Equity Interests of the Borrower or a Restricted Subsidiary, or preferred stock of any Restricted Subsidiary, will be equal to the greater of the maximum mandatory redemption or repurchase price (not including, in either case, any redemption or repurchase premium) or the liquidation preference thereof.</w:t>
      </w:r>
    </w:p>
    <w:p>
      <w:pPr>
        <w:spacing w:after="0" w:line="19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Indebtedness permitted by this covenant need not be permitted solely by reference to one provision permitting such Indebtedness but may be permitted in part by one such provision and in part by one or more other provisions of this covenant permitting such Indebtedness.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Dollar-denominated restriction to be exceeded if calculated at the relevant currency exchange rate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462" w:name="page463"/>
    <w:bookmarkEnd w:id="46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effect on the date of such refinancing, such Dollar-denominated restriction shall be deemed not to have been exceeded so long as the principal amount of such refinancing Indebtedness does not exceed (a) the principal amount of such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covenant, the maximum amount of Indebtedness that the Borrower or a Restricted Subsidiary may incur pursuant to this covenant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80" w:firstLine="436"/>
        <w:spacing w:after="0" w:line="282" w:lineRule="auto"/>
        <w:tabs>
          <w:tab w:leader="none" w:pos="68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Borrower, consolidate with or merge with or into, or convey, transfer or lease all or substantially all of its assets in one transaction or a series of related transactions, to any Person, unless: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surviving Person;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shall have occurred and be continuing;</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pro forma effect to such transaction, either (a) the Borrower would be able to incur at least an additional $1.00 of Ratio Debt or (b) the Fixed Charge Coverage Ratio of the Borrower, as applicable, and its Restricted Subsidiaries would not be lower than it was immediately prior to giving effect to such transaction;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312" w:lineRule="auto"/>
        <w:tabs>
          <w:tab w:leader="none" w:pos="1168" w:val="left"/>
        </w:tabs>
        <w:numPr>
          <w:ilvl w:val="1"/>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delivered to the Administrative Agent an officer’s certificate stating that such consolidation, merger or transfer and such supplemental indenture and other documents or instruments (if any) comply with this Agreement and Collateral Documents; and</w:t>
      </w:r>
    </w:p>
    <w:p>
      <w:pPr>
        <w:spacing w:after="0" w:line="31" w:lineRule="exact"/>
        <w:rPr>
          <w:rFonts w:ascii="Times New Roman" w:cs="Times New Roman" w:eastAsia="Times New Roman" w:hAnsi="Times New Roman"/>
          <w:sz w:val="17"/>
          <w:szCs w:val="17"/>
          <w:color w:val="auto"/>
        </w:rPr>
      </w:pPr>
    </w:p>
    <w:p>
      <w:pPr>
        <w:ind w:left="440" w:right="300" w:firstLine="419"/>
        <w:spacing w:after="0" w:line="258" w:lineRule="auto"/>
        <w:tabs>
          <w:tab w:leader="none" w:pos="1118"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assets of the Person which is merged or consolidated with or into the Borrower are assets of the type which would constitute Collateral under the Collateral Documents, the Borrower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is perfected to the extent required by the applicable Collateral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40" w:top="270" w:right="479" w:bottom="1440" w:gutter="0" w:footer="0" w:header="0"/>
        </w:sectPr>
      </w:pPr>
    </w:p>
    <w:bookmarkStart w:id="463" w:name="page464"/>
    <w:bookmarkEnd w:id="46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covenant, (a) the Borrower may consolidate or otherwise combine with, merge into or transfer all or part of its properties and assets to a Guarantor, (b) the Borrower may consolidate or otherwise combine with or merge into an Affiliate organized or existing under the laws of the United States of America, any State of the United States or the District of Columbia incorporated or organized for the purpose of changing the legal domicile of the Borrower, reincorporating the Borrower in another jurisdiction, or changing the legal form of the Borrower, (c) any Restricted Subsidiary may consolidate or otherwise combine with, merge into or transfer all or part of its properties and assets to the Borrower or a Guarantor, (d) any Restricted Subsidiary may consolidate or otherwise combine with, merge into or transfer all or part of its properties and assets to any other Restricted Subsidiary and (e) the Borrower and its Restricted Subsidiaries may complete any Reorganization Transaction.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the event of any merger, amalgamation, dissolution, liquidation, consolidation, amalgamation or Division of any Loan Party or a Restricted Subsidiary effected in accordance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the Borrower shall (x) promptly deliver or cause to be delivered to the Administrative Agent for further distribution by the Administrative Agent to each Lender (1) such information and documentation reasonably requested by the Administrative Agent or any Lender in order to comply with applicable “know your customer” and anti-money laundering rules and regulations, including the USA PATRIOT Act and (2) a Beneficial Ownership Certification and (y) do, execute, acknowledge, deliver, record, re-record, file, re-file, register, re-register, publish and re-publish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as promptly as practicable.</w:t>
      </w:r>
    </w:p>
    <w:p>
      <w:pPr>
        <w:spacing w:after="0" w:line="192" w:lineRule="exact"/>
        <w:rPr>
          <w:sz w:val="20"/>
          <w:szCs w:val="20"/>
          <w:color w:val="auto"/>
        </w:rPr>
      </w:pPr>
    </w:p>
    <w:p>
      <w:pPr>
        <w:ind w:right="240" w:firstLine="436"/>
        <w:spacing w:after="0" w:line="266" w:lineRule="auto"/>
        <w:tabs>
          <w:tab w:leader="none" w:pos="69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Guarantors, subject to certain limitations described in this Agreement governing release of a Guarantee upon the sale, disposition or transfer of a Guarantor, consolidate with or merge with or into, or convey, transfer or lease all or substantially all its assets, in one or a series of related transactions, to any Person, unless: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such transaction:</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76"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is the Borrower or any Restricted Subsidiary that is a Guarantor or becomes a Guarantor concurrently with the transaction; or either (x) the Borrower or a Guarantor is the continuing Person or (y) the resulting, surviving or transferee Person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expressly assumes all the obligations of the Guarantor under its Guaranty and this Agreement;</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shall have occurred and be continuing; and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920"/>
          </w:cols>
          <w:pgMar w:left="440" w:top="270" w:right="539" w:bottom="1440" w:gutter="0" w:footer="0" w:header="0"/>
        </w:sectPr>
      </w:pPr>
    </w:p>
    <w:bookmarkStart w:id="464" w:name="page465"/>
    <w:bookmarkEnd w:id="464"/>
    <w:p>
      <w:pPr>
        <w:ind w:left="980" w:firstLine="408"/>
        <w:spacing w:after="0" w:line="258" w:lineRule="auto"/>
        <w:tabs>
          <w:tab w:leader="none" w:pos="1666"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any assets of the Person which is merged, consolidated or amalgamated with or into such Guarantor are assets of the type which would constitute Collateral under the Collateral Documents, such Guarantor or the Successor Person will take such action, if any, as may be reasonably necessary to cause such property and assets to be made subject to the Lien of the applicable Collateral Documents in the manner and to the extent required in this Agreement or the applicable Collateral Documents and shall take all reasonably necessary action so that such Lien in perfected to the extent required by the applicable Collateral Documents; or</w:t>
      </w:r>
    </w:p>
    <w:p>
      <w:pPr>
        <w:spacing w:after="0" w:line="75"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28"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disposition or transfer of the Guarantor or the conveyance, transfer or lease of all or substantially all of the assets of the Guarantor (in each case other than to the Borrower or a Restricted Subsidiary) otherwise not prohibited by this Agreement.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covenant, any Guarantor may (a) consolidate or otherwise combine with, merge into or transfer all or part of its properties and assets to another Guarantor or the Borrower, (b) consolidate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Borrower determines in good faith that such action is in the best interests of the Borrower and (e) complete any Reorganization Transaction. Notwithstanding anything to the contrary in this covenant, the Borrower may contribute Equity Interests of any or all of its Subsidiaries to any Guarantor.</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unless:</w:t>
      </w:r>
    </w:p>
    <w:p>
      <w:pPr>
        <w:spacing w:after="0" w:line="117" w:lineRule="exact"/>
        <w:rPr>
          <w:sz w:val="20"/>
          <w:szCs w:val="20"/>
          <w:color w:val="auto"/>
        </w:rPr>
      </w:pPr>
    </w:p>
    <w:p>
      <w:pPr>
        <w:ind w:firstLine="436"/>
        <w:spacing w:after="0" w:line="261" w:lineRule="auto"/>
        <w:tabs>
          <w:tab w:leader="none" w:pos="68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Disposition), as determined in good faith by the Borrower, of the shares and assets subject to such Disposition (including, for the avoidance of doubt, if such Disposition is a Permitted Asset Swap);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465" w:name="page466"/>
    <w:bookmarkEnd w:id="465"/>
    <w:p>
      <w:pPr>
        <w:ind w:left="-120" w:right="80" w:firstLine="436"/>
        <w:spacing w:after="0" w:line="261" w:lineRule="auto"/>
        <w:tabs>
          <w:tab w:leader="none" w:pos="57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such Disposition, or series of related Dispositions (except to the extent the Disposition is a Permitted Asset Swap), at least 75% of the consideration from such Disposition, together with all other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56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Disposition of Vessel Collateral, immediately prior to and following such Disposition on a proforma basis giving effect to such Disposition, (x) the Collateral Coverage Ratio shall not be less than 1.50:1.00, and (y) the RCF Collateral Coverage Ratio shall be not less than 5.0:1.0.</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the following will be deemed to be cash:</w:t>
      </w:r>
    </w:p>
    <w:p>
      <w:pPr>
        <w:spacing w:after="0" w:line="131" w:lineRule="exact"/>
        <w:rPr>
          <w:sz w:val="20"/>
          <w:szCs w:val="20"/>
          <w:color w:val="auto"/>
        </w:rPr>
      </w:pPr>
    </w:p>
    <w:p>
      <w:pPr>
        <w:ind w:left="840" w:right="160" w:hanging="532"/>
        <w:spacing w:after="0" w:line="266" w:lineRule="auto"/>
        <w:tabs>
          <w:tab w:leader="none" w:pos="8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transferee of Indebtedness or other liabilities, contingent or otherwise, of the Borrower or a Restricted Subsidiary (other than any Junior Financing of the Borrower or a Guarantor) or the release of the Borrower or such Restricted Subsidiary from all liability on such Indebtedness or other liability in connection with such Disposition;</w:t>
      </w:r>
    </w:p>
    <w:p>
      <w:pPr>
        <w:spacing w:after="0" w:line="81" w:lineRule="exact"/>
        <w:rPr>
          <w:rFonts w:ascii="Times New Roman" w:cs="Times New Roman" w:eastAsia="Times New Roman" w:hAnsi="Times New Roman"/>
          <w:sz w:val="18"/>
          <w:szCs w:val="18"/>
          <w:color w:val="auto"/>
        </w:rPr>
      </w:pPr>
    </w:p>
    <w:p>
      <w:pPr>
        <w:ind w:left="840" w:right="120" w:hanging="532"/>
        <w:spacing w:after="0" w:line="261" w:lineRule="auto"/>
        <w:tabs>
          <w:tab w:leader="none" w:pos="8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180 days following the closing of such Disposition;</w:t>
      </w:r>
    </w:p>
    <w:p>
      <w:pPr>
        <w:spacing w:after="0" w:line="85" w:lineRule="exact"/>
        <w:rPr>
          <w:rFonts w:ascii="Times New Roman" w:cs="Times New Roman" w:eastAsia="Times New Roman" w:hAnsi="Times New Roman"/>
          <w:sz w:val="18"/>
          <w:szCs w:val="18"/>
          <w:color w:val="auto"/>
        </w:rPr>
      </w:pPr>
    </w:p>
    <w:p>
      <w:pPr>
        <w:ind w:left="840" w:hanging="532"/>
        <w:spacing w:after="0" w:line="266" w:lineRule="auto"/>
        <w:tabs>
          <w:tab w:leader="none" w:pos="8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that is no longer a Restricted Subsidiary as a result of such Disposition, to the extent that the Borrower and each other Restricted Subsidiary are released from any Guarantee of payment of such Indebtedness in connection with such Disposition;</w:t>
      </w:r>
    </w:p>
    <w:p>
      <w:pPr>
        <w:spacing w:after="0" w:line="81" w:lineRule="exact"/>
        <w:rPr>
          <w:rFonts w:ascii="Times New Roman" w:cs="Times New Roman" w:eastAsia="Times New Roman" w:hAnsi="Times New Roman"/>
          <w:sz w:val="18"/>
          <w:szCs w:val="18"/>
          <w:color w:val="auto"/>
        </w:rPr>
      </w:pPr>
    </w:p>
    <w:p>
      <w:pPr>
        <w:ind w:left="840" w:right="60" w:hanging="532"/>
        <w:spacing w:after="0" w:line="282" w:lineRule="auto"/>
        <w:tabs>
          <w:tab w:leader="none" w:pos="8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consisting of Indebtedness of the Borrower or a Restricted Subsidiary (other than any Subordinated Indebtedness) received after the Closing Date from Persons who are not the Borrower or any Restricted Subsidiary; and</w:t>
      </w:r>
    </w:p>
    <w:p>
      <w:pPr>
        <w:spacing w:after="0" w:line="67" w:lineRule="exact"/>
        <w:rPr>
          <w:rFonts w:ascii="Times New Roman" w:cs="Times New Roman" w:eastAsia="Times New Roman" w:hAnsi="Times New Roman"/>
          <w:sz w:val="18"/>
          <w:szCs w:val="18"/>
          <w:color w:val="auto"/>
        </w:rPr>
      </w:pPr>
    </w:p>
    <w:p>
      <w:pPr>
        <w:ind w:left="840" w:right="20" w:hanging="532"/>
        <w:spacing w:after="0" w:line="256" w:lineRule="auto"/>
        <w:tabs>
          <w:tab w:leader="none" w:pos="8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Borrower or any Restricted Subsidiary in such Dispositions having an aggregate Fair Market Value, taken together with all other Designated Non-Cash Consideration received pursuant to this clause that is at that time outstanding, not to exceed the greater of (i) $10.0 million and (ii) an amount equal to 1.25% of the Borrower’s Consolidated Net Tangible Assets determined as of the end of the Borrower’s most recently completed fiscal quarter for which internal financial statements are available (the “</w:t>
      </w:r>
      <w:r>
        <w:rPr>
          <w:rFonts w:ascii="Times New Roman" w:cs="Times New Roman" w:eastAsia="Times New Roman" w:hAnsi="Times New Roman"/>
          <w:sz w:val="18"/>
          <w:szCs w:val="18"/>
          <w:b w:val="1"/>
          <w:bCs w:val="1"/>
          <w:color w:val="auto"/>
        </w:rPr>
        <w:t>Applicable Proceeds Threshold Amount</w:t>
      </w:r>
      <w:r>
        <w:rPr>
          <w:rFonts w:ascii="Times New Roman" w:cs="Times New Roman" w:eastAsia="Times New Roman" w:hAnsi="Times New Roman"/>
          <w:sz w:val="18"/>
          <w:szCs w:val="18"/>
          <w:color w:val="auto"/>
        </w:rPr>
        <w:t>”), with the Fair Market Value of each item of Designated Non-Cash Consideration being measured at the time received and without giving effect to subsequent changes in value.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0780"/>
          </w:cols>
          <w:pgMar w:left="560" w:top="270" w:right="559" w:bottom="1440" w:gutter="0" w:footer="0" w:header="0"/>
        </w:sectPr>
      </w:pPr>
    </w:p>
    <w:bookmarkStart w:id="466" w:name="page467"/>
    <w:bookmarkEnd w:id="46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any Collateral is Disposed of as expressly permitted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the definition of “Disposition” to any Person other than a Loan Party, such Collateral shall be sold free and clear of the Liens created by the Loan Documents, and, without limiting the provisions of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the Administrative Agent and the Collateral Agent shall be authorized to, and shall, take any actions reasonably requested by the Borrower in order to effect the foregoing (and the Lenders hereby authorize and direct the Administrative Agent and the Collateral Agent to conclusively rely on any such certification by the Borrower in performing its obligations under this sentence).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36"/>
        <w:spacing w:after="0" w:line="312" w:lineRule="auto"/>
        <w:tabs>
          <w:tab w:leader="none" w:pos="685"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or pay any dividend or make any distribution on or in respect of the Borrower’s or any Restricted Subsidiary’s Equity Interests (including any such payment in connection with any merger or consolidation involving the Borrower or any of the Restricted Subsidiaries) except:</w:t>
      </w:r>
    </w:p>
    <w:p>
      <w:pPr>
        <w:spacing w:after="0" w:line="31"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payments or distributions payable to the Borrower or a Restricted Subsidiary (and, in the case of any such Restricted</w:t>
      </w:r>
    </w:p>
    <w:p>
      <w:pPr>
        <w:spacing w:after="0" w:line="27" w:lineRule="exact"/>
        <w:rPr>
          <w:rFonts w:ascii="Times New Roman" w:cs="Times New Roman" w:eastAsia="Times New Roman" w:hAnsi="Times New Roman"/>
          <w:sz w:val="18"/>
          <w:szCs w:val="18"/>
          <w:color w:val="auto"/>
        </w:rPr>
      </w:pPr>
    </w:p>
    <w:p>
      <w:pPr>
        <w:ind w:left="44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making such dividend or distribution, to holders of its Equity Interests other than the Borrower or another Restricted Subsidiary on no more than a pro rata basis), and;</w:t>
      </w:r>
    </w:p>
    <w:p>
      <w:pPr>
        <w:spacing w:after="0" w:line="7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28"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payments or distributions payable in Equity Interests of the Borrower (other than Disqualified Equity Interests) or in options, warrants or other rights to purchase such Equity Interests of the Borrower;</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retire or otherwise acquire or retire for value any Equity Interests of the Borrower or any Parent Entity held by Persons other than the Borrower or a Restricted Subsidiary;</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Junior Debt Repayment (other than a Permitted Junior Debt Repayment);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any such dividend, distribution, payment, purchase, redemption, repurchase, defeasance, other acquisition, retirement or Restricted Investment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are referred to herein as a “</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if at the time the Borrower or such Restricted Subsidiary makes such Restricted Payment:</w:t>
      </w:r>
    </w:p>
    <w:p>
      <w:pPr>
        <w:spacing w:after="0" w:line="68" w:lineRule="exact"/>
        <w:rPr>
          <w:sz w:val="20"/>
          <w:szCs w:val="20"/>
          <w:color w:val="auto"/>
        </w:rPr>
      </w:pPr>
    </w:p>
    <w:p>
      <w:pPr>
        <w:ind w:left="1080" w:hanging="221"/>
        <w:spacing w:after="0"/>
        <w:tabs>
          <w:tab w:leader="none" w:pos="1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shall have occurred and be continuing (or would immediately thereafter result therefrom); or</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28"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Restricted Payment other than a Restricted Investment, the Borrower is not able to incur an additional $1.00 of Ratio Debt immediately after giving effect, on a pro forma basis, to such Restricted Payment; 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would not be in pro forma compliance with the Financial Covenants upon giving effect thereto;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0980"/>
          </w:cols>
          <w:pgMar w:left="440" w:top="270" w:right="479" w:bottom="1440" w:gutter="0" w:footer="0" w:header="0"/>
        </w:sectPr>
      </w:pPr>
    </w:p>
    <w:bookmarkStart w:id="467" w:name="page468"/>
    <w:bookmarkEnd w:id="467"/>
    <w:p>
      <w:pPr>
        <w:ind w:left="720" w:hanging="301"/>
        <w:spacing w:after="0"/>
        <w:tabs>
          <w:tab w:leader="none" w:pos="7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Restricted Payments other than dollar-for-dollar refinancings, Restricted Payments used directly to consummate</w:t>
      </w:r>
    </w:p>
    <w:p>
      <w:pPr>
        <w:spacing w:after="0" w:line="27"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of Vessels, the Borrower must have at least 50% of the total Commitments available for drawing under the Facility immediately prior to and following such Restricted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(iv) shall not apply to Restricted Payments made by a Borrower and the Restricted Subsidiaries to consummate a change in the flag jurisdiction of Vessel Collateral permitted hereunder; or</w:t>
      </w:r>
    </w:p>
    <w:p>
      <w:pPr>
        <w:spacing w:after="0" w:line="7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such Restricted Payment and all other Restricted Payments made subsequent to the Closing Date (and not returned or rescinded) (including Permitted Payments made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(without duplication)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the next succeeding paragraph, but excluding all other Restricted Payments permitted by the next succeeding paragraph) would exceed the sum of (without duplication) (the “</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23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Consolidated Net Income for the period (treated as one accounting period) beginning July 1, 2024 to the end of the most recent fiscal quarter ending prior to the date of such Restricted Payment for which consolidated financial statements are available (which may, at the Borrower’s election, be internal financial statements);</w:t>
      </w:r>
    </w:p>
    <w:p>
      <w:pPr>
        <w:spacing w:after="0" w:line="67" w:lineRule="exact"/>
        <w:rPr>
          <w:rFonts w:ascii="Times New Roman" w:cs="Times New Roman" w:eastAsia="Times New Roman" w:hAnsi="Times New Roman"/>
          <w:sz w:val="18"/>
          <w:szCs w:val="18"/>
          <w:color w:val="auto"/>
        </w:rPr>
      </w:pPr>
    </w:p>
    <w:p>
      <w:pPr>
        <w:ind w:left="540" w:firstLine="408"/>
        <w:spacing w:after="0" w:line="252" w:lineRule="auto"/>
        <w:tabs>
          <w:tab w:leader="none" w:pos="122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cash, and the Fair Market Value of property or assets or marketable securities, received by the Borrower from the issue or sale of its Equity Interests (including, for the avoidance of doubt, any proceeds of an issuance or sale of Equity Interests in connection with or following a public offering of common stock, common equity interests or Jones Act Warrants) or as the result of a merger or consolidation with another Person subsequent to the Closing Date or otherwise contributed to the equity (in each case other than through the issuance of Disqualified Equity Interests) of the Borrower or a Restricted Subsidiary (including the aggregate principal amount of any Indebtedness of the Borrower or a Restricted Subsidiary contributed to the Borrower or a Restricted Subsidiary for cancellation) or that becomes part of the capital of the Borrower or a Restricted Subsidiary through consolidation or merger subsequent to the Closing Date (other than (x) net cash proceeds or property or assets or marketable securities received from an issuance or sale of such Equity Interests to a Restricted Subsidiary or an employee stock ownership plan or trust established by a Parent Entity, the Borrower or any Subsidiary of the Borrower for the benefit of their employees to the extent funded by the Borrower or any Restricted Subsidiary and</w:t>
      </w:r>
    </w:p>
    <w:p>
      <w:pPr>
        <w:spacing w:after="0" w:line="5" w:lineRule="exact"/>
        <w:rPr>
          <w:rFonts w:ascii="Times New Roman" w:cs="Times New Roman" w:eastAsia="Times New Roman" w:hAnsi="Times New Roman"/>
          <w:sz w:val="18"/>
          <w:szCs w:val="18"/>
          <w:color w:val="auto"/>
        </w:rPr>
      </w:pPr>
    </w:p>
    <w:p>
      <w:pPr>
        <w:ind w:left="540" w:right="440" w:firstLine="7"/>
        <w:spacing w:after="0" w:line="260" w:lineRule="auto"/>
        <w:tabs>
          <w:tab w:leader="none" w:pos="795"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or property or assets or marketable securities to the extent that any Restricted Payment has been made from such proceeds in reliance on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of the next succeeding paragraph);</w:t>
      </w:r>
    </w:p>
    <w:p>
      <w:pPr>
        <w:spacing w:after="0" w:line="73" w:lineRule="exact"/>
        <w:rPr>
          <w:rFonts w:ascii="Times New Roman" w:cs="Times New Roman" w:eastAsia="Times New Roman" w:hAnsi="Times New Roman"/>
          <w:sz w:val="18"/>
          <w:szCs w:val="18"/>
          <w:color w:val="auto"/>
        </w:rPr>
      </w:pPr>
    </w:p>
    <w:p>
      <w:pPr>
        <w:ind w:left="540" w:right="60" w:firstLine="408"/>
        <w:spacing w:after="0" w:line="258" w:lineRule="auto"/>
        <w:tabs>
          <w:tab w:leader="none" w:pos="1226" w:val="left"/>
        </w:tabs>
        <w:numPr>
          <w:ilvl w:val="2"/>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cash, and the Fair Market Value of property or assets or marketable securities, received by the Borrower or any Restricted Subsidiary from the issuance or sale (other than to the Borrower or a Restricted Subsidiary or an employee stock ownership plan or trust established by a Parent Entity, the Borrower or any Subsidiary of the Borrower for the benefit of their employees to the extent funded by the Borrower or any Restricted Subsidiary) by the Borrower or any Restricted Subsidiary subsequent to the Closing Date of</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580"/>
          </w:cols>
          <w:pgMar w:left="880" w:top="270" w:right="439" w:bottom="1440" w:gutter="0" w:footer="0" w:header="0"/>
        </w:sectPr>
      </w:pPr>
    </w:p>
    <w:bookmarkStart w:id="468" w:name="page469"/>
    <w:bookmarkEnd w:id="468"/>
    <w:p>
      <w:pPr>
        <w:jc w:val="both"/>
        <w:ind w:left="5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Indebtedness or Disqualified Equity Interests that has been converted into or exchanged for Equity Interests of the Borrower (other than Disqualified Equity Interests) plus, without duplication, the amount of any cash, and the Fair Market Value of property or assets or marketable securities, received by the Borrower or any Restricted Subsidiary upon such conversion or exchange;</w:t>
      </w:r>
    </w:p>
    <w:p>
      <w:pPr>
        <w:spacing w:after="0" w:line="68" w:lineRule="exact"/>
        <w:rPr>
          <w:sz w:val="20"/>
          <w:szCs w:val="20"/>
          <w:color w:val="auto"/>
        </w:rPr>
      </w:pPr>
    </w:p>
    <w:p>
      <w:pPr>
        <w:ind w:left="540" w:firstLine="408"/>
        <w:spacing w:after="0" w:line="253" w:lineRule="auto"/>
        <w:tabs>
          <w:tab w:leader="none" w:pos="123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received in cash and the Fair Market Value, as determined in good faith by the Borrower, of marketable securities or other property received by means of: (i) the sale or other disposition (other than to the Borrower or a Restricted Subsidiary) of, or other returns on Investment from, Restricted Investments made by the Borrower or the Restricted Subsidiaries and repurchases and redemptions of, or cash distributions or cash interest received in respect of, such Investments from the Borrower or the Restricted Subsidiaries and repayments of loans or advances, and releases of guarantees, which constitute Restricted Investments by the Borrower or the Restricted Subsidiaries, in each case after the Closing Date; or (ii) the sale or other disposition (other than to the Borrower or a Restricted Subsidiary) of the Equity Interests of an Unrestricted Subsidiary or a dividend, payment or distribution from an Unrestricted Subsidiary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clause (13)</w:t>
      </w:r>
      <w:r>
        <w:rPr>
          <w:rFonts w:ascii="Times New Roman" w:cs="Times New Roman" w:eastAsia="Times New Roman" w:hAnsi="Times New Roman"/>
          <w:sz w:val="18"/>
          <w:szCs w:val="18"/>
          <w:color w:val="auto"/>
        </w:rPr>
        <w:t xml:space="preserve"> of the definition of “Permitted Payments” and will increase the amount available under the applicable clause of the definition of “Permitted Investment” or </w:t>
      </w:r>
      <w:r>
        <w:rPr>
          <w:rFonts w:ascii="Times New Roman" w:cs="Times New Roman" w:eastAsia="Times New Roman" w:hAnsi="Times New Roman"/>
          <w:sz w:val="18"/>
          <w:szCs w:val="18"/>
          <w:u w:val="single" w:color="auto"/>
          <w:color w:val="auto"/>
        </w:rPr>
        <w:t>clause (13)</w:t>
      </w:r>
      <w:r>
        <w:rPr>
          <w:rFonts w:ascii="Times New Roman" w:cs="Times New Roman" w:eastAsia="Times New Roman" w:hAnsi="Times New Roman"/>
          <w:sz w:val="18"/>
          <w:szCs w:val="18"/>
          <w:color w:val="auto"/>
        </w:rPr>
        <w:t xml:space="preserve"> of the definition of “Permitted Payments”, as the case may be) or a dividend from a Person that is not a Restricted Subsidiary after the Closing Date;</w:t>
      </w:r>
    </w:p>
    <w:p>
      <w:pPr>
        <w:spacing w:after="0" w:line="83" w:lineRule="exact"/>
        <w:rPr>
          <w:rFonts w:ascii="Times New Roman" w:cs="Times New Roman" w:eastAsia="Times New Roman" w:hAnsi="Times New Roman"/>
          <w:sz w:val="18"/>
          <w:szCs w:val="18"/>
          <w:color w:val="auto"/>
        </w:rPr>
      </w:pPr>
    </w:p>
    <w:p>
      <w:pPr>
        <w:ind w:left="540" w:right="160" w:firstLine="408"/>
        <w:spacing w:after="0" w:line="253" w:lineRule="auto"/>
        <w:tabs>
          <w:tab w:leader="none" w:pos="121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redesignation of an Unrestricted Subsidiary as a Restricted Subsidiary or the merger, amalgamation or consolidation of an Unrestricted Subsidiary into the Borrower or a Restricted Subsidiary or the transfer of all or substantially all of the assets of an Unrestricted Subsidiary to the Borrower or a Restricted Subsidiary after the Closing Date, the Fair Market Value of the Investment in such Unrestricted Subsidiary (or the assets transferred), as determined in good faith by the Borrower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clause (13)</w:t>
      </w:r>
      <w:r>
        <w:rPr>
          <w:rFonts w:ascii="Times New Roman" w:cs="Times New Roman" w:eastAsia="Times New Roman" w:hAnsi="Times New Roman"/>
          <w:sz w:val="18"/>
          <w:szCs w:val="18"/>
          <w:color w:val="auto"/>
        </w:rPr>
        <w:t xml:space="preserve"> of the definition of “Permitted Payments” and will increase the amount available under the applicable clause of the definition of “Permitted Investment” or </w:t>
      </w:r>
      <w:r>
        <w:rPr>
          <w:rFonts w:ascii="Times New Roman" w:cs="Times New Roman" w:eastAsia="Times New Roman" w:hAnsi="Times New Roman"/>
          <w:sz w:val="18"/>
          <w:szCs w:val="18"/>
          <w:u w:val="single" w:color="auto"/>
          <w:color w:val="auto"/>
        </w:rPr>
        <w:t>clause (13)</w:t>
      </w:r>
      <w:r>
        <w:rPr>
          <w:rFonts w:ascii="Times New Roman" w:cs="Times New Roman" w:eastAsia="Times New Roman" w:hAnsi="Times New Roman"/>
          <w:sz w:val="18"/>
          <w:szCs w:val="18"/>
          <w:color w:val="auto"/>
        </w:rPr>
        <w:t xml:space="preserve"> of the definition of “Permitted Payments” as the case may be; and</w:t>
      </w:r>
    </w:p>
    <w:p>
      <w:pPr>
        <w:spacing w:after="0" w:line="86"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provisions shall not prohibit any Permitted Payment.</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540"/>
          </w:cols>
          <w:pgMar w:left="880" w:top="270" w:right="479" w:bottom="1440" w:gutter="0" w:footer="0" w:header="0"/>
        </w:sectPr>
      </w:pPr>
    </w:p>
    <w:bookmarkStart w:id="469" w:name="page470"/>
    <w:bookmarkEnd w:id="46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any Investments, Permitted Payments, Junior Debt Repayments and other transactions permitted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at any time shall be the amount of cash and the Fair Market Value of other property subject to the Investments, Permitted Payments, Junior Debt Repayments or other transaction at the time payment is made. For purposes of determining compliance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in the event that any Investments, Permitted Payments, Junior Debt Repayments and other transactions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any portion of such payment made) meets the criteria of more than one of the categories set forth above, the Borrower may, in its sole discretion, at the time such Investments, Permitted Payments, Junior Debt Repayments and other transaction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is paid, divide, classify or reclassify, or at any later time divide, classify, or reclassify, such payment (or any portion thereof) in any manner that complies with this covenant on the date such payment is made or such later time, as applicable.</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For the avoidance of doubt, a Restricted Payment, Investment or Junior Debt Repayment (or portion thereof) may be reclassified at a time subsequent to the time it was originally made, so long as such Restricted Payment, Investment or Junior Debt Repayment (or portion thereof) would have been able to have been made at the time of such reclassification pursuant to the provision to which such Restricted Payment, Investment or Junior Debt Repayment (or portion thereof) is being reclassified.</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Unrestricted Subsidiaries may use value transferred from the Borrower and its Restricted Subsidiaries in a Permitted Investment to purchase or otherwise acquire Indebtedness or Equity Interests of the Borrower, any Parent Entity or any of the Borrower’s Restricted Subsidiaries, and to transfer value to the holders of the Equity Interests of the Borrower or any Restricted Subsidiary or any Parent Entity and to Affiliates thereof, and such purchase, acquisition, or transfer will not be deemed to be a “direct or indirect” action by the Borrower or its Restricted Subsidiaries.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the Borrower or a Restricted Subsidiary makes a Restricted Payment which at the time of the making of such Restricted Payment would in the good faith determination of the Borrower be permitted under the provisions of this Agreement, such Restricted Payment shall be deemed to have been made in compliance with this Agreement notwithstanding any subsequent adjustments made in good faith to the Borrower’s financial statements affecting Consolidated Net Income, Consolidated Adjusted EBITDA or Consolidated Net Tangible Assets of the Borrower for any period.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40" w:top="270" w:right="499" w:bottom="1440" w:gutter="0" w:footer="0" w:header="0"/>
        </w:sectPr>
      </w:pPr>
    </w:p>
    <w:bookmarkStart w:id="470" w:name="page471"/>
    <w:bookmarkEnd w:id="470"/>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Create or otherwise cause or permit to exist or become effective any consensual encumbrance or consensual restriction on the ability of any Restricted Subsidiary to:</w:t>
      </w:r>
    </w:p>
    <w:p>
      <w:pPr>
        <w:spacing w:after="0" w:line="54" w:lineRule="exact"/>
        <w:rPr>
          <w:sz w:val="20"/>
          <w:szCs w:val="20"/>
          <w:color w:val="auto"/>
        </w:rPr>
      </w:pPr>
    </w:p>
    <w:p>
      <w:pPr>
        <w:ind w:right="20" w:firstLine="436"/>
        <w:spacing w:after="0" w:line="282" w:lineRule="auto"/>
        <w:tabs>
          <w:tab w:leader="none" w:pos="6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in cash or otherwise on its Equity Interests or pay any Indebtedness or other obligations owed to the Borrower or any Restricted Subsidiary;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the Borrower or any Restricted Subsidiary; or</w:t>
      </w:r>
    </w:p>
    <w:p>
      <w:pPr>
        <w:spacing w:after="0" w:line="223"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transfer any of its property or assets to the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priority of any preferred stock in receiving dividends or liquidating distributions prior to dividends or liquidating distributions being paid on common stock or Jones Act Warrants and (y) the subordination of (including the application of any standstill requirements to) loans or advances made to the Borrower or any Restricted Subsidiary to other Indebtedness incurred by the Borrower or any Restricted Subsidiary shall not be deemed to constitute such an encumbrance or restriction.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prohibit:</w:t>
      </w:r>
    </w:p>
    <w:p>
      <w:pPr>
        <w:spacing w:after="0" w:line="119" w:lineRule="exact"/>
        <w:rPr>
          <w:sz w:val="20"/>
          <w:szCs w:val="20"/>
          <w:color w:val="auto"/>
        </w:rPr>
      </w:pPr>
    </w:p>
    <w:p>
      <w:pPr>
        <w:ind w:left="440" w:right="40" w:firstLine="419"/>
        <w:spacing w:after="0" w:line="282" w:lineRule="auto"/>
        <w:tabs>
          <w:tab w:leader="none" w:pos="107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this Agreement or any other agreement or instrument, in each case, in effect at or entered into on the Closing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the Loan Documents;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applicable law, rule, regulation or order;</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16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 agreement or instrument of a Person or relating to any Equity Interests or Indebtedness of a Person, entered into on or before the date on which such Person was acquired by or merged, consolidated or otherwise combined with or into the Borrower or any Restricted Subsidiary, or was designated as a Restricted Subsidiary or on which such agreement or instrument is assumed by the Borrower or any Restricted Subsidiary in connection with an acquisition of assets (other than Equity Interests or Indebtedness incurred as consideration in, or to provide all or any portion of the funds utilized to consummate, the transaction or series of related transactions pursuant to which such Person became a Restricted Subsidiary or was acquired by the Borrower or a Restricted Subsidiary or was merged, consolidated or otherwise combined with or into the Borrower or any Restricted Subsidiary or entered into in contemplation of or in connection with such transaction) and outstanding on such date;</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w:t>
      </w:r>
    </w:p>
    <w:p>
      <w:pPr>
        <w:spacing w:after="0" w:line="117"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7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6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mortgages, pledges, charges or other security agreements permitted under this Agreement or securing Indebtedness of the Borrower or a Restricted Subsidiary permitted under this Agreement to the extent such encumbrances or restrictions restrict the transfer or encumbrance of the property or assets subject to such mortgages, pledges, charges or other security agreements;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80"/>
          </w:cols>
          <w:pgMar w:left="440" w:top="270" w:right="479" w:bottom="1440" w:gutter="0" w:footer="0" w:header="0"/>
        </w:sectPr>
      </w:pPr>
    </w:p>
    <w:bookmarkStart w:id="471" w:name="page472"/>
    <w:bookmarkEnd w:id="471"/>
    <w:p>
      <w:pPr>
        <w:ind w:left="540" w:firstLine="408"/>
        <w:spacing w:after="0" w:line="258" w:lineRule="auto"/>
        <w:tabs>
          <w:tab w:leader="none" w:pos="122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contained in any trading, netting, operating, construction, service, supply, purchase, sale or other agreement to which the Borrower or any of its Restricted Subsidiaries is a party entered into in the ordinary course of business or consistent with past practice;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agreement prohibits the encumbrance of solely the property or assets of the Borrower or such Restricted Subsidiary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such agreement, the payment rights arising thereunder or the proceeds thereof and does not extend to any other asset or property of the Borrower or such Restricted Subsidiary or the assets or property of another Restricted Subsidiary; or</w:t>
      </w:r>
    </w:p>
    <w:p>
      <w:pPr>
        <w:spacing w:after="0" w:line="75" w:lineRule="exact"/>
        <w:rPr>
          <w:rFonts w:ascii="Times New Roman" w:cs="Times New Roman" w:eastAsia="Times New Roman" w:hAnsi="Times New Roman"/>
          <w:sz w:val="18"/>
          <w:szCs w:val="18"/>
          <w:color w:val="auto"/>
        </w:rPr>
      </w:pPr>
    </w:p>
    <w:p>
      <w:pPr>
        <w:ind w:left="540" w:right="800" w:firstLine="408"/>
        <w:spacing w:after="0" w:line="282" w:lineRule="auto"/>
        <w:tabs>
          <w:tab w:leader="none" w:pos="123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customary provisions restricting dispositions of real property interests set forth in any reciprocal easement agreements of the Borrower or any Restricted Subsidiary;</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72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Purchase Money Obligations and Capitalized Leases permitted under this Agreement, in each case, that impose encumbrances or restrictions on the property so acquired;</w:t>
      </w:r>
    </w:p>
    <w:p>
      <w:pPr>
        <w:spacing w:after="0" w:line="53" w:lineRule="exact"/>
        <w:rPr>
          <w:rFonts w:ascii="Times New Roman" w:cs="Times New Roman" w:eastAsia="Times New Roman" w:hAnsi="Times New Roman"/>
          <w:sz w:val="18"/>
          <w:szCs w:val="18"/>
          <w:color w:val="auto"/>
        </w:rPr>
      </w:pPr>
    </w:p>
    <w:p>
      <w:pPr>
        <w:ind w:right="160" w:firstLine="419"/>
        <w:spacing w:after="0" w:line="266" w:lineRule="auto"/>
        <w:tabs>
          <w:tab w:leader="none" w:pos="77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imposed pursuant to an agreement entered into for the direct or indirect sale or disposition to a Person of all or substantially all the Equity Interests or assets of the Borrower or any Restricted Subsidiary (or the property or assets that are subject to such restriction) pending the closing of such sale or disposition;</w:t>
      </w:r>
    </w:p>
    <w:p>
      <w:pPr>
        <w:spacing w:after="0" w:line="67" w:lineRule="exact"/>
        <w:rPr>
          <w:rFonts w:ascii="Times New Roman" w:cs="Times New Roman" w:eastAsia="Times New Roman" w:hAnsi="Times New Roman"/>
          <w:sz w:val="18"/>
          <w:szCs w:val="18"/>
          <w:color w:val="auto"/>
        </w:rPr>
      </w:pPr>
    </w:p>
    <w:p>
      <w:pPr>
        <w:ind w:right="460" w:firstLine="419"/>
        <w:spacing w:after="0" w:line="282" w:lineRule="auto"/>
        <w:tabs>
          <w:tab w:leader="none" w:pos="82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equityholder agreements, joint venture agreements, organizational documents and other similar agreements and instruments;</w:t>
      </w:r>
    </w:p>
    <w:p>
      <w:pPr>
        <w:spacing w:after="0" w:line="53" w:lineRule="exact"/>
        <w:rPr>
          <w:rFonts w:ascii="Times New Roman" w:cs="Times New Roman" w:eastAsia="Times New Roman" w:hAnsi="Times New Roman"/>
          <w:sz w:val="18"/>
          <w:szCs w:val="18"/>
          <w:color w:val="auto"/>
        </w:rPr>
      </w:pPr>
    </w:p>
    <w:p>
      <w:pPr>
        <w:ind w:right="240" w:firstLine="419"/>
        <w:spacing w:after="0" w:line="282" w:lineRule="auto"/>
        <w:tabs>
          <w:tab w:leader="none" w:pos="72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arising or existing by reason of applicable law or any applicable rule, regulation or order, or required by any regulatory authority;</w:t>
      </w:r>
    </w:p>
    <w:p>
      <w:pPr>
        <w:spacing w:after="0" w:line="53" w:lineRule="exact"/>
        <w:rPr>
          <w:rFonts w:ascii="Times New Roman" w:cs="Times New Roman" w:eastAsia="Times New Roman" w:hAnsi="Times New Roman"/>
          <w:sz w:val="18"/>
          <w:szCs w:val="18"/>
          <w:color w:val="auto"/>
        </w:rPr>
      </w:pPr>
    </w:p>
    <w:p>
      <w:pPr>
        <w:ind w:right="560" w:firstLine="419"/>
        <w:spacing w:after="0" w:line="282" w:lineRule="auto"/>
        <w:tabs>
          <w:tab w:leader="none" w:pos="67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on cash or other deposits or net worth imposed by customers under agreements entered into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Hedge Agreements;</w:t>
      </w:r>
    </w:p>
    <w:p>
      <w:pPr>
        <w:spacing w:after="0" w:line="117" w:lineRule="exact"/>
        <w:rPr>
          <w:rFonts w:ascii="Times New Roman" w:cs="Times New Roman" w:eastAsia="Times New Roman" w:hAnsi="Times New Roman"/>
          <w:sz w:val="18"/>
          <w:szCs w:val="18"/>
          <w:color w:val="auto"/>
        </w:rPr>
      </w:pPr>
    </w:p>
    <w:p>
      <w:pPr>
        <w:ind w:right="140" w:firstLine="419"/>
        <w:spacing w:after="0" w:line="282" w:lineRule="auto"/>
        <w:tabs>
          <w:tab w:leader="none" w:pos="77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of Foreign Subsidiaries permitted to be incurred or issued subsequent to the Closing Date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that impose restrictions solely on the Foreign Subsidiaries party thereto or their Subsidiaries;</w:t>
      </w:r>
    </w:p>
    <w:p>
      <w:pPr>
        <w:spacing w:after="0" w:line="53" w:lineRule="exact"/>
        <w:rPr>
          <w:rFonts w:ascii="Times New Roman" w:cs="Times New Roman" w:eastAsia="Times New Roman" w:hAnsi="Times New Roman"/>
          <w:sz w:val="18"/>
          <w:szCs w:val="18"/>
          <w:color w:val="auto"/>
        </w:rPr>
      </w:pPr>
    </w:p>
    <w:p>
      <w:pPr>
        <w:ind w:right="840" w:firstLine="419"/>
        <w:spacing w:after="0" w:line="282" w:lineRule="auto"/>
        <w:tabs>
          <w:tab w:leader="none" w:pos="82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created in connection with any Qualified Securitization Financing or Receivables Facility that, in the good faith determination of the Borrower, are necessary or advisable to effect such Securitization Facility or Receivables Facility;</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540"/>
          </w:cols>
          <w:pgMar w:left="880" w:top="270" w:right="479" w:bottom="1440" w:gutter="0" w:footer="0" w:header="0"/>
        </w:sectPr>
      </w:pPr>
    </w:p>
    <w:bookmarkStart w:id="472" w:name="page473"/>
    <w:bookmarkEnd w:id="472"/>
    <w:p>
      <w:pPr>
        <w:ind w:left="440" w:right="260" w:firstLine="419"/>
        <w:spacing w:after="0" w:line="276" w:lineRule="auto"/>
        <w:tabs>
          <w:tab w:leader="none" w:pos="1258"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encumbrance or restriction arising pursuant to an agreement or instrument relating to any Indebtedness permitted to be incurred subsequent to the Closing Date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if the encumbrances and restrictions contained in any such agreement or instrument</w:t>
      </w:r>
    </w:p>
    <w:p>
      <w:pPr>
        <w:jc w:val="both"/>
        <w:ind w:left="440" w:right="40" w:hanging="4"/>
        <w:spacing w:after="0" w:line="253" w:lineRule="auto"/>
        <w:tabs>
          <w:tab w:leader="none" w:pos="65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as a whole, are not materially less favorable to the Lenders than the encumbrances and restrictions contained in this Agreement, together with the other Loan Documents, as in effect on the Closing Date, (ii) at the time of entry into such agreement or instrument, are determined by the Borrower in good faith to not adversely affect, in any material respect, the Borrower’s ability to make principal or interest payments on the Loans or (iii) apply only during the continuance of a default in respect of a payment relating to such agreement or instrument;</w:t>
      </w:r>
    </w:p>
    <w:p>
      <w:pPr>
        <w:spacing w:after="0" w:line="80"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existing by reason of any Lien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25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 agreement or instrument effecting a refinancing of Indebtedness incurred pursuant to, or that otherwise refinances, an agreement or instrument referred to in the clauses above or this clause (an “</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xml:space="preserve">”) or contained in any amendment, supplement or other modification to an agreement referred to in the clauses above or this clause;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encumbrances and restrictions with respect to such Restricted Subsidiary contained in any such agreement or instrument (i)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 or</w:t>
      </w:r>
    </w:p>
    <w:p>
      <w:pPr>
        <w:spacing w:after="0" w:line="5" w:lineRule="exact"/>
        <w:rPr>
          <w:rFonts w:ascii="Times New Roman" w:cs="Times New Roman" w:eastAsia="Times New Roman" w:hAnsi="Times New Roman"/>
          <w:sz w:val="18"/>
          <w:szCs w:val="18"/>
          <w:color w:val="auto"/>
        </w:rPr>
      </w:pPr>
    </w:p>
    <w:p>
      <w:pPr>
        <w:ind w:left="440" w:hanging="4"/>
        <w:spacing w:after="0" w:line="260" w:lineRule="auto"/>
        <w:tabs>
          <w:tab w:leader="none" w:pos="70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determined by the Borrower in good faith, at the time of entering into such refinancing, amendment, supplement or other modification, will not adversely affect, in any material respect, the Borrower’s ability to make principal or interest payments on the Loans.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Junior Debt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36"/>
        <w:spacing w:after="0" w:line="266" w:lineRule="auto"/>
        <w:tabs>
          <w:tab w:leader="none" w:pos="68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 of Junior Financing</w:t>
      </w:r>
      <w:r>
        <w:rPr>
          <w:rFonts w:ascii="Times New Roman" w:cs="Times New Roman" w:eastAsia="Times New Roman" w:hAnsi="Times New Roman"/>
          <w:sz w:val="18"/>
          <w:szCs w:val="18"/>
          <w:color w:val="auto"/>
        </w:rPr>
        <w:t>. Prepay, repay, redeem, repurchase, defease or otherwise acquire or satisfy prior to the date that is one year before the scheduled maturity thereof any principal amount in respect of a Junior Financing (any such prepayment, repayment, redemption, purchase, defeasance or satisfaction, a “</w:t>
      </w:r>
      <w:r>
        <w:rPr>
          <w:rFonts w:ascii="Times New Roman" w:cs="Times New Roman" w:eastAsia="Times New Roman" w:hAnsi="Times New Roman"/>
          <w:sz w:val="18"/>
          <w:szCs w:val="18"/>
          <w:b w:val="1"/>
          <w:bCs w:val="1"/>
          <w:color w:val="auto"/>
        </w:rPr>
        <w:t>Junior Debt Repayment</w:t>
      </w:r>
      <w:r>
        <w:rPr>
          <w:rFonts w:ascii="Times New Roman" w:cs="Times New Roman" w:eastAsia="Times New Roman" w:hAnsi="Times New Roman"/>
          <w:sz w:val="18"/>
          <w:szCs w:val="18"/>
          <w:color w:val="auto"/>
        </w:rPr>
        <w:t>”), except (each of the following, a “</w:t>
      </w:r>
      <w:r>
        <w:rPr>
          <w:rFonts w:ascii="Times New Roman" w:cs="Times New Roman" w:eastAsia="Times New Roman" w:hAnsi="Times New Roman"/>
          <w:sz w:val="18"/>
          <w:szCs w:val="18"/>
          <w:b w:val="1"/>
          <w:bCs w:val="1"/>
          <w:color w:val="auto"/>
        </w:rPr>
        <w:t>Permitted Junior Debt Repayment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with the proceeds of, or in exchange for, any (A) Refinancing Indebtedness or, to the extent applicable, Second Lien Credit Agreement Refinancing Indebtedness or (B) other Junior Financing or Junior Lien Debt permitted hereunder;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(A) made with Qualified Equity Interests of the Borrower or any Parent Entity, with the proceeds of an issuance of any such Equity Interests or with the proceeds of a contribution to the capital of the Borrower after the Closing Date or (B) consisting of the conversion of any Junior Financing to Equity Interests;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473" w:name="page474"/>
    <w:bookmarkEnd w:id="473"/>
    <w:p>
      <w:pPr>
        <w:ind w:left="321" w:hanging="321"/>
        <w:spacing w:after="0"/>
        <w:tabs>
          <w:tab w:leader="none" w:pos="321"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Junior Debt Repayments of Indebtedness of the Borrower or any Restricted Subsidiary owed to the Borrower or a Restricted Subsidiary;</w:t>
      </w:r>
    </w:p>
    <w:p>
      <w:pPr>
        <w:spacing w:after="0" w:line="128" w:lineRule="exact"/>
        <w:rPr>
          <w:rFonts w:ascii="Times New Roman" w:cs="Times New Roman" w:eastAsia="Times New Roman" w:hAnsi="Times New Roman"/>
          <w:sz w:val="17"/>
          <w:szCs w:val="17"/>
          <w:color w:val="auto"/>
        </w:rPr>
      </w:pPr>
    </w:p>
    <w:p>
      <w:pPr>
        <w:ind w:left="-419" w:firstLine="419"/>
        <w:spacing w:after="0" w:line="266" w:lineRule="auto"/>
        <w:tabs>
          <w:tab w:leader="none" w:pos="30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of Indebtedness of any Person that becomes a Restricted Subsidiary after the Closing Date in connection with a transaction not prohibited by the Loan Documents, which Indebtedness was in existence at the time such Person became a Restricted Subsidiary (and not incurred in contemplation of such Person becoming a Restricted Subsidiary);</w:t>
      </w:r>
    </w:p>
    <w:p>
      <w:pPr>
        <w:spacing w:after="0" w:line="67" w:lineRule="exact"/>
        <w:rPr>
          <w:rFonts w:ascii="Times New Roman" w:cs="Times New Roman" w:eastAsia="Times New Roman" w:hAnsi="Times New Roman"/>
          <w:sz w:val="18"/>
          <w:szCs w:val="18"/>
          <w:color w:val="auto"/>
        </w:rPr>
      </w:pPr>
    </w:p>
    <w:p>
      <w:pPr>
        <w:ind w:left="-419" w:right="400" w:firstLine="419"/>
        <w:spacing w:after="0" w:line="282" w:lineRule="auto"/>
        <w:tabs>
          <w:tab w:leader="none" w:pos="25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within sixty (60) days of giving notice thereof if at the date of such notice, such payment would have been permitted hereunder;</w:t>
      </w:r>
    </w:p>
    <w:p>
      <w:pPr>
        <w:spacing w:after="0" w:line="53"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made in connection with the Transactions;</w:t>
      </w:r>
    </w:p>
    <w:p>
      <w:pPr>
        <w:spacing w:after="0" w:line="117" w:lineRule="exact"/>
        <w:rPr>
          <w:rFonts w:ascii="Times New Roman" w:cs="Times New Roman" w:eastAsia="Times New Roman" w:hAnsi="Times New Roman"/>
          <w:sz w:val="18"/>
          <w:szCs w:val="18"/>
          <w:color w:val="auto"/>
        </w:rPr>
      </w:pPr>
    </w:p>
    <w:p>
      <w:pPr>
        <w:ind w:left="-419" w:right="60" w:firstLine="419"/>
        <w:spacing w:after="0" w:line="282" w:lineRule="auto"/>
        <w:tabs>
          <w:tab w:leader="none" w:pos="35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consisting of the payment of regularly scheduled interest and principal payments, payments of fees, expenses, penalty interest and indemnification obligations when due, other than payments prohibited by any applicable subordination provisions;</w:t>
      </w:r>
    </w:p>
    <w:p>
      <w:pPr>
        <w:spacing w:after="0" w:line="53" w:lineRule="exact"/>
        <w:rPr>
          <w:rFonts w:ascii="Times New Roman" w:cs="Times New Roman" w:eastAsia="Times New Roman" w:hAnsi="Times New Roman"/>
          <w:sz w:val="18"/>
          <w:szCs w:val="18"/>
          <w:color w:val="auto"/>
        </w:rPr>
      </w:pPr>
    </w:p>
    <w:p>
      <w:pPr>
        <w:ind w:left="401" w:hanging="401"/>
        <w:spacing w:after="0"/>
        <w:tabs>
          <w:tab w:leader="none" w:pos="40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consisting of a payment to avoid the application of Section 163(e)(5) of the Code;</w:t>
      </w:r>
    </w:p>
    <w:p>
      <w:pPr>
        <w:spacing w:after="0" w:line="117" w:lineRule="exact"/>
        <w:rPr>
          <w:rFonts w:ascii="Times New Roman" w:cs="Times New Roman" w:eastAsia="Times New Roman" w:hAnsi="Times New Roman"/>
          <w:sz w:val="18"/>
          <w:szCs w:val="18"/>
          <w:color w:val="auto"/>
        </w:rPr>
      </w:pPr>
    </w:p>
    <w:p>
      <w:pPr>
        <w:ind w:left="-419" w:right="120" w:firstLine="419"/>
        <w:spacing w:after="0" w:line="261" w:lineRule="auto"/>
        <w:tabs>
          <w:tab w:leader="none" w:pos="30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Junior Debt Repayments, if the Total Net Leverage Ratio (after giving Pro Forma Effect thereto) for the Test Period immediately preceding the incurrence of such payments shall be less than or equal to the Closing Date Total Net Leverage Ratio less 0.50 to 1.00 and the Borrower shall be in pro forma compliance with the Financial Covenants upon giving effect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Event of Default shall have occurred and be continuing or would result therefrom;</w:t>
      </w:r>
    </w:p>
    <w:p>
      <w:pPr>
        <w:spacing w:after="0" w:line="71" w:lineRule="exact"/>
        <w:rPr>
          <w:rFonts w:ascii="Times New Roman" w:cs="Times New Roman" w:eastAsia="Times New Roman" w:hAnsi="Times New Roman"/>
          <w:sz w:val="18"/>
          <w:szCs w:val="18"/>
          <w:color w:val="auto"/>
        </w:rPr>
      </w:pPr>
    </w:p>
    <w:p>
      <w:pPr>
        <w:ind w:left="-419" w:right="40" w:firstLine="419"/>
        <w:spacing w:after="0" w:line="266" w:lineRule="auto"/>
        <w:tabs>
          <w:tab w:leader="none" w:pos="25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w:t>
      </w:r>
    </w:p>
    <w:p>
      <w:pPr>
        <w:spacing w:after="0" w:line="67" w:lineRule="exact"/>
        <w:rPr>
          <w:rFonts w:ascii="Times New Roman" w:cs="Times New Roman" w:eastAsia="Times New Roman" w:hAnsi="Times New Roman"/>
          <w:sz w:val="18"/>
          <w:szCs w:val="18"/>
          <w:color w:val="auto"/>
        </w:rPr>
      </w:pPr>
    </w:p>
    <w:p>
      <w:pPr>
        <w:ind w:left="-419" w:right="320" w:firstLine="419"/>
        <w:spacing w:after="0" w:line="282" w:lineRule="auto"/>
        <w:tabs>
          <w:tab w:leader="none" w:pos="30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purchase, repurchase, redemption, defeasance or other acquisition or retirement for value of any Indebtedness owing to the Borrower or a Guarantor incurred pursuant to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in connection with any Conversion Settlement;</w:t>
      </w:r>
    </w:p>
    <w:p>
      <w:pPr>
        <w:spacing w:after="0" w:line="117" w:lineRule="exact"/>
        <w:rPr>
          <w:rFonts w:ascii="Times New Roman" w:cs="Times New Roman" w:eastAsia="Times New Roman" w:hAnsi="Times New Roman"/>
          <w:sz w:val="18"/>
          <w:szCs w:val="18"/>
          <w:color w:val="auto"/>
        </w:rPr>
      </w:pPr>
    </w:p>
    <w:p>
      <w:pPr>
        <w:ind w:left="401" w:hanging="401"/>
        <w:spacing w:after="0"/>
        <w:tabs>
          <w:tab w:leader="none" w:pos="40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in an aggregate amount not to exceed the sum of:</w:t>
      </w:r>
    </w:p>
    <w:p>
      <w:pPr>
        <w:spacing w:after="0" w:line="115" w:lineRule="exact"/>
        <w:rPr>
          <w:rFonts w:ascii="Times New Roman" w:cs="Times New Roman" w:eastAsia="Times New Roman" w:hAnsi="Times New Roman"/>
          <w:sz w:val="18"/>
          <w:szCs w:val="18"/>
          <w:color w:val="auto"/>
        </w:rPr>
      </w:pPr>
    </w:p>
    <w:p>
      <w:pPr>
        <w:ind w:left="121" w:right="400" w:firstLine="408"/>
        <w:spacing w:after="0" w:line="284" w:lineRule="auto"/>
        <w:tabs>
          <w:tab w:leader="none" w:pos="81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Event of Default shall have occurred and be continuing or would result therefrom; and</w:t>
      </w:r>
    </w:p>
    <w:p>
      <w:pPr>
        <w:spacing w:after="0" w:line="52" w:lineRule="exact"/>
        <w:rPr>
          <w:rFonts w:ascii="Times New Roman" w:cs="Times New Roman" w:eastAsia="Times New Roman" w:hAnsi="Times New Roman"/>
          <w:sz w:val="18"/>
          <w:szCs w:val="18"/>
          <w:color w:val="auto"/>
        </w:rPr>
      </w:pPr>
    </w:p>
    <w:p>
      <w:pPr>
        <w:ind w:left="121" w:right="380" w:firstLine="408"/>
        <w:spacing w:after="0" w:line="282" w:lineRule="auto"/>
        <w:tabs>
          <w:tab w:leader="none" w:pos="80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30% of Closing Date Consolidated Net Tangible Assets and (B) 30% of Consolidated Net Tangible Assets determined as of the most recently ended fiscal quarter on a Pro Forma Basis</w:t>
      </w:r>
    </w:p>
    <w:p>
      <w:pPr>
        <w:spacing w:after="0" w:line="52"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shall be in pro forma compliance with the Financial Covenants upon giving effect thereto;</w:t>
      </w:r>
    </w:p>
    <w:p>
      <w:pPr>
        <w:spacing w:after="0" w:line="160"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141"/>
          </w:cols>
          <w:pgMar w:left="1299" w:top="270" w:right="459" w:bottom="1440" w:gutter="0" w:footer="0" w:header="0"/>
        </w:sectPr>
      </w:pPr>
    </w:p>
    <w:bookmarkStart w:id="474" w:name="page475"/>
    <w:bookmarkEnd w:id="474"/>
    <w:p>
      <w:pPr>
        <w:ind w:left="440" w:right="340" w:firstLine="419"/>
        <w:spacing w:after="0" w:line="289" w:lineRule="auto"/>
        <w:tabs>
          <w:tab w:leader="none" w:pos="1258"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Junior Debt Repayments of Acquired Indebtedness (other than Indebtedness incurred (A) to provide all or any portion of the funds utilized to consummate the transaction or series of related transactions pursuant to which such Person became a Restricted Subsidiary or was otherwise acquired by the Borrower or a Restricted Subsidiary or (B) otherwise in connection with or contemplation of such acquisition); and</w:t>
      </w:r>
    </w:p>
    <w:p>
      <w:pPr>
        <w:spacing w:after="0" w:line="49" w:lineRule="exact"/>
        <w:rPr>
          <w:rFonts w:ascii="Times New Roman" w:cs="Times New Roman" w:eastAsia="Times New Roman" w:hAnsi="Times New Roman"/>
          <w:sz w:val="17"/>
          <w:szCs w:val="17"/>
          <w:color w:val="auto"/>
        </w:rPr>
      </w:pPr>
    </w:p>
    <w:p>
      <w:pPr>
        <w:ind w:left="1200" w:hanging="341"/>
        <w:spacing w:after="0"/>
        <w:tabs>
          <w:tab w:leader="none" w:pos="12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Repayments of Jones Act Notes;</w:t>
      </w:r>
    </w:p>
    <w:p>
      <w:pPr>
        <w:spacing w:after="0" w:line="2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each of the following shall be permitted: payments of regularly scheduled principal interest (including at the default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on Junior Financing, payments of closing and consent fees related to Junior Financing, indemnity and expense reimbursement payments in connection with Junior Financing, and mandatory prepayments, mandatory redemptions and mandatory purchases (and mandatory offers to do any of the foregoing), in each case pursuant to the terms of Junior Financing Documentation.</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 in the event that any prepayment, repayment, redemption, purchase, defeasance or satisfaction (or any portion thereof) meets the criteria of more than one of the categories set forth above, the Borrower may, in their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89" w:lineRule="exact"/>
        <w:rPr>
          <w:sz w:val="20"/>
          <w:szCs w:val="20"/>
          <w:color w:val="auto"/>
        </w:rPr>
      </w:pPr>
    </w:p>
    <w:p>
      <w:pPr>
        <w:ind w:left="700" w:hanging="264"/>
        <w:spacing w:after="0"/>
        <w:tabs>
          <w:tab w:leader="none" w:pos="7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and each of the Restricted Subsidiaries covenant and agree that: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Facility Net Leverage Ratio</w:t>
      </w:r>
      <w:r>
        <w:rPr>
          <w:rFonts w:ascii="Times New Roman" w:cs="Times New Roman" w:eastAsia="Times New Roman" w:hAnsi="Times New Roman"/>
          <w:sz w:val="18"/>
          <w:szCs w:val="18"/>
          <w:color w:val="auto"/>
        </w:rPr>
        <w:t>. Commencing with the Test Period ending on the last day of the first full fiscal quarter ended after the Closing Date, the Borrower shall not permit the Revolving Credit Facility Net Leverage Ratio on the last day of each Test Period (each such date, a “</w:t>
      </w:r>
      <w:r>
        <w:rPr>
          <w:rFonts w:ascii="Times New Roman" w:cs="Times New Roman" w:eastAsia="Times New Roman" w:hAnsi="Times New Roman"/>
          <w:sz w:val="18"/>
          <w:szCs w:val="18"/>
          <w:b w:val="1"/>
          <w:bCs w:val="1"/>
          <w:color w:val="auto"/>
        </w:rPr>
        <w:t>Measurement Date</w:t>
      </w:r>
      <w:r>
        <w:rPr>
          <w:rFonts w:ascii="Times New Roman" w:cs="Times New Roman" w:eastAsia="Times New Roman" w:hAnsi="Times New Roman"/>
          <w:sz w:val="18"/>
          <w:szCs w:val="18"/>
          <w:color w:val="auto"/>
        </w:rPr>
        <w:t xml:space="preserve">”) to be greater than 1.00 to 1.00 if any Revolving Loans or Letters of Credit are drawn (and, in the case of Letters of Credit, not reimbursed) at such time. Compliance with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shall be tested on the date that the Compliance Certificate for the applicable Test Period is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not prior to such date (each such date, the “</w:t>
      </w:r>
      <w:r>
        <w:rPr>
          <w:rFonts w:ascii="Times New Roman" w:cs="Times New Roman" w:eastAsia="Times New Roman" w:hAnsi="Times New Roman"/>
          <w:sz w:val="18"/>
          <w:szCs w:val="18"/>
          <w:b w:val="1"/>
          <w:bCs w:val="1"/>
          <w:color w:val="auto"/>
        </w:rPr>
        <w:t>Testing Date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70" w:right="459" w:bottom="1440" w:gutter="0" w:footer="0" w:header="0"/>
        </w:sectPr>
      </w:pPr>
    </w:p>
    <w:bookmarkStart w:id="475" w:name="page476"/>
    <w:bookmarkEnd w:id="475"/>
    <w:p>
      <w:pPr>
        <w:ind w:left="-20" w:right="20" w:firstLine="436"/>
        <w:spacing w:after="0" w:line="255" w:lineRule="auto"/>
        <w:tabs>
          <w:tab w:leader="none" w:pos="67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Coverage Ratio</w:t>
      </w:r>
      <w:r>
        <w:rPr>
          <w:rFonts w:ascii="Times New Roman" w:cs="Times New Roman" w:eastAsia="Times New Roman" w:hAnsi="Times New Roman"/>
          <w:sz w:val="18"/>
          <w:szCs w:val="18"/>
          <w:color w:val="auto"/>
        </w:rPr>
        <w:t xml:space="preserve">. Commencing with the Test Period ending on the last day of the first full fiscal quarter ended after the Closing Date, the Borrower shall not permit the Collateral Coverage Ratio on any Measurement Date to be less than 1.50 to 1.00. To the extent that a portion of the Collateral Value Amount includes cash Collateral which was provided in favor of the Secured Parties, such cash Collateral shall be released after the Borrower demonstrates compliance with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for two successive Measurement Dates without such cash Collateral. Compliance with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be tested on the Measurement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compliance with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is not satisfied as of any applicable Measurement Date, the Borrower shall make a mandatory prepayment in accordance with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and as long as such prepayment is made, no Default or Event of Default shall occur in respect of such breach.</w:t>
      </w:r>
    </w:p>
    <w:p>
      <w:pPr>
        <w:spacing w:after="0" w:line="188"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RCF Collateral Coverage Ratio</w:t>
      </w:r>
      <w:r>
        <w:rPr>
          <w:rFonts w:ascii="Times New Roman" w:cs="Times New Roman" w:eastAsia="Times New Roman" w:hAnsi="Times New Roman"/>
          <w:sz w:val="18"/>
          <w:szCs w:val="18"/>
          <w:color w:val="auto"/>
        </w:rPr>
        <w:t xml:space="preserve">. Commencing with the Test Period ending on the last day of the first full fiscal quarter ended after the Closing Date, the Borrower shall not permit the RCF Collateral Coverage Ratio on any Measurement Date be less than 3.00 to 1.00. To the extent that a portion of the Collateral Value Amount includes cash Collateral that was provided in favor of the Secured Parties, such cash Collateral shall be released after the Borrower demonstrates compliance with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for two successive Measurement Dates without such cash Collateral. Compliance with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 be tested on the Measurement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compliance with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is not satisfied as of any applicable Measurement Date, the Borrower shall make a mandatory prepayment in accordance with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and as long as such prepayment is made, no Default or Event of Default shall occur in respect of such breach.</w:t>
      </w:r>
    </w:p>
    <w:p>
      <w:pPr>
        <w:spacing w:after="0" w:line="188"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67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Commencing with the Test Period ending on the last day of the first full fiscal quarter ended after the Closing Date, the Borrower shall not permit the Liquidity on any Measurement Date to be less than $25,000,000.</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 and Remedies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Each of the events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constitutes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100" w:firstLine="436"/>
        <w:spacing w:after="0" w:line="266" w:lineRule="auto"/>
        <w:tabs>
          <w:tab w:leader="none" w:pos="66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Any Loan Party fails to pay (i) when and as required to be paid pursuant to the terms of this Agreement, any amount of principal of any Loan or any Reimbursement Obligation, or (ii) within five Business Days after the same becomes due, any interest on any Loan or any fee or reimbursement obligation (other than a Reimbursement Obligation) or other amount payable pursuant to the terms of a Loan Document; or</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The Borrower or any Guarantor fails to perform or observe any covenant contained in:</w:t>
      </w:r>
    </w:p>
    <w:p>
      <w:pPr>
        <w:spacing w:after="0" w:line="117" w:lineRule="exact"/>
        <w:rPr>
          <w:rFonts w:ascii="Times New Roman" w:cs="Times New Roman" w:eastAsia="Times New Roman" w:hAnsi="Times New Roman"/>
          <w:sz w:val="18"/>
          <w:szCs w:val="18"/>
          <w:color w:val="auto"/>
        </w:rPr>
      </w:pPr>
    </w:p>
    <w:p>
      <w:pPr>
        <w:ind w:left="420" w:right="180" w:firstLine="419"/>
        <w:spacing w:after="0" w:line="282" w:lineRule="auto"/>
        <w:tabs>
          <w:tab w:leader="none" w:pos="1058"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(solely to the extent and only for so long as such notice has not been delivered),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(solely with respect to the Borrowers),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60"/>
          </w:cols>
          <w:pgMar w:left="460" w:top="270" w:right="479" w:bottom="1440" w:gutter="0" w:footer="0" w:header="0"/>
        </w:sectPr>
      </w:pPr>
    </w:p>
    <w:bookmarkStart w:id="476" w:name="page477"/>
    <w:bookmarkEnd w:id="476"/>
    <w:p>
      <w:pPr>
        <w:ind w:left="440" w:firstLine="419"/>
        <w:spacing w:after="0" w:line="261" w:lineRule="auto"/>
        <w:tabs>
          <w:tab w:leader="none" w:pos="1128"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9.01(b)(ii)</w:t>
      </w:r>
      <w:r>
        <w:rPr>
          <w:rFonts w:ascii="Times New Roman" w:cs="Times New Roman" w:eastAsia="Times New Roman" w:hAnsi="Times New Roman"/>
          <w:sz w:val="18"/>
          <w:szCs w:val="18"/>
          <w:color w:val="auto"/>
        </w:rPr>
        <w:t xml:space="preserve"> shall not result in a Default or an Event of Default (i) at any time when no Loans are outstanding and shall instead be deemed a “</w:t>
      </w:r>
      <w:r>
        <w:rPr>
          <w:rFonts w:ascii="Times New Roman" w:cs="Times New Roman" w:eastAsia="Times New Roman" w:hAnsi="Times New Roman"/>
          <w:sz w:val="18"/>
          <w:szCs w:val="18"/>
          <w:b w:val="1"/>
          <w:bCs w:val="1"/>
          <w:color w:val="auto"/>
        </w:rPr>
        <w:t>Financial Covenant Blocking Event</w:t>
      </w:r>
      <w:r>
        <w:rPr>
          <w:rFonts w:ascii="Times New Roman" w:cs="Times New Roman" w:eastAsia="Times New Roman" w:hAnsi="Times New Roman"/>
          <w:sz w:val="18"/>
          <w:szCs w:val="18"/>
          <w:color w:val="auto"/>
        </w:rPr>
        <w:t>” prohibiting the Borrower from borrowing any Revolving Loans under this Agreement until the condition precedent set forth in Section 4.03(c) is satisfied and (ii) so long as a mandatory prepayment is made in accordance with Section 2.07(b)(ii); or</w:t>
      </w:r>
    </w:p>
    <w:p>
      <w:pPr>
        <w:spacing w:after="0" w:line="181" w:lineRule="exact"/>
        <w:rPr>
          <w:rFonts w:ascii="Times New Roman" w:cs="Times New Roman" w:eastAsia="Times New Roman" w:hAnsi="Times New Roman"/>
          <w:sz w:val="18"/>
          <w:szCs w:val="18"/>
          <w:color w:val="auto"/>
        </w:rPr>
      </w:pPr>
    </w:p>
    <w:p>
      <w:pPr>
        <w:ind w:right="260" w:firstLine="436"/>
        <w:spacing w:after="0" w:line="258" w:lineRule="auto"/>
        <w:tabs>
          <w:tab w:leader="none" w:pos="68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 Loan Party fails to perform or observe any other covenant (not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(i) with respect to the covenants contained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6.02(b)</w:t>
      </w:r>
      <w:r>
        <w:rPr>
          <w:rFonts w:ascii="Times New Roman" w:cs="Times New Roman" w:eastAsia="Times New Roman" w:hAnsi="Times New Roman"/>
          <w:sz w:val="18"/>
          <w:szCs w:val="18"/>
          <w:color w:val="auto"/>
        </w:rPr>
        <w:t xml:space="preserve">, such failure continues for fifteen days, and (ii) with respect to any other affirmative covenants hereunder which, when breached, are capable of being cured, such failure continues for thirty (30) days after receipt by the Borrower of written notice thereof from the Administrative Agent (it being acknowledged that a breach of </w:t>
      </w:r>
      <w:r>
        <w:rPr>
          <w:rFonts w:ascii="Times New Roman" w:cs="Times New Roman" w:eastAsia="Times New Roman" w:hAnsi="Times New Roman"/>
          <w:sz w:val="18"/>
          <w:szCs w:val="18"/>
          <w:u w:val="single" w:color="auto"/>
          <w:color w:val="auto"/>
        </w:rPr>
        <w:t>Sections 6.14(a)(iii)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not capable of being cured); or</w:t>
      </w:r>
    </w:p>
    <w:p>
      <w:pPr>
        <w:spacing w:after="0" w:line="183"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by any Loan Party in any Loan Document, or in any document required to be delivered pursuant to the terms of a Loan Document shall be untrue in any material respect (or, with respect to any representation or warranty qualified by materiality or “Material Adverse Effect,” shall be untrue in any respect) when made or deemed made; and in the case of any representation and warranty made or deemed made after the Closing Date, such representation or warranty shall remain untrue (in any material respect or in any respect, as applicable) for a period of thirty (30) days after written notice thereof from the Administrative Agent to the Borrower; or</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A Loan Party: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54" w:lineRule="exact"/>
        <w:rPr>
          <w:sz w:val="20"/>
          <w:szCs w:val="20"/>
          <w:color w:val="auto"/>
        </w:rPr>
      </w:pPr>
    </w:p>
    <w:p>
      <w:pPr>
        <w:ind w:left="440" w:right="120" w:firstLine="419"/>
        <w:spacing w:after="0" w:line="258" w:lineRule="auto"/>
        <w:tabs>
          <w:tab w:leader="none" w:pos="112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perform or observe any covenant, agreement or condition relating to any Material Indebtedness or any other event or condition occurs, the effect of which failure or event or condition is to cause such Material Indebtedness becoming due prior to its scheduled maturity or to enable or permit (with all applicable grace periods having expired) the holder or holders (with the giving of notice or the lapse of time or both) of such Material Indebtedness or any trustee or any agent on its or their behalf to cause such Material Indebtedness to become due, or to require the prepayment, repurchase, redemption or defeasance thereof, prior to its stated maturity, in each case pursuant to its terms;</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(1) to any secured Indebtedness that becomes due as a result of the sale, transfer or other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as a result of a casualty or condemnation event) of the property or assets securing such Indebtedness or as a result of a “change of control” put right; (2) to the conversion of, or the satisfaction of any condition to the conversion of, any Indebtedness that is convertible or exchangeable for Equity Interests or to any Conversion Settlement; (3) to events of default, termination events or any other similar event under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20"/>
          </w:cols>
          <w:pgMar w:left="440" w:top="267" w:right="439" w:bottom="1440" w:gutter="0" w:footer="0" w:header="0"/>
        </w:sectPr>
      </w:pPr>
    </w:p>
    <w:bookmarkStart w:id="477" w:name="page478"/>
    <w:bookmarkEnd w:id="47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governing Hedge Agreements or (4) to a refinancing of Indebtedness with other Indebtedness permitted by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at such times during which no Loans are outstanding, the occurrence of an event that would otherwise be a Default or Event of Default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not be a Default or an Event of Default and shall instead be deemed a “</w:t>
      </w:r>
      <w:r>
        <w:rPr>
          <w:rFonts w:ascii="Times New Roman" w:cs="Times New Roman" w:eastAsia="Times New Roman" w:hAnsi="Times New Roman"/>
          <w:sz w:val="18"/>
          <w:szCs w:val="18"/>
          <w:b w:val="1"/>
          <w:bCs w:val="1"/>
          <w:color w:val="auto"/>
        </w:rPr>
        <w:t>Blocking Event</w:t>
      </w:r>
      <w:r>
        <w:rPr>
          <w:rFonts w:ascii="Times New Roman" w:cs="Times New Roman" w:eastAsia="Times New Roman" w:hAnsi="Times New Roman"/>
          <w:sz w:val="18"/>
          <w:szCs w:val="18"/>
          <w:color w:val="auto"/>
        </w:rPr>
        <w:t>” until such time as waived by the Required Lenders in accordance with this Agreement; or</w:t>
      </w:r>
    </w:p>
    <w:p>
      <w:pPr>
        <w:spacing w:after="0" w:line="182" w:lineRule="exact"/>
        <w:rPr>
          <w:sz w:val="20"/>
          <w:szCs w:val="20"/>
          <w:color w:val="auto"/>
        </w:rPr>
      </w:pPr>
    </w:p>
    <w:p>
      <w:pPr>
        <w:ind w:left="664" w:hanging="224"/>
        <w:spacing w:after="0"/>
        <w:tabs>
          <w:tab w:leader="none" w:pos="664"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(i) Any Loan Party (A) institutes or consents to the institution of any proceeding under any Debtor Relief Law,</w:t>
      </w:r>
    </w:p>
    <w:p>
      <w:pPr>
        <w:spacing w:after="0" w:line="27" w:lineRule="exact"/>
        <w:rPr>
          <w:rFonts w:ascii="Times New Roman" w:cs="Times New Roman" w:eastAsia="Times New Roman" w:hAnsi="Times New Roman"/>
          <w:sz w:val="18"/>
          <w:szCs w:val="18"/>
          <w:color w:val="auto"/>
        </w:rPr>
      </w:pPr>
    </w:p>
    <w:p>
      <w:pPr>
        <w:ind w:left="4" w:right="280" w:hanging="4"/>
        <w:spacing w:after="0" w:line="265" w:lineRule="auto"/>
        <w:tabs>
          <w:tab w:leader="none" w:pos="289"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an assignment for the benefit of creditors or (C) applies for or consents to the appointment of any receiver, trustee, custodian, conservator, liquidator, rehabilitator, administrator, administrative receiver or similar officer for it or for all or any material part of its property; (ii) any receiver, trustee, custodian, conservator, liquidator, rehabilitator, administrator, administrative receiver or similar officer is appointed for a Loan Party or any material part of its property without the application or consent of such Loan Party and the appointment continues undischarged or unstayed for sixty</w:t>
      </w:r>
    </w:p>
    <w:p>
      <w:pPr>
        <w:jc w:val="both"/>
        <w:ind w:left="4"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 calendar days; (iii) any proceeding under any Debtor Relief Law relating to a Loan Party or to all or any material part of its property is instituted without the consent of such Loan Party and continues undismissed or unstayed for sixty (60) calendar days; or (iv) an order for relief is entered in any such proceeding; or</w:t>
      </w:r>
    </w:p>
    <w:p>
      <w:pPr>
        <w:spacing w:after="0" w:line="185" w:lineRule="exact"/>
        <w:rPr>
          <w:rFonts w:ascii="Times New Roman" w:cs="Times New Roman" w:eastAsia="Times New Roman" w:hAnsi="Times New Roman"/>
          <w:sz w:val="17"/>
          <w:szCs w:val="17"/>
          <w:color w:val="auto"/>
        </w:rPr>
      </w:pPr>
    </w:p>
    <w:p>
      <w:pPr>
        <w:ind w:left="4" w:right="60" w:firstLine="436"/>
        <w:spacing w:after="0" w:line="261" w:lineRule="auto"/>
        <w:tabs>
          <w:tab w:leader="none" w:pos="699"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 Loan Party a final, enforceable, and non-appealable judgment by a court of 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(60) consecutive days; or</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The material provisions of the Loan Documents, taken as a whole, at any time after their execution and delivery and for any reason cease to be in full force and effect, except (i) as expressly permitted by the Loan Documents (including as a result of a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(ii) as a result of the satisfaction of the Obligations or (iii)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and Guarantee</w:t>
      </w:r>
      <w:r>
        <w:rPr>
          <w:rFonts w:ascii="Times New Roman" w:cs="Times New Roman" w:eastAsia="Times New Roman" w:hAnsi="Times New Roman"/>
          <w:sz w:val="18"/>
          <w:szCs w:val="18"/>
          <w:color w:val="auto"/>
        </w:rPr>
        <w:t>. Any:</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70" w:lineRule="auto"/>
        <w:tabs>
          <w:tab w:leader="none" w:pos="1082" w:val="left"/>
        </w:tabs>
        <w:numPr>
          <w:ilvl w:val="2"/>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Collateral Document (or any material provision thereof) with respect to a material portion of the Collateral with a Fair Market Value exceeding the Threshold Amount after its execution and delivery shall for any reason cease to create a valid and perfected or published, as applicable, Lien, except (A) as otherwise permitted by, or as a result of a transaction not prohibited by, the Loan Documents, (B) resulting from the failure of the Administrative Agent or the Collateral Agent or any of their agents or bailees to maintain possession or control of Collateral,</w:t>
      </w:r>
    </w:p>
    <w:p>
      <w:pPr>
        <w:spacing w:after="0" w:line="2" w:lineRule="exact"/>
        <w:rPr>
          <w:rFonts w:ascii="Times New Roman" w:cs="Times New Roman" w:eastAsia="Times New Roman" w:hAnsi="Times New Roman"/>
          <w:sz w:val="17"/>
          <w:szCs w:val="17"/>
          <w:color w:val="auto"/>
        </w:rPr>
      </w:pPr>
    </w:p>
    <w:p>
      <w:pPr>
        <w:ind w:left="444" w:right="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resulting from the making of a filing, or the failure to make a filing, under the Uniform Commercial Code or other applicable law, (D) as to Collateral consisting of real property, to the extent that (1) such losses are covered by a lender’s title insurance policy (unless the Borrower in good faith reasonably believe that payment thereunder will not be made by the applicable insurer) or (2) a deficiency arose through no fault of a Loan Party and such deficiency is corrected with reasonable diligence upon obtaining actual knowledge thereof or (E) resulting from acts or omissions of a Secured Party or the application of applicable law so long as such deficiency arose through no fault of a Loan Party and such deficiency is corrected with reasonable diligence upon obtaining actual knowledge thereof;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4"/>
          </w:cols>
          <w:pgMar w:left="436" w:top="267" w:right="459" w:bottom="1440" w:gutter="0" w:footer="0" w:header="0"/>
        </w:sectPr>
      </w:pPr>
    </w:p>
    <w:bookmarkStart w:id="478" w:name="page479"/>
    <w:bookmarkEnd w:id="478"/>
    <w:p>
      <w:pPr>
        <w:ind w:left="440" w:firstLine="419"/>
        <w:spacing w:after="0" w:line="261" w:lineRule="auto"/>
        <w:tabs>
          <w:tab w:leader="none" w:pos="112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with respect to a Guarantor (other than an Excluded Subsidiary) shall for any reason cease to be in full force and effect, except (A) as otherwise permitted by, or as a result of a transaction not prohibited by, the Loan Documents, (B) upon the satisfaction in full of the Obligations, (C) upon the release of such Guarantor as provided for under the Loan Document or in accordance with its terms or (D)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225"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(i) an ERISA Event or Foreign Plan Event shall have occurred, (ii) the PBGC shall institute proceedings (including giving notice of intent thereof) to terminate any Plan or Plans, (iii) the Borrower or any Guarantor or any ERISA Affiliate shall have been notified by the sponsor of a Multiemployer Plan that such Multiemployer Plan is being terminated, within the meaning of Title IV of ERISA, or (iv) the Borrower or any Guarantor shall engage in any non-exempt “prohibited transaction” (as defined in Section 406 of ERISA or Section 4975 of the Code) involving any Plan; and in each case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such event or condition, together with all other such events or conditions, if any, would reasonably be expected to have a Material Adverse Effect.</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no Event of Default or breach of any representation or warranty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constitute a Default or Event of Default if such Event of Default or breach of such representation or warranty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such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would not have occurred but for a fluctuation (or other adverse change) in Exchange Rates.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words “exists,” “is continuing” or similar expressions with respect thereto shall mean (x) with respect to a Default, that the Default has not yet been cured in accordance with this Section 9.01 or waived by the Lenders in accordance with Section 11.01, and (y) with respect to an Event of Default, that the Event of Default has not yet been waived by the Lenders in accordance with Section 11.01.</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82" w:lineRule="auto"/>
        <w:tabs>
          <w:tab w:leader="none" w:pos="68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below, if any Event of Default occurs and is continuing, the Administrative Agent may, and shall at the request of the Required Lenders, take any or all of the following actions: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Commitments of each Lender and the obligation of each Issuing Bank to issue Letters of Credit to be terminated, whereupon such Commitments and obligation shall be terminated;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920"/>
          </w:cols>
          <w:pgMar w:left="440" w:top="269" w:right="539" w:bottom="1440" w:gutter="0" w:footer="0" w:header="0"/>
        </w:sectPr>
      </w:pPr>
    </w:p>
    <w:bookmarkStart w:id="479" w:name="page480"/>
    <w:bookmarkEnd w:id="479"/>
    <w:p>
      <w:pPr>
        <w:ind w:left="440" w:right="420" w:firstLine="419"/>
        <w:spacing w:after="0" w:line="266" w:lineRule="auto"/>
        <w:tabs>
          <w:tab w:leader="none" w:pos="112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7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its Letters of Credit (in an amount equal to 105% of the maximum face amount of all outstanding Letters of Credit);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6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Issuing Banks and the Lenders all rights and remedies available to it, the Issuing Banks and the Lenders under the Loan Documents and/or under applicable Law;</w:t>
      </w:r>
    </w:p>
    <w:p>
      <w:pPr>
        <w:spacing w:after="0" w:line="1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the occurrence of an actual or deemed entry of an order for relief with respect to any Loan Party under any Debtor Relief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of each Lender and the obligations of each Issuing Bank to issue Letters of Credit shall automatically terminate, the unpaid principal amount of all outstanding Loans and all interest and other amounts as aforesaid shall automatically become due and payable and the obligation of the Borrower to Cash Collateralize the Letters of Credit as aforesaid shall automatically become effective, in each case without further act of the Administrative Agent or any Lender.</w:t>
      </w:r>
    </w:p>
    <w:p>
      <w:pPr>
        <w:spacing w:after="0" w:line="185" w:lineRule="exact"/>
        <w:rPr>
          <w:sz w:val="20"/>
          <w:szCs w:val="20"/>
          <w:color w:val="auto"/>
        </w:rPr>
      </w:pPr>
    </w:p>
    <w:p>
      <w:pPr>
        <w:ind w:left="700" w:hanging="264"/>
        <w:spacing w:after="0"/>
        <w:tabs>
          <w:tab w:leader="none" w:pos="7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Remedies</w:t>
      </w:r>
      <w:r>
        <w:rPr>
          <w:rFonts w:ascii="Times New Roman" w:cs="Times New Roman" w:eastAsia="Times New Roman" w:hAnsi="Times New Roman"/>
          <w:sz w:val="18"/>
          <w:szCs w:val="18"/>
          <w:color w:val="auto"/>
        </w:rPr>
        <w:t>. Notwithstanding anything to the contrary in any Loan Document,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12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Short Representations</w:t>
      </w:r>
      <w:r>
        <w:rPr>
          <w:rFonts w:ascii="Times New Roman" w:cs="Times New Roman" w:eastAsia="Times New Roman" w:hAnsi="Times New Roman"/>
          <w:sz w:val="18"/>
          <w:szCs w:val="18"/>
          <w:color w:val="auto"/>
        </w:rPr>
        <w:t xml:space="preserve">. Any notice of Default, Event of Default or acceleration provided to the Borrower by the Administrative Agent on behalf of one or more Lenders that have expressly requested that such notice be given to the Borrower must be accompanied by a written Net Short Representation from any such Lender (other than an Unrestricted Lender) delivered to the Borrower (with a copy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the absence of any such written Net Short Representation, each such Lender shall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(including, with respect to the Administrative Agent, as provided in </w:t>
      </w:r>
      <w:r>
        <w:rPr>
          <w:rFonts w:ascii="Times New Roman" w:cs="Times New Roman" w:eastAsia="Times New Roman" w:hAnsi="Times New Roman"/>
          <w:sz w:val="18"/>
          <w:szCs w:val="18"/>
          <w:u w:val="single" w:color="auto"/>
          <w:color w:val="auto"/>
        </w:rPr>
        <w:t>Section 11.28(f)(i)</w:t>
      </w:r>
      <w:r>
        <w:rPr>
          <w:rFonts w:ascii="Times New Roman" w:cs="Times New Roman" w:eastAsia="Times New Roman" w:hAnsi="Times New Roman"/>
          <w:sz w:val="18"/>
          <w:szCs w:val="18"/>
          <w:color w:val="auto"/>
        </w:rPr>
        <w:t>)) and (B) no Net Short Representation shall be required to be delivered during the pendency of a Default or Event of Default caused by a bankruptcy or similar insolvency proceeding.</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after the Loans have automatically become immediately due and payable as set forth in the proviso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all amounts received on account of the Obligations (and proceeds of Collateral), all payments or distributions of any kind or nature and all adequate protection payments or plan distributions in any insolvency or similar proceeding (in each case, whether received from any Loan Party, in connection with an exercise of remedies, a credit bid or otherwise) shall, subject to the Existing Junior Lien Intercreditor Agreement and any other applicable Intercreditor Agreement, be applied by the Administrative Agent in the following order (the “</w:t>
      </w:r>
      <w:r>
        <w:rPr>
          <w:rFonts w:ascii="Times New Roman" w:cs="Times New Roman" w:eastAsia="Times New Roman" w:hAnsi="Times New Roman"/>
          <w:sz w:val="18"/>
          <w:szCs w:val="18"/>
          <w:b w:val="1"/>
          <w:bCs w:val="1"/>
          <w:color w:val="auto"/>
        </w:rPr>
        <w:t>Priority Waterfall</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980" w:right="120"/>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(other than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but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and the Collateral Agent in their capacities as such;</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0920"/>
          </w:cols>
          <w:pgMar w:left="440" w:top="269" w:right="539" w:bottom="1440" w:gutter="0" w:footer="0" w:header="0"/>
        </w:sectPr>
      </w:pPr>
    </w:p>
    <w:bookmarkStart w:id="480" w:name="page481"/>
    <w:bookmarkEnd w:id="480"/>
    <w:p>
      <w:pPr>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the Administrative Agent and the Issuing Banks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Unfunded Advances/Participations owed to them on the date of any such distribution);</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Obligations constituting fees, indemnities and other amounts (other than principal, interest,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Credit fees, Obligations under Secured Hedge Agreements and Cash Management Obligations) payable to the Revolving Lenders and the Issuing Banks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ratably among them in proportion to the amounts described in this clause Third payable to them;</w:t>
      </w:r>
    </w:p>
    <w:p>
      <w:pPr>
        <w:spacing w:after="0" w:line="7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Obligations constituting accrued and unpaid Letter of Credit fees and interest on the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and Letter of Credit Usage, ratably among the Revolving Lenders and the Issuing Banks in proportion to the respective amounts described in this clause Fourth held by them;</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(a) to payment of that portion of the Obligations constituting unpaid principal of the Revolving Loans, the Letter of Credit Usage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Obligations under Secured Hedge Agreements with respect to which (x) the Hedge Bank is a Revolving Lender or an Affiliate thereof and (y) such Secured Hedge Agreement is intended to hedge exposure under the Facility, and Cash Management Obligations with respect to which the Cash Management Bank is a Revolving Lender or an Affiliate thereof and (b) to Cash Collateralize Letters of Credit (to the extent not otherwise Cash Collateralized pursuant to the terms of this Agreement) (in an amount equal to 105% of the maximum face amount of all outstanding Letters of Credit) and to further permanently reduce the Commitments by the amount of such Cash Collateralization, ratably among the Secured Parties in proportion to the respective amounts described in this clause Fifth held by them;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any such amounts applied pursuant to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paid to the Administrative Agent for the ratable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of the Issuing Banks to Cash Collateralize such Letters of Credit, (ii) subject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amounts used to Cash Collateralize the aggregate undrawn amount of Letters of Credit pursuant to this clause Fifth shall be applied to satisfy drawings under such Letters of Credit as they occur and (iii) upon the expiration of any Letter of Credit,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w:t>
      </w:r>
    </w:p>
    <w:p>
      <w:pPr>
        <w:spacing w:after="0" w:line="1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000"/>
          </w:cols>
          <w:pgMar w:left="1420" w:top="267" w:right="479" w:bottom="1440" w:gutter="0" w:footer="0" w:header="0"/>
        </w:sectPr>
      </w:pPr>
    </w:p>
    <w:bookmarkStart w:id="481" w:name="page482"/>
    <w:bookmarkEnd w:id="481"/>
    <w:p>
      <w:pPr>
        <w:ind w:left="980" w:right="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w:t>
      </w:r>
      <w:r>
        <w:rPr>
          <w:rFonts w:ascii="Times New Roman" w:cs="Times New Roman" w:eastAsia="Times New Roman" w:hAnsi="Times New Roman"/>
          <w:sz w:val="18"/>
          <w:szCs w:val="18"/>
          <w:color w:val="auto"/>
        </w:rPr>
        <w:t>, to the payment of all other Obligations that are due and payable to the Revolving Lenders on such date, ratably based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aggregate amounts of all such Obligations owing to the Revolving Lenders on such date;</w:t>
      </w:r>
    </w:p>
    <w:p>
      <w:pPr>
        <w:spacing w:after="0" w:line="50"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Seventh, </w:t>
      </w:r>
      <w:r>
        <w:rPr>
          <w:rFonts w:ascii="Times New Roman" w:cs="Times New Roman" w:eastAsia="Times New Roman" w:hAnsi="Times New Roman"/>
          <w:sz w:val="18"/>
          <w:szCs w:val="18"/>
          <w:color w:val="auto"/>
        </w:rPr>
        <w:t>to payment of that portion of the Obligations under Secured Hedge Agreements with respect to which the Hedge Bank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Lender or an Affiliate thereof but such Secured Hedge Agreement does not hedge exposure under the Facility, in proportion to the respective amounts described in this clause Seventh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w:t>
      </w:r>
    </w:p>
    <w:p>
      <w:pPr>
        <w:spacing w:after="0" w:line="75" w:lineRule="exact"/>
        <w:rPr>
          <w:sz w:val="20"/>
          <w:szCs w:val="20"/>
          <w:color w:val="auto"/>
        </w:rPr>
      </w:pPr>
    </w:p>
    <w:p>
      <w:pPr>
        <w:ind w:left="980" w:right="60"/>
        <w:spacing w:after="0" w:line="257" w:lineRule="auto"/>
        <w:rPr>
          <w:sz w:val="20"/>
          <w:szCs w:val="20"/>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payment of that portion of the Obligations under Secured Hedge Agreements with respect to which the Hedge Bank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Lender or an Affiliate thereof and Cash Management Obligations with respect to which the Cash Management Bank is not a Revolving Lender or an Affiliate thereof, ratably among the Secured Parties in proportion to the respective amounts described in this clause Eighth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w:t>
      </w:r>
    </w:p>
    <w:p>
      <w:pPr>
        <w:spacing w:after="0" w:line="74" w:lineRule="exact"/>
        <w:rPr>
          <w:sz w:val="20"/>
          <w:szCs w:val="20"/>
          <w:color w:val="auto"/>
        </w:rPr>
      </w:pPr>
    </w:p>
    <w:p>
      <w:pPr>
        <w:ind w:left="980" w:right="120"/>
        <w:spacing w:after="0" w:line="267" w:lineRule="auto"/>
        <w:rPr>
          <w:sz w:val="20"/>
          <w:szCs w:val="20"/>
          <w:color w:val="auto"/>
        </w:rPr>
      </w:pPr>
      <w:r>
        <w:rPr>
          <w:rFonts w:ascii="Times New Roman" w:cs="Times New Roman" w:eastAsia="Times New Roman" w:hAnsi="Times New Roman"/>
          <w:sz w:val="18"/>
          <w:szCs w:val="18"/>
          <w:i w:val="1"/>
          <w:iCs w:val="1"/>
          <w:color w:val="auto"/>
        </w:rPr>
        <w:t>Ninth</w:t>
      </w:r>
      <w:r>
        <w:rPr>
          <w:rFonts w:ascii="Times New Roman" w:cs="Times New Roman" w:eastAsia="Times New Roman" w:hAnsi="Times New Roman"/>
          <w:sz w:val="18"/>
          <w:szCs w:val="18"/>
          <w:color w:val="auto"/>
        </w:rPr>
        <w:t>, to the payment of all other Obligations that are due and payable to the Administrative Agent and the other Secured Parties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ratably based upon the respective aggregate amounts of all such Obligations owing to the Administrative Agent and other Secured Parties on such date;</w:t>
      </w:r>
    </w:p>
    <w:p>
      <w:pPr>
        <w:spacing w:after="0" w:line="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Obligations have been paid in full, to the Borrower or as otherwise required by Law.</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 and Other Agents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Appointment and Authority of the Administrative Agent and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hereby irrevocably appoints DNB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80"/>
          </w:cols>
          <w:pgMar w:left="440" w:top="267" w:right="479" w:bottom="1440" w:gutter="0" w:footer="0" w:header="0"/>
        </w:sectPr>
      </w:pPr>
    </w:p>
    <w:bookmarkStart w:id="482" w:name="page483"/>
    <w:bookmarkEnd w:id="482"/>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powers as are reasonably incidental thereto.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(other than Sections 10.09 and 10.11) are solely for the benefit of the Administrative Agent and the Lenders, and neither the Borrower nor any Loan Party shall have any rights as a third party beneficiary of any such provision.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the Letter of Credit Documents pertaining to such Letters of Credit as fully as if the term “Agent” as used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definition of “Agent Related Person” included such Issuing Bank with respect to such acts or omissions, and (ii) as additionally provided herein with respect to each Issuing Bank.</w:t>
      </w:r>
    </w:p>
    <w:p>
      <w:pPr>
        <w:spacing w:after="0" w:line="189" w:lineRule="exact"/>
        <w:rPr>
          <w:sz w:val="20"/>
          <w:szCs w:val="20"/>
          <w:color w:val="auto"/>
        </w:rPr>
      </w:pPr>
    </w:p>
    <w:p>
      <w:pPr>
        <w:ind w:firstLine="436"/>
        <w:spacing w:after="0" w:line="252" w:lineRule="auto"/>
        <w:tabs>
          <w:tab w:leader="none" w:pos="69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Issuing Bank hereby irrevocably appoints Wilmington Trust, National Association to act on its behalf as the Collateral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Wilmington Trust, National Association shall also irrevocably act as the “collateral agent” or “collateral trustee” under the Loan Documents, and each of the Lenders (including in its capacities as a potential Hedge Bank and/or Cash Management Bank) and each of the Issuing Banks hereby irrevocably appoints and authorizes the Collateral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or “collateral trustee”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Sections 10.05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10.12</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as though such co-agents, sub-agents and attorneys-in-fact were the “collateral agent” or “collateral trustee” under the Loan Documents) as if set forth in full herein with respect thereto. Without limiting the generality of the foregoing, the Lenders hereby expressly authorize the Collateral Agent to execute any and all documents (including releases) with respect to the Collateral and the rights of the Secured Parties with respect thereto (including the Existing Junior Lien Intercreditor Agreement), as contemplated by and in accordance with the provisions of this Agreement and the Collateral Documents and acknowledge and agree that any such action by any Agent shall bind the Lenders.</w:t>
      </w:r>
    </w:p>
    <w:p>
      <w:pPr>
        <w:spacing w:after="0" w:line="19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0"/>
          </w:cols>
          <w:pgMar w:left="440" w:top="269" w:right="459" w:bottom="1440" w:gutter="0" w:footer="0" w:header="0"/>
        </w:sectPr>
      </w:pPr>
    </w:p>
    <w:bookmarkStart w:id="483" w:name="page484"/>
    <w:bookmarkEnd w:id="48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from the Borrower for services in connection herewith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None of the Administrative Agent, the Collateral Agent, any of the other Agents, any of their respective Affiliates, nor any of the officers, partners, directors, employees or agents of the foregoing shall have any duties or obligations except those expressly set forth in the Loan Documents. Without limiting the generality of the foregoing or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an Agent or any of their respective officers, partners, directors, employees or agents:</w:t>
      </w:r>
    </w:p>
    <w:p>
      <w:pPr>
        <w:spacing w:after="0" w:line="72" w:lineRule="exact"/>
        <w:rPr>
          <w:sz w:val="20"/>
          <w:szCs w:val="20"/>
          <w:color w:val="auto"/>
        </w:rPr>
      </w:pPr>
    </w:p>
    <w:p>
      <w:pPr>
        <w:ind w:right="80" w:firstLine="436"/>
        <w:spacing w:after="0" w:line="258" w:lineRule="auto"/>
        <w:tabs>
          <w:tab w:leader="none" w:pos="68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direction by the Required Lenders to the contrary, no Agent shall be required to take any action that, in its opinion or the opinion of its counsel, may expose such Agent to liability, risk its own funds or incur any financial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w:t>
      </w:r>
    </w:p>
    <w:p>
      <w:pPr>
        <w:spacing w:after="0" w:line="191"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8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their Affiliates that is communicated to or obtained by any Person serving as an Agent or any of its Affiliates in any capacity;</w:t>
      </w:r>
    </w:p>
    <w:p>
      <w:pPr>
        <w:spacing w:after="0" w:line="175" w:lineRule="exact"/>
        <w:rPr>
          <w:rFonts w:ascii="Times New Roman" w:cs="Times New Roman" w:eastAsia="Times New Roman" w:hAnsi="Times New Roman"/>
          <w:sz w:val="18"/>
          <w:szCs w:val="18"/>
          <w:color w:val="auto"/>
        </w:rPr>
      </w:pPr>
    </w:p>
    <w:p>
      <w:pPr>
        <w:ind w:right="700" w:firstLine="436"/>
        <w:spacing w:after="0" w:line="282" w:lineRule="auto"/>
        <w:tabs>
          <w:tab w:leader="none" w:pos="69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responsibility or liability for any loss which may result from any investment or sale of investment made pursuant to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00"/>
          </w:cols>
          <w:pgMar w:left="440" w:top="269" w:right="459" w:bottom="1440" w:gutter="0" w:footer="0" w:header="0"/>
        </w:sectPr>
      </w:pPr>
    </w:p>
    <w:bookmarkStart w:id="484" w:name="page485"/>
    <w:bookmarkEnd w:id="484"/>
    <w:p>
      <w:pPr>
        <w:ind w:left="680" w:hanging="244"/>
        <w:spacing w:after="0"/>
        <w:tabs>
          <w:tab w:leader="none" w:pos="6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have no obligation to file UCC financing statements or monitor security interests and the perfection thereof; and</w:t>
      </w:r>
    </w:p>
    <w:p>
      <w:pPr>
        <w:spacing w:after="0" w:line="225" w:lineRule="exact"/>
        <w:rPr>
          <w:rFonts w:ascii="Times New Roman" w:cs="Times New Roman" w:eastAsia="Times New Roman" w:hAnsi="Times New Roman"/>
          <w:sz w:val="18"/>
          <w:szCs w:val="18"/>
          <w:color w:val="auto"/>
        </w:rPr>
      </w:pPr>
    </w:p>
    <w:p>
      <w:pPr>
        <w:ind w:right="120" w:firstLine="436"/>
        <w:spacing w:after="0" w:line="266" w:lineRule="auto"/>
        <w:tabs>
          <w:tab w:leader="none" w:pos="66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Agents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or (ii) in the absence of its own gross negligence or willful misconduct as determined by a final, non-appealable judgment of a court of competent jurisdiction, in connection with its duties expressly set forth herein. The Agents shall be deemed not to have knowledge of any Default or Event of Default unless and until notice describing such Default or Event of Default is given to the Agents by the Borrower or the Required Lenders in writing. The permissive rights of the Agents set forth in this Agreement shall not be construed as a duty or obligation of the Agents.</w:t>
      </w:r>
    </w:p>
    <w:p>
      <w:pPr>
        <w:spacing w:after="0" w:line="189"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No Agent-Related Person shall be responsible for or have any duty to ascertain or inquire into (i) any recital, statement, warranty or representation made in or in connection with any Loan Document, (ii) the contents of any certificate, report, statement or agreement or other document delivered hereunder or thereunder or in connection herewith or therewith or referred to or provided for in, or received by the Administrative Agent under or in connection with any Loan Document,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elsewhere herein, other than to confirm receipt of items expressly required to be delivered to the Agents, or to inspect the properties, books or records of any Loan Party or any Affiliate thereof.</w:t>
      </w:r>
    </w:p>
    <w:p>
      <w:pPr>
        <w:spacing w:after="0" w:line="17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Reliance by the Agents</w:t>
      </w:r>
      <w:r>
        <w:rPr>
          <w:rFonts w:ascii="Times New Roman" w:cs="Times New Roman" w:eastAsia="Times New Roman" w:hAnsi="Times New Roman"/>
          <w:sz w:val="18"/>
          <w:szCs w:val="18"/>
          <w:color w:val="auto"/>
        </w:rPr>
        <w:t>. The Agents shall be entitled to rely upon, and shall not incur any liability for relying upon, any notice, request, certificate, consent, statement, instrument, legal order,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Agents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00"/>
          </w:cols>
          <w:pgMar w:left="440" w:top="269" w:right="459" w:bottom="1440" w:gutter="0" w:footer="0" w:header="0"/>
        </w:sectPr>
      </w:pPr>
    </w:p>
    <w:bookmarkStart w:id="485" w:name="page486"/>
    <w:bookmarkEnd w:id="485"/>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Agent shall be fully justified in failing or refusing to take any action that is not required or explicitly approved by the Lenders under any Loan Document unless it shall first receive such advice or concurrence of the Required Lenders (or other requisite percentage of Lenders) as it deems appropriate and, if it so requests, it shall first be indemnified to its satisfaction by the Lenders against any and all liability and expense which may be incurred by it by reason of taking or continuing to take any such action.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Agents shall not be required to take any action that, in their opinion or in the opinion of their counsel, may expose such Agent to liability or that is contrary to any Loan Document or applicable Law. Notwithstanding the foregoing, the Administrative Agent and the Collateral Agent shall not act (or refrain from acting, as applicable) upon any direction from the Required Lenders (or other requisite percentage of Lenders) that would cause the Administrative Agent or the Collateral Agent to be in breach of any express term or provision of this Agreement. The Required Lenders agree not to instruct the Administrative Agent or Collateral Agent to take any action, or refrain from taking any action, that would, in each case, cause it to violate an express duty or obligation under this Agreement.</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0"/>
          </w:cols>
          <w:pgMar w:left="440" w:top="269" w:right="479" w:bottom="1440" w:gutter="0" w:footer="0" w:header="0"/>
        </w:sectPr>
      </w:pPr>
    </w:p>
    <w:bookmarkStart w:id="486" w:name="page487"/>
    <w:bookmarkEnd w:id="4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Non-Reliance on Agents and Other Lenders; Disclosure of Information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2"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94"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or an Assignment and Assumption and funding its Revolving Loans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in this Agreement.</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Indemnification of Agents</w:t>
      </w:r>
      <w:r>
        <w:rPr>
          <w:rFonts w:ascii="Times New Roman" w:cs="Times New Roman" w:eastAsia="Times New Roman" w:hAnsi="Times New Roman"/>
          <w:sz w:val="18"/>
          <w:szCs w:val="18"/>
          <w:color w:val="auto"/>
        </w:rPr>
        <w:t>. Whether or not the transactions contemplated hereby are consummated, the Lenders shall indemnify upon demand each Agent, each Issuing Bank and each other Agent-Related Person (solely to the extent any such Agent-Related Person was performing services on behalf of any Agent or any Issuing Bank, as applicable) (to the extent not reimbursed by or on behalf of any Loan Party and without limiting the obligation of any Loan Party to do so), pro rata, and hold harmless the Administrative Agent, each Agent, each Issuing Bank and each other Agent-Related Person (solely to the extent any such Agent-Related Person was performing services on behalf of any Agent or each Issuing Bank, 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00"/>
          </w:cols>
          <w:pgMar w:left="440" w:top="269" w:right="459" w:bottom="1440" w:gutter="0" w:footer="0" w:header="0"/>
        </w:sectPr>
      </w:pPr>
    </w:p>
    <w:bookmarkStart w:id="487" w:name="page488"/>
    <w:bookmarkEnd w:id="48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from and against any and all Indemnified Liabilities incurred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each Issuing Bank is entitled to indemnification under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solely in its capacity and role as an Issuing Bank, only the Revolving Lenders shall be required to indemnify the applicable Issuing Bank in accordance with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(determined as of the time that the applicable payment is sought based on each Revolving Lender’s Pro Rata Share thereof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If any indemnity furnished to any Agent or any Issuing Bank for any purpose shall, in the opinion of such Agent or such Issuing Bank be insufficient or become impaired, such Agent or such Issuing Bank, as applicable, may call for additional indemnity and cease, or not commence, to do the acts indemnified against until such additional indemnity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no event shall this sentence require any Lender to indemnify any Agent or any Issuing Bank against any Indemnified Liabilities in excess of such Lender’s pro rata share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this sentence shall not be deemed to require any Lender to indemnify any Agent or any Issuing Bank against any Indemnified Liabilities described in the first proviso in the immediately preceding sentence.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applies whether any such investigation, litigation or proceeding is brought by any Lender or any other Person. Without limitation of the foregoing, each Lender shall reimburse each Agent or each Issuing Bank, as applicable, upon demand for its ratable share of any costs or out-of-pocket expenses (including Attorney Costs) incurred by such Agent or such Issuing Bank,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or such Issuing Bank, as applicable, is not reimbursed for such expenses by or on behalf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of any Lender to indemnify or reimburse such Agent or such Issuing Bank, as applicable, shall not relieve any other Lender of its obligation in respect thereof. The undertaking in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of the Administrative Agent, Collateral Agent, other Agents or any Issuing Bank.</w:t>
      </w:r>
    </w:p>
    <w:p>
      <w:pPr>
        <w:spacing w:after="0" w:line="207"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No Other Duties; Other Agents, Lead Arrangers, Etc</w:t>
      </w:r>
      <w:r>
        <w:rPr>
          <w:rFonts w:ascii="Times New Roman" w:cs="Times New Roman" w:eastAsia="Times New Roman" w:hAnsi="Times New Roman"/>
          <w:sz w:val="18"/>
          <w:szCs w:val="18"/>
          <w:color w:val="auto"/>
        </w:rPr>
        <w:t>. The Lead Arrangers are each hereby appointed as Lead Arranger hereunder, and each Lender hereby authorizes such Lead Arrangers to act as Lead Arranger in accordance with the terms hereof and the other Loan Documents.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Agent hereby agrees to act in its capacity as such upon the express conditions contained herein and the other Loan Documents, as applicable. Anything herein to the contrary notwithstanding, none of the Lead Arranger or the other Agents listed on the cover page hereof (or any of their respective Affiliates) shall have any powers, duties or responsibilities under this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00"/>
          </w:cols>
          <w:pgMar w:left="440" w:top="267" w:right="459" w:bottom="1440" w:gutter="0" w:footer="0" w:header="0"/>
        </w:sectPr>
      </w:pPr>
    </w:p>
    <w:bookmarkStart w:id="488" w:name="page489"/>
    <w:bookmarkEnd w:id="48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or any of the other Loan Documents, except (x) in its capacity, as applicable, as the Administrative Agent, the Collateral Agent or a Lender hereunder and (y) as provided in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such Persons shall have the benefit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8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xml:space="preserve">. The Agents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(30) days after the retiring Agent gives notice of its resignation, then the retiring Agent may on behalf of the Lenders, appoint a successor Agent meeting the qualifications set forth above;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retiring Agent shall notify the Borrower and the Lenders that no qualifying Person has accepted such appointment, then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resignation shall nonetheless become effective in accordance with such notice and (a) the retiring Agent shall be discharged from its duties and obligations hereunder and under the other Loan Documents (except that in the case of any collateral security held by the Collateral Agent on behalf of the Lenders under any of the Loan Documents, the retiring Agent shall continue to hold such collateral security until such time as a successor of such Agent is appointed) and (b) except for any indemnity payments or other amounts owed to the retiring or retired Agents, all payments, communications and determinations provided to be made by, to or through the retiring Agent shall instead be made by or to each Lender directly, until such time as the Required Lenders appoint a successor Agent as provided for above in this Section. If neither the Required Lenders nor the retired Agent have appointed a successor Agent, the Required Lenders shall be deemed to have succeeded to and become vested with all the rights, powers, privileges and duties of the retiring Agent (subject to the proviso in the sentence above). Upon the acceptance of a successor’s appointment as replacement Agent hereunder and upon the execution and filing or recording of such financing statements, or amendments thereto, and such amendments or supplements to the Vessel Mortgages, and such other instruments or notices, as may be necessary or desirable,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Agent (other than any rights to indemnity payments or other amounts owed to the retiring or retired Agent), and the retiring Agent shall be discharged from all of its duties and obligations hereunder or under the other Loan Documents (if not already discharged therefrom as provided above in this Section). The fees payable by the Borrower to a successor Agent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shall continue in effect for the benefit of such retiring Agent, its sub-agents and their respective Agent-Related Persons in respect of any actions taken or omitted to be taken by any of them while the retiring Agent was acting as Agent.</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960"/>
          </w:cols>
          <w:pgMar w:left="440" w:top="269" w:right="499" w:bottom="1440" w:gutter="0" w:footer="0" w:header="0"/>
        </w:sectPr>
      </w:pPr>
    </w:p>
    <w:bookmarkStart w:id="489" w:name="page490"/>
    <w:bookmarkEnd w:id="48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5" w:lineRule="exact"/>
        <w:rPr>
          <w:sz w:val="20"/>
          <w:szCs w:val="20"/>
          <w:color w:val="auto"/>
        </w:rPr>
      </w:pPr>
    </w:p>
    <w:p>
      <w:pPr>
        <w:ind w:right="300" w:firstLine="436"/>
        <w:spacing w:after="0" w:line="282" w:lineRule="auto"/>
        <w:tabs>
          <w:tab w:leader="none" w:pos="68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To the extent that the payment of any such compensation, expenses, disbursements and advances of the Administrative Agent, its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0980"/>
          </w:cols>
          <w:pgMar w:left="440" w:top="269" w:right="479" w:bottom="1440" w:gutter="0" w:footer="0" w:header="0"/>
        </w:sectPr>
      </w:pPr>
    </w:p>
    <w:bookmarkStart w:id="490" w:name="page491"/>
    <w:bookmarkEnd w:id="490"/>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applicable Collateral Agreement) pursuant to a deed in lieu of foreclosure or otherwise) and in such manner purchase (either directly or through one or more acquisition vehicles) all or any portion of the Collateral (i) at any sale thereof conducted under the provisions of the U.S. Bankruptcy Code, including under Sections 363, 1123 or 1129 of the U.S. Bankruptcy Code,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this Agreement), (C)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each Lender (including in its capacities as a potential Cash Management Bank and a potential Hedge Bank), each Issuing Bank, and each other Secured Party irrevocably authorizes the Administrative Agent and Collateral Agent to be the agent for and representative of the Lenders with respect to the Guaranty, the Collateral and the Collateral Documents and agrees that, notwithstanding anything to the contrary in any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80"/>
          </w:cols>
          <w:pgMar w:left="440" w:top="269" w:right="479" w:bottom="1440" w:gutter="0" w:footer="0" w:header="0"/>
        </w:sectPr>
      </w:pPr>
    </w:p>
    <w:bookmarkStart w:id="491" w:name="page492"/>
    <w:bookmarkEnd w:id="491"/>
    <w:p>
      <w:pPr>
        <w:ind w:right="120" w:firstLine="419"/>
        <w:spacing w:after="0" w:line="261" w:lineRule="auto"/>
        <w:tabs>
          <w:tab w:leader="none" w:pos="638"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any property granted to or held by an Agent or in favor of any Secured Party under any Loan Document will be automatically and immediately released, and each Secured Party irrevocably authorizes and directs the Agents to enter into, and each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right="380" w:firstLine="408"/>
        <w:spacing w:after="0" w:line="266" w:lineRule="auto"/>
        <w:tabs>
          <w:tab w:leader="none" w:pos="123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the Obligations (other than (1) Cash Management Obligations, Swap Obligations and Contingent Obligations in respect of which no claim has been made and (2) obligations in respect of Letters of Credit that have been backstopped or cash collateralized on terms satisfactory to the applicable Issuing Bank);</w:t>
      </w:r>
    </w:p>
    <w:p>
      <w:pPr>
        <w:spacing w:after="0" w:line="67"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property subject to such Lien as part of, or in connection with, a transaction that is permitted by the terms of the Loan Documents to any Person that is not a Loan Party;</w:t>
      </w:r>
    </w:p>
    <w:p>
      <w:pPr>
        <w:spacing w:after="0" w:line="53" w:lineRule="exact"/>
        <w:rPr>
          <w:rFonts w:ascii="Times New Roman" w:cs="Times New Roman" w:eastAsia="Times New Roman" w:hAnsi="Times New Roman"/>
          <w:sz w:val="18"/>
          <w:szCs w:val="18"/>
          <w:color w:val="auto"/>
        </w:rPr>
      </w:pPr>
    </w:p>
    <w:p>
      <w:pPr>
        <w:ind w:left="540" w:right="660" w:firstLine="408"/>
        <w:spacing w:after="0" w:line="282" w:lineRule="auto"/>
        <w:tabs>
          <w:tab w:leader="none" w:pos="122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property owned by any Guarantor or with respect to which any Guarantor has rights, the release of such Guarantor from its obligations under its Guaranty or hereunder, as applicable, pursuant to clause (iii) below;</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3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approval, authorization or ratification of the release of such Lien by the Required Lenders, or such percentage as may be required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1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property becoming an Excluded Asset, Excluded Vessel (including, for the avoidance of doubt, pursuant to any Permitted Reflagging Transaction), Excluded Equity Interest or an asset owned by an Excluded Subsidiary or with respect to which an Excluded Subsidiary has rights;</w:t>
      </w:r>
    </w:p>
    <w:p>
      <w:pPr>
        <w:spacing w:after="0" w:line="67"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20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assets owned by such Excluded Subsidiary (or with respect to which an Excluded Subsidiary has rights), upon any Person becoming an Excluded Subsidiary;</w:t>
      </w:r>
    </w:p>
    <w:p>
      <w:pPr>
        <w:spacing w:after="0" w:line="53"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23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property becoming subject to a Securitization Financing to the extent required by the terms of such Securitization Financing; and/or</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Vessel Collateral, such Vessel Collateral becoming subject to a reflagging permitted hereunder;</w:t>
      </w:r>
    </w:p>
    <w:p>
      <w:pPr>
        <w:spacing w:after="0" w:line="113" w:lineRule="exact"/>
        <w:rPr>
          <w:rFonts w:ascii="Times New Roman" w:cs="Times New Roman" w:eastAsia="Times New Roman" w:hAnsi="Times New Roman"/>
          <w:sz w:val="18"/>
          <w:szCs w:val="18"/>
          <w:color w:val="auto"/>
        </w:rPr>
      </w:pPr>
    </w:p>
    <w:p>
      <w:pPr>
        <w:ind w:right="280" w:firstLine="419"/>
        <w:spacing w:after="0" w:line="268" w:lineRule="auto"/>
        <w:tabs>
          <w:tab w:leader="none" w:pos="688"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request, the “</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Sections 7.01(d)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460"/>
          </w:cols>
          <w:pgMar w:left="880" w:top="269" w:right="559" w:bottom="1440" w:gutter="0" w:footer="0" w:header="0"/>
        </w:sectPr>
      </w:pPr>
    </w:p>
    <w:bookmarkStart w:id="492" w:name="page493"/>
    <w:bookmarkEnd w:id="492"/>
    <w:p>
      <w:pPr>
        <w:ind w:left="440" w:right="500" w:firstLine="419"/>
        <w:spacing w:after="0" w:line="268" w:lineRule="auto"/>
        <w:tabs>
          <w:tab w:leader="none" w:pos="117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request of the Borrower (such request, the “</w:t>
      </w:r>
      <w:r>
        <w:rPr>
          <w:rFonts w:ascii="Times New Roman" w:cs="Times New Roman" w:eastAsia="Times New Roman" w:hAnsi="Times New Roman"/>
          <w:sz w:val="18"/>
          <w:szCs w:val="18"/>
          <w:b w:val="1"/>
          <w:bCs w:val="1"/>
          <w:color w:val="auto"/>
        </w:rPr>
        <w:t>Permitted Consent Event</w:t>
      </w:r>
      <w:r>
        <w:rPr>
          <w:rFonts w:ascii="Times New Roman" w:cs="Times New Roman" w:eastAsia="Times New Roman" w:hAnsi="Times New Roman"/>
          <w:sz w:val="18"/>
          <w:szCs w:val="18"/>
          <w:color w:val="auto"/>
        </w:rPr>
        <w:t>”), each Secured Party irrevocably authorizes and directs the Agents to enter into, and each Secured Party and the Agents agrees that the Agents will enter into, the necessary or advisable documents requested by the Borrower in connection with a transaction that is permitted by the terms of the Loan Documents;</w:t>
      </w:r>
    </w:p>
    <w:p>
      <w:pPr>
        <w:spacing w:after="0" w:line="66" w:lineRule="exact"/>
        <w:rPr>
          <w:rFonts w:ascii="Times New Roman" w:cs="Times New Roman" w:eastAsia="Times New Roman" w:hAnsi="Times New Roman"/>
          <w:sz w:val="18"/>
          <w:szCs w:val="18"/>
          <w:color w:val="auto"/>
        </w:rPr>
      </w:pPr>
    </w:p>
    <w:p>
      <w:pPr>
        <w:ind w:left="440" w:firstLine="419"/>
        <w:spacing w:after="0" w:line="253" w:lineRule="auto"/>
        <w:tabs>
          <w:tab w:leader="none" w:pos="116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Guarantor will be automatically and immediately released from its obligations under the Guaranty upon (A) such Guarantor ceasing to be a Subsidiary of the Borrower, (B) such Guarantor becoming an Immaterial Subsidiary, or (C) such Guarantor becoming an Excluded Subsidiary as a result of a transaction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Guarantor becomes an Excluded Subsidiary solely as a result of such Guarantor becoming an Excluded Subsidiary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such release shall only be permitted if, at the time such Guarantor becomes such an Excluded Subsidiary, (i) no Default or Event of Default has occurred and is continuing or would result therefrom and (ii) such Guarantor so becomes such an Excluded Subsidiary as a result of a joint venture or other strategic transaction permitted hereunder that was not entered into for the primary purpose of releasing the Guaranty of such Guarantor (as determined by the Borrower in good faith) (</w:t>
      </w:r>
      <w:r>
        <w:rPr>
          <w:rFonts w:ascii="Times New Roman" w:cs="Times New Roman" w:eastAsia="Times New Roman" w:hAnsi="Times New Roman"/>
          <w:sz w:val="18"/>
          <w:szCs w:val="18"/>
          <w:u w:val="single" w:color="auto"/>
          <w:color w:val="auto"/>
        </w:rPr>
        <w:t>clauses (A)-(C)</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and each Secured Party irrevocably authorizes and directs the Agents to enter into, and each Agent agrees it will enter into, the necessary and advisable documents requested by the Borrower to (1) release (or acknowledge the release of) such Guarantor from its obligations under the Guaranty and (2) release (or acknowledge the release of) any Liens granted by such Subsidiary or Liens on the Equity Interests of such Subsidiary;</w:t>
      </w:r>
    </w:p>
    <w:p>
      <w:pPr>
        <w:spacing w:after="0" w:line="8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Collateral Agent will exclusively exercise the rights and remedies under the Loan Documents, and neither the Lenders nor any other Secured Party will exercise such rights and remedies (other than the Required Lenders through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preclude any Lender from exercising any right of set-off in accordance with the provisions of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or enforcing compliance with the provisions set forth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from exercising rights and remedies (other than the enforcement of Collateral) with respect to any payment default after the occurrence of the Maturity Date with respect to any Loans made by it or filing proofs of claim or appearing and filing pleadings on its own behalf during the pendency of a proceeding relative to any Loan Party under the U.S. Bankruptcy Code or any other Debtor Relief Law; and</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6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Collateral Agent shall, and the Lenders and other Secured Parties irrevocably authorize and instruct the Administrative Agent and Collateral Agent to, from time to time on and after the Closing Date, without any further consent of any Lender, Issuing Bank, counterparty to any Cash Management Obligation or Swap Obligation or other Secured Party, enter into any Intercreditor Agreement or other intercreditor agreement with the collateral agent, collateral trustee or other representative of the holders of Indebtedness that is secured by a Lien on Collateral that is expressly permitted under this Agreement.</w:t>
      </w:r>
    </w:p>
    <w:p>
      <w:pPr>
        <w:spacing w:after="0" w:line="18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Each Agent, each Lender and each other Secured Party agrees that it will promptly take such action and execute any such documents as may be reasonably requested by the Borrower (such actions and such execution, the “</w:t>
      </w:r>
      <w:r>
        <w:rPr>
          <w:rFonts w:ascii="Times New Roman" w:cs="Times New Roman" w:eastAsia="Times New Roman" w:hAnsi="Times New Roman"/>
          <w:sz w:val="17"/>
          <w:szCs w:val="17"/>
          <w:b w:val="1"/>
          <w:bCs w:val="1"/>
          <w:color w:val="auto"/>
        </w:rPr>
        <w:t>Release Actions</w:t>
      </w:r>
      <w:r>
        <w:rPr>
          <w:rFonts w:ascii="Times New Roman" w:cs="Times New Roman" w:eastAsia="Times New Roman" w:hAnsi="Times New Roman"/>
          <w:sz w:val="17"/>
          <w:szCs w:val="17"/>
          <w:color w:val="auto"/>
        </w:rPr>
        <w:t>”), at the Borrower’s sole cost and expense, in connection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0"/>
          </w:cols>
          <w:pgMar w:left="440" w:top="265" w:right="459" w:bottom="1440" w:gutter="0" w:footer="0" w:header="0"/>
        </w:sectPr>
      </w:pPr>
    </w:p>
    <w:bookmarkStart w:id="493" w:name="page494"/>
    <w:bookmarkEnd w:id="493"/>
    <w:p>
      <w:pPr>
        <w:ind w:right="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Lien Release Event, Release/Subordination Event, Permitted Consent Event or Guaranty Release Event and that such actions are not discretionary. Without limitation, the Release Actions may include, as applicable, (a) executing (if required) and delivering to the Loan Parties (or any designee of the Loan Parties) any such lien releases, mortgage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any Lien Release Event, Release/Subordination Event, Permitted Consent Event, Guaranty Release Event or Release Action, each of the Collateral Agent and the Administrative Agent shall be entitled to rely and shall rely exclusively on an officer’s certificate of the Borrower (the “</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confirming that (a) such Lien Release Event, Release/Subordination Event, Permitted Consent Event or a Guaranty Release Event, as applicable, has occurred or will upon consummation of one or more identified transactions (an “</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occur, (b) the conditions to any such Lien Release Event, Release/Subordination Event, Permitted Consent Event or Guaranty Release Event have occurred or will occur upon consummation of an Identified Transaction, and (c) 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w:t>
      </w:r>
    </w:p>
    <w:p>
      <w:pPr>
        <w:spacing w:after="0" w:line="192" w:lineRule="exact"/>
        <w:rPr>
          <w:sz w:val="20"/>
          <w:szCs w:val="20"/>
          <w:color w:val="auto"/>
        </w:rPr>
      </w:pPr>
    </w:p>
    <w:p>
      <w:pPr>
        <w:ind w:right="220" w:firstLine="436"/>
        <w:spacing w:after="0" w:line="282" w:lineRule="auto"/>
        <w:tabs>
          <w:tab w:leader="none" w:pos="69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in any of the Loan Documents to the contrary notwithstanding, each Agent, each Lender and each Secured Party hereby agree that: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00"/>
          </w:cols>
          <w:pgMar w:left="440" w:top="269" w:right="459" w:bottom="1440" w:gutter="0" w:footer="0" w:header="0"/>
        </w:sectPr>
      </w:pPr>
    </w:p>
    <w:bookmarkStart w:id="494" w:name="page495"/>
    <w:bookmarkEnd w:id="494"/>
    <w:p>
      <w:pPr>
        <w:ind w:left="420" w:firstLine="419"/>
        <w:spacing w:after="0" w:line="254" w:lineRule="auto"/>
        <w:tabs>
          <w:tab w:leader="none" w:pos="110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foreclosure or similar enforcement action by the Collateral Agent on any of the Collateral pursuant to a public or private sale or other disposition (including, without limitation, pursuant to Section 363(k), Section 1129(b)(2)(a)(ii) or otherwise of the U.S. Bankruptcy Code), only the Collateral Agent (except with respect to a “credit bid” pursuant to Section 363(k), Section 1129(b)(2)(a)(ii) or otherwise of the U.S. Bankruptcy Code) may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83" w:lineRule="exact"/>
        <w:rPr>
          <w:rFonts w:ascii="Times New Roman" w:cs="Times New Roman" w:eastAsia="Times New Roman" w:hAnsi="Times New Roman"/>
          <w:sz w:val="18"/>
          <w:szCs w:val="18"/>
          <w:color w:val="auto"/>
        </w:rPr>
      </w:pPr>
    </w:p>
    <w:p>
      <w:pPr>
        <w:ind w:left="420" w:right="40" w:firstLine="419"/>
        <w:spacing w:after="0" w:line="277" w:lineRule="auto"/>
        <w:tabs>
          <w:tab w:leader="none" w:pos="1158"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any Loan Documents shall require the creation, perfection or maintenance of pledges of or security interests or hypothecs in, or the obtaining of title insurance or abstracts with respect to, any Excluded Assets and any other particular assets, if and for so long as, in the reasonable judgment of the Administrative Agent (as so directed to the Collateral Agent), the cost of creating, perfecting or maintaining such pledges or security interests or hypothecs in such other particular assets or obtaining title insurance or abstracts in respect of such other particular assets is excessive in view of the Fair Market Value of such assets or the practical benefit to the Lenders afforded thereby; and</w:t>
      </w:r>
    </w:p>
    <w:p>
      <w:pPr>
        <w:spacing w:after="0" w:line="59" w:lineRule="exact"/>
        <w:rPr>
          <w:rFonts w:ascii="Times New Roman" w:cs="Times New Roman" w:eastAsia="Times New Roman" w:hAnsi="Times New Roman"/>
          <w:sz w:val="17"/>
          <w:szCs w:val="17"/>
          <w:color w:val="auto"/>
        </w:rPr>
      </w:pPr>
    </w:p>
    <w:p>
      <w:pPr>
        <w:ind w:left="420" w:right="100" w:firstLine="419"/>
        <w:spacing w:after="0" w:line="258" w:lineRule="auto"/>
        <w:tabs>
          <w:tab w:leader="none" w:pos="114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(as so directed to the Collateral Agent) may grant extensions of time for the creation or perfection of security interests or hypothecs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Appointment of Supplemental Administrative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0" w:firstLine="436"/>
        <w:spacing w:after="0" w:line="277" w:lineRule="auto"/>
        <w:tabs>
          <w:tab w:leader="none" w:pos="665"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0960"/>
          </w:cols>
          <w:pgMar w:left="460" w:top="269" w:right="479" w:bottom="1440" w:gutter="0" w:footer="0" w:header="0"/>
        </w:sectPr>
      </w:pPr>
    </w:p>
    <w:bookmarkStart w:id="495" w:name="page496"/>
    <w:bookmarkEnd w:id="495"/>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is hereby authorized to appoint an additional individual or institution selected by the Administrative Agent in its sole discretion as a separate trustee, co-trustee, administrative agent, collateral agent, collateral trustee, administrative sub-agent or administrative co-agent (any such additional individual or institution being referred to herein individually, as a “</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36"/>
        <w:spacing w:after="0" w:line="254" w:lineRule="auto"/>
        <w:tabs>
          <w:tab w:leader="none" w:pos="69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Sections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Notwithstanding anything to the contrary set forth in any Loan Document, to the extent the Administrative Agent enters into a Junior Lien Intercreditor Agreement (including, for the avoidance of doubt, pursuant to a joinder to the Existing Junior Lien Intercreditor Agreement), an Equal Priority Intercreditor Agreement or any other Intercreditor Agreement in accordance with the terms hereof, this Agreement will be subject to the terms and provisions of such Intercreditor Agreements, as applicable. In the event of any inconsistency between the provisions of this Agreement or any other Loan Document and the Junior Lien Intercreditor Agreement or any other Intercreditor Agreement, the provisions of the Junior Lien Intercreditor Agreement or such other Intercreditor Agreement govern and control. The Lenders acknowledge and agree that each Agent is authorized to, and each Agent agrees that, with respect to any secured Indebtedness, upon request by the Borrower, it shall, enter into a Junior Lien Intercreditor Agreement or an Equal Priority Intercreditor Agreement, as applicable, or any other Intercreditor Agreement with the Collateral Agent or other Debt Representative of the holders of such Indebtedness unless such Indebtedness and any related Liens (including the priority of such Liens) are not permitted by Sections 7.01 and 7.03, respectively, of this Agreement.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69" w:right="459" w:bottom="1440" w:gutter="0" w:footer="0" w:header="0"/>
        </w:sectPr>
      </w:pPr>
    </w:p>
    <w:bookmarkStart w:id="496" w:name="page497"/>
    <w:bookmarkEnd w:id="496"/>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hereby authorize and instruct the Administrative Agent to (a) enter into any such Junior Lien Intercreditor Agreement, Equal Priority Intercreditor Agreement or any such other Intercreditor Agreement, (b) bind the Lenders on the terms set forth in such Junior Lien Intercreditor Agreement, Equal Priority Intercreditor Agreement or any such other Intercreditor Agreement and (c) perform and observe its obligations under such Junior Lien Intercreditor Agreement, Equal Priority Intercreditor Agreement or any such other Intercreditor Agreement. The Agents and each Secured Party agree that the Agents shall be entitled to rely and shall rely exclusively on an officer’s certificate of the Borrower in determining whether it is permitted to enter into an Intercreditor Agreement pursuant to this Section. Each Secured Party covenants and agrees not to give the Collateral Agent or Administrative Agent any instruction that is not consistent with the provisions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Cash Management Agreements and Hedge Agreements</w:t>
      </w:r>
      <w:r>
        <w:rPr>
          <w:rFonts w:ascii="Times New Roman" w:cs="Times New Roman" w:eastAsia="Times New Roman" w:hAnsi="Times New Roman"/>
          <w:sz w:val="18"/>
          <w:szCs w:val="18"/>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00"/>
          </w:cols>
          <w:pgMar w:left="440" w:top="269" w:right="459" w:bottom="1440" w:gutter="0" w:footer="0" w:header="0"/>
        </w:sectPr>
      </w:pPr>
    </w:p>
    <w:bookmarkStart w:id="497" w:name="page498"/>
    <w:bookmarkEnd w:id="49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10.16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80" w:firstLine="436"/>
        <w:spacing w:after="0" w:line="261" w:lineRule="auto"/>
        <w:tabs>
          <w:tab w:leader="none" w:pos="689"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(1) represents and warrants, as of the date such Person became a Lender party hereto, to, and (2)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any of the Loan Parties,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08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the Commitments or this Agreement;</w:t>
      </w:r>
    </w:p>
    <w:p>
      <w:pPr>
        <w:spacing w:after="0" w:line="53" w:lineRule="exact"/>
        <w:rPr>
          <w:rFonts w:ascii="Times New Roman" w:cs="Times New Roman" w:eastAsia="Times New Roman" w:hAnsi="Times New Roman"/>
          <w:sz w:val="18"/>
          <w:szCs w:val="18"/>
          <w:color w:val="auto"/>
        </w:rPr>
      </w:pPr>
    </w:p>
    <w:p>
      <w:pPr>
        <w:ind w:left="444" w:right="140" w:firstLine="419"/>
        <w:spacing w:after="0" w:line="255" w:lineRule="auto"/>
        <w:tabs>
          <w:tab w:leader="none" w:pos="113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18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7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and each other Lead Arranger, on the one hand, in their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sub-clause (i)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ind w:left="4" w:right="60" w:hanging="4"/>
        <w:spacing w:after="0" w:line="252" w:lineRule="auto"/>
        <w:tabs>
          <w:tab w:leader="none" w:pos="25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(2)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none of the Administrative Agent or any other Lead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-990600</wp:posOffset>
            </wp:positionV>
            <wp:extent cx="64706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04"/>
          </w:cols>
          <w:pgMar w:left="436" w:top="269" w:right="459" w:bottom="1440" w:gutter="0" w:footer="0" w:header="0"/>
        </w:sectPr>
      </w:pPr>
    </w:p>
    <w:bookmarkStart w:id="498" w:name="page499"/>
    <w:bookmarkEnd w:id="49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10.17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2" w:lineRule="auto"/>
        <w:tabs>
          <w:tab w:leader="none" w:pos="66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Overnight Rate.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97" w:lineRule="exact"/>
        <w:rPr>
          <w:rFonts w:ascii="Times New Roman" w:cs="Times New Roman" w:eastAsia="Times New Roman" w:hAnsi="Times New Roman"/>
          <w:sz w:val="18"/>
          <w:szCs w:val="18"/>
          <w:color w:val="auto"/>
        </w:rPr>
      </w:pPr>
    </w:p>
    <w:p>
      <w:pPr>
        <w:ind w:left="-20" w:right="40" w:firstLine="436"/>
        <w:spacing w:after="0" w:line="255"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Issuing Bank or Secured Party, or any Person who has received funds on behalf of a Lender, Issuing Bank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80" w:lineRule="exact"/>
        <w:rPr>
          <w:rFonts w:ascii="Times New Roman" w:cs="Times New Roman" w:eastAsia="Times New Roman" w:hAnsi="Times New Roman"/>
          <w:sz w:val="18"/>
          <w:szCs w:val="18"/>
          <w:color w:val="auto"/>
        </w:rPr>
      </w:pPr>
    </w:p>
    <w:p>
      <w:pPr>
        <w:ind w:left="420" w:right="60" w:firstLine="419"/>
        <w:spacing w:after="0" w:line="266" w:lineRule="auto"/>
        <w:tabs>
          <w:tab w:leader="none" w:pos="1058"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420" w:right="200" w:firstLine="419"/>
        <w:spacing w:after="0" w:line="261" w:lineRule="auto"/>
        <w:tabs>
          <w:tab w:leader="none" w:pos="1108"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10.17(b)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0980"/>
          </w:cols>
          <w:pgMar w:left="460" w:top="269" w:right="459" w:bottom="1440" w:gutter="0" w:footer="0" w:header="0"/>
        </w:sectPr>
      </w:pPr>
    </w:p>
    <w:bookmarkStart w:id="499" w:name="page500"/>
    <w:bookmarkEnd w:id="499"/>
    <w:p>
      <w:pPr>
        <w:ind w:right="240" w:firstLine="436"/>
        <w:spacing w:after="0" w:line="266" w:lineRule="auto"/>
        <w:tabs>
          <w:tab w:leader="none" w:pos="68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Issuing Bank or Secured Party hereby authorizes the Administrative Agent to set off, net and apply any and all amounts at any time owing to such Lender, Issuing Bank or Secured Party under any Loan Document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Revolving Loan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18"/>
          <w:szCs w:val="18"/>
          <w:b w:val="1"/>
          <w:bCs w:val="1"/>
          <w:color w:val="auto"/>
        </w:rPr>
        <w:t>Erroneous Payment Subrogation Rights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440" w:top="269" w:right="459" w:bottom="1440" w:gutter="0" w:footer="0" w:header="0"/>
        </w:sectPr>
      </w:pPr>
    </w:p>
    <w:bookmarkStart w:id="500" w:name="page501"/>
    <w:bookmarkEnd w:id="500"/>
    <w:p>
      <w:pPr>
        <w:ind w:left="-80" w:right="180" w:firstLine="436"/>
        <w:spacing w:after="0" w:line="261" w:lineRule="auto"/>
        <w:tabs>
          <w:tab w:leader="none" w:pos="60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9" w:lineRule="exact"/>
        <w:rPr>
          <w:rFonts w:ascii="Times New Roman" w:cs="Times New Roman" w:eastAsia="Times New Roman" w:hAnsi="Times New Roman"/>
          <w:sz w:val="18"/>
          <w:szCs w:val="18"/>
          <w:color w:val="auto"/>
        </w:rPr>
      </w:pPr>
    </w:p>
    <w:p>
      <w:pPr>
        <w:ind w:left="-80" w:right="100" w:firstLine="436"/>
        <w:spacing w:after="0" w:line="261" w:lineRule="auto"/>
        <w:tabs>
          <w:tab w:leader="none" w:pos="58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left="-80" w:right="100" w:firstLine="436"/>
        <w:spacing w:after="0" w:line="266" w:lineRule="auto"/>
        <w:tabs>
          <w:tab w:leader="none" w:pos="61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Amendments, Waivers, Etc.</w:t>
      </w:r>
    </w:p>
    <w:p>
      <w:pPr>
        <w:spacing w:after="0" w:line="225" w:lineRule="exact"/>
        <w:rPr>
          <w:sz w:val="20"/>
          <w:szCs w:val="20"/>
          <w:color w:val="auto"/>
        </w:rPr>
      </w:pPr>
    </w:p>
    <w:p>
      <w:pPr>
        <w:ind w:left="-80" w:firstLine="436"/>
        <w:spacing w:after="0" w:line="256" w:lineRule="auto"/>
        <w:tabs>
          <w:tab w:leader="none" w:pos="60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Any amendment or waiver of this Agreement or any other Loan Document that affects the Collateral Agent’s rights, protections, immunities, indemnities, duties or obligations, shall not be effective unless consented to by the Collateral Agent.</w:t>
      </w:r>
    </w:p>
    <w:p>
      <w:pPr>
        <w:spacing w:after="0" w:line="187" w:lineRule="exact"/>
        <w:rPr>
          <w:rFonts w:ascii="Times New Roman" w:cs="Times New Roman" w:eastAsia="Times New Roman" w:hAnsi="Times New Roman"/>
          <w:sz w:val="18"/>
          <w:szCs w:val="18"/>
          <w:color w:val="auto"/>
        </w:rPr>
      </w:pPr>
    </w:p>
    <w:p>
      <w:pPr>
        <w:ind w:left="620" w:hanging="264"/>
        <w:spacing w:after="0"/>
        <w:tabs>
          <w:tab w:leader="none" w:pos="6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Lender Approvals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no such amendment, waiver or consent shall:</w:t>
      </w:r>
    </w:p>
    <w:p>
      <w:pPr>
        <w:spacing w:after="0" w:line="117" w:lineRule="exact"/>
        <w:rPr>
          <w:rFonts w:ascii="Times New Roman" w:cs="Times New Roman" w:eastAsia="Times New Roman" w:hAnsi="Times New Roman"/>
          <w:sz w:val="18"/>
          <w:szCs w:val="18"/>
          <w:color w:val="auto"/>
        </w:rPr>
      </w:pPr>
    </w:p>
    <w:p>
      <w:pPr>
        <w:ind w:left="360" w:right="200" w:firstLine="419"/>
        <w:spacing w:after="0" w:line="258" w:lineRule="auto"/>
        <w:tabs>
          <w:tab w:leader="none" w:pos="998"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increase the Total Utilization of Commitments (or otherwise waive any excess of Total Utilization of Commitments above the Commitments then in effect) or extend the final expiration date of any Letter of Credit beyond the Letter of Credit Expiration Date without the written consent of each Lender directly and adversely affected thereby, it being understood that a waiver of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the waiver of any Default, mandatory prepayment or mandatory reduction of the Commitments shall not constitute an extension or increase of any Commitment of any Lender;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0840"/>
          </w:cols>
          <w:pgMar w:left="520" w:top="269" w:right="539" w:bottom="1440" w:gutter="0" w:footer="0" w:header="0"/>
        </w:sectPr>
      </w:pPr>
    </w:p>
    <w:bookmarkStart w:id="501" w:name="page502"/>
    <w:bookmarkEnd w:id="501"/>
    <w:p>
      <w:pPr>
        <w:ind w:firstLine="419"/>
        <w:spacing w:after="0" w:line="258" w:lineRule="auto"/>
        <w:tabs>
          <w:tab w:leader="none" w:pos="688"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postpone any date scheduled for, or reduce the amount of, any payment of principal or interest with respect to any Loan or Letter of Credit or with respect to any fees payable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without the written consent of each Lender directly and adversely affected thereby, it being understood that a waiver of any mandatory prepayment set forth in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or the waiver of any Default (other than a Default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shall not constitute a postponement of any date scheduled for, or a reduction in the amount of, any payment of interest or any payment of fees;</w:t>
      </w:r>
    </w:p>
    <w:p>
      <w:pPr>
        <w:spacing w:after="0" w:line="75" w:lineRule="exact"/>
        <w:rPr>
          <w:rFonts w:ascii="Times New Roman" w:cs="Times New Roman" w:eastAsia="Times New Roman" w:hAnsi="Times New Roman"/>
          <w:sz w:val="18"/>
          <w:szCs w:val="18"/>
          <w:color w:val="auto"/>
        </w:rPr>
      </w:pPr>
    </w:p>
    <w:p>
      <w:pPr>
        <w:ind w:right="140" w:firstLine="419"/>
        <w:spacing w:after="0" w:line="258" w:lineRule="auto"/>
        <w:tabs>
          <w:tab w:leader="none" w:pos="738"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Letter of Credit or any fees or other amounts payable hereunder or under any other Loan Document (except interest due at the Default Rate or as expressly set forth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(including by modifying the “Grid” set forth in the definition of “Applicable Rate”) without the written consent of each Lender, it being understood that any change to the definitions of Total Net Leverage Ratio or in the component definitions thereof shall not constitute a reduction in the rate of interest as long as the intent of such change is not to cause a reduced interest rate;</w:t>
      </w:r>
    </w:p>
    <w:p>
      <w:pPr>
        <w:spacing w:after="0" w:line="75" w:lineRule="exact"/>
        <w:rPr>
          <w:rFonts w:ascii="Times New Roman" w:cs="Times New Roman" w:eastAsia="Times New Roman" w:hAnsi="Times New Roman"/>
          <w:sz w:val="18"/>
          <w:szCs w:val="18"/>
          <w:color w:val="auto"/>
        </w:rPr>
      </w:pPr>
    </w:p>
    <w:p>
      <w:pPr>
        <w:ind w:right="300" w:firstLine="419"/>
        <w:spacing w:after="0" w:line="266" w:lineRule="auto"/>
        <w:tabs>
          <w:tab w:leader="none" w:pos="728"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or “Pro Rata Share” or any other provision specifying the number of Lenders or portion of the Loans or Commitments required to take any action under the Loan Documents, without the written consent of each Lender;</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transfer or other transaction permitted under the Loan Documents (including, for the avoidance of doubt, Permitted Reflagging Transactions), (i) release all or substantially all of the Collateral in any transaction or series of related transactions, without the written consent of each Lender or (ii) release any Vessel Collateral representing in the aggregate for all such released Vessel Collateral a Vessel Collateral Value Amount in excess of the greater of $180,400,000 or 10% of the aggregate Vessel Collateral Value Amount as determined on or about the applicable release date or date of entry into a binding commitment to release (but, in any case, no earlier than thirty (30) days prior to the applicable release date or entry date, as applicable);</w:t>
      </w:r>
    </w:p>
    <w:p>
      <w:pPr>
        <w:spacing w:after="0" w:line="79" w:lineRule="exact"/>
        <w:rPr>
          <w:rFonts w:ascii="Times New Roman" w:cs="Times New Roman" w:eastAsia="Times New Roman" w:hAnsi="Times New Roman"/>
          <w:sz w:val="18"/>
          <w:szCs w:val="18"/>
          <w:color w:val="auto"/>
        </w:rPr>
      </w:pPr>
    </w:p>
    <w:p>
      <w:pPr>
        <w:ind w:right="180" w:firstLine="419"/>
        <w:spacing w:after="0" w:line="282" w:lineRule="auto"/>
        <w:tabs>
          <w:tab w:leader="none" w:pos="728"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transfer or other transaction permitted under the Loan Documents, release all or substantially all of the aggregate value of the Guaranty or all or substantially all of the Guarantors or the Borrower, without the written consent of each Lender;</w:t>
      </w:r>
    </w:p>
    <w:p>
      <w:pPr>
        <w:spacing w:after="0" w:line="53"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without the written consent of each Lender directly and adversely affected thereby;</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without the written consent of each Lender; or</w:t>
      </w:r>
    </w:p>
    <w:p>
      <w:pPr>
        <w:spacing w:after="0" w:line="117" w:lineRule="exact"/>
        <w:rPr>
          <w:rFonts w:ascii="Times New Roman" w:cs="Times New Roman" w:eastAsia="Times New Roman" w:hAnsi="Times New Roman"/>
          <w:sz w:val="18"/>
          <w:szCs w:val="18"/>
          <w:color w:val="auto"/>
        </w:rPr>
      </w:pPr>
    </w:p>
    <w:p>
      <w:pPr>
        <w:ind w:firstLine="419"/>
        <w:spacing w:after="0" w:line="289" w:lineRule="auto"/>
        <w:tabs>
          <w:tab w:leader="none" w:pos="728"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an Event of Default under </w:t>
      </w:r>
      <w:r>
        <w:rPr>
          <w:rFonts w:ascii="Times New Roman" w:cs="Times New Roman" w:eastAsia="Times New Roman" w:hAnsi="Times New Roman"/>
          <w:sz w:val="17"/>
          <w:szCs w:val="17"/>
          <w:u w:val="single" w:color="auto"/>
          <w:color w:val="auto"/>
        </w:rPr>
        <w:t>Section 9.01(f)</w:t>
      </w:r>
      <w:r>
        <w:rPr>
          <w:rFonts w:ascii="Times New Roman" w:cs="Times New Roman" w:eastAsia="Times New Roman" w:hAnsi="Times New Roman"/>
          <w:sz w:val="17"/>
          <w:szCs w:val="17"/>
          <w:color w:val="auto"/>
        </w:rPr>
        <w:t>, amend or modify any term or provision of any Loan Document to permit the issuance or incurrence of any Indebtedness for Borrowed Money (excluding Indebtedness that is expressly permitted by this Agreement as in effect on the Closing Date to be senior to the applicable Class of Obligations and/or to be secured by a Lien that is senior to the Lien securing such Class of</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0560"/>
          </w:cols>
          <w:pgMar w:left="880" w:top="269" w:right="459" w:bottom="1440" w:gutter="0" w:footer="0" w:header="0"/>
        </w:sectPr>
      </w:pPr>
    </w:p>
    <w:bookmarkStart w:id="502" w:name="page503"/>
    <w:bookmarkEnd w:id="502"/>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with respect to which (x) the Liens on the Collateral securing the Obligations of any Class would be subordinated or (y) all or any portion of the Obligations of any Class would be subordinated in right of payment (any such other Indebtedness to which such Liens securing any of the Obligations or such Obligations, as applicable, are subordinated, “</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in each case without the written consent of each Lender of such Class directly and adversely affected thereby, unless each adversely affected Lender (A)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cs="Times New Roman" w:eastAsia="Times New Roman" w:hAnsi="Times New Roman"/>
          <w:sz w:val="18"/>
          <w:szCs w:val="18"/>
          <w:b w:val="1"/>
          <w:bCs w:val="1"/>
          <w:color w:val="auto"/>
        </w:rPr>
        <w:t>Ancillary Fees</w:t>
      </w:r>
      <w:r>
        <w:rPr>
          <w:rFonts w:ascii="Times New Roman" w:cs="Times New Roman" w:eastAsia="Times New Roman" w:hAnsi="Times New Roman"/>
          <w:sz w:val="18"/>
          <w:szCs w:val="18"/>
          <w:color w:val="auto"/>
        </w:rPr>
        <w:t>”) as offered to all other providers (or their Affiliates) of the Senior Indebtedness, and (B) decides to participate in the Senior Indebtedness and receives its pro rata share of the fees and any other similar benefit (other than Ancillary Fees) of the Senior Indebtedness afforded to the providers of the Senior Indebtedness (or any of their Affiliates) in connection with providing the Senior Indebtedness; or</w:t>
      </w:r>
    </w:p>
    <w:p>
      <w:pPr>
        <w:spacing w:after="0" w:line="86" w:lineRule="exact"/>
        <w:rPr>
          <w:sz w:val="20"/>
          <w:szCs w:val="20"/>
          <w:color w:val="auto"/>
        </w:rPr>
      </w:pPr>
    </w:p>
    <w:p>
      <w:pPr>
        <w:ind w:left="4" w:firstLine="419"/>
        <w:spacing w:after="0" w:line="281" w:lineRule="auto"/>
        <w:tabs>
          <w:tab w:leader="none" w:pos="681" w:val="left"/>
        </w:tabs>
        <w:numPr>
          <w:ilvl w:val="1"/>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provision of this Agreement to permit the Borrower or Restricted Subsidiaries to incur Indebtedness for Borrowed Money that is senior in payment or Lien priority or pari passu in payment priority with the Obligations (excluding any Incremental Facility, which may for the avoidance of doubt be pari passu in payment priority with the Obligations), or otherwise subordinate the Obligations to any other Indebtedness for Borrowed Money, in each case, without the written consent of each Lender of such Class directly and adversely affected thereby.</w:t>
      </w:r>
    </w:p>
    <w:p>
      <w:pPr>
        <w:spacing w:after="0" w:line="164"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Specific Approvals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41"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an Issuing Bank in addition to the Lenders required above, affect the rights or duties of, or any fees or other amounts payable to, such Issuing Bank under this Agreement, any Issuance Notice or any other Loan Document relating to any Letter of Credit issued or to be issued by it,</w:t>
      </w:r>
    </w:p>
    <w:p>
      <w:pPr>
        <w:spacing w:after="0" w:line="68" w:lineRule="exact"/>
        <w:rPr>
          <w:sz w:val="20"/>
          <w:szCs w:val="20"/>
          <w:color w:val="auto"/>
        </w:rPr>
      </w:pPr>
    </w:p>
    <w:p>
      <w:pPr>
        <w:jc w:val="both"/>
        <w:ind w:left="4" w:right="220" w:firstLine="419"/>
        <w:spacing w:after="0" w:line="266" w:lineRule="auto"/>
        <w:tabs>
          <w:tab w:leader="none" w:pos="691"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the Administrative Agent in addition to the Lenders required above, affect the rights or duties of, or any fees or other amounts payable to, the Administrative Agent under this Agreement or any other Loan Document,</w:t>
      </w:r>
    </w:p>
    <w:p>
      <w:pPr>
        <w:spacing w:after="0" w:line="67" w:lineRule="exact"/>
        <w:rPr>
          <w:rFonts w:ascii="Times New Roman" w:cs="Times New Roman" w:eastAsia="Times New Roman" w:hAnsi="Times New Roman"/>
          <w:sz w:val="18"/>
          <w:szCs w:val="18"/>
          <w:color w:val="auto"/>
        </w:rPr>
      </w:pPr>
    </w:p>
    <w:p>
      <w:pPr>
        <w:ind w:left="4" w:right="80" w:firstLine="419"/>
        <w:spacing w:after="0" w:line="312" w:lineRule="auto"/>
        <w:tabs>
          <w:tab w:leader="none" w:pos="741"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waiver or consent shall, unless in writing and signed by the Collateral Agent in addition to the Lenders required above, affect the rights or duties of, or any fees or other amounts payable to, the Collateral Agent under this Agreement or any other Loan Document,</w:t>
      </w:r>
    </w:p>
    <w:p>
      <w:pPr>
        <w:spacing w:after="0" w:line="31" w:lineRule="exact"/>
        <w:rPr>
          <w:rFonts w:ascii="Times New Roman" w:cs="Times New Roman" w:eastAsia="Times New Roman" w:hAnsi="Times New Roman"/>
          <w:sz w:val="17"/>
          <w:szCs w:val="17"/>
          <w:color w:val="auto"/>
        </w:rPr>
      </w:pPr>
    </w:p>
    <w:p>
      <w:pPr>
        <w:ind w:left="4" w:right="320" w:firstLine="419"/>
        <w:spacing w:after="0" w:line="282" w:lineRule="auto"/>
        <w:tabs>
          <w:tab w:leader="none" w:pos="731"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 xml:space="preserve"> may not be amended, waived or otherwise modified without the consent of each Granting Lender all or any part of whose Loans are being funded by an SPC at the time of such amendment, waiver or other modification, and</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0524"/>
          </w:cols>
          <w:pgMar w:left="876" w:top="269" w:right="499" w:bottom="1440" w:gutter="0" w:footer="0" w:header="0"/>
        </w:sectPr>
      </w:pPr>
    </w:p>
    <w:bookmarkStart w:id="503" w:name="page504"/>
    <w:bookmarkEnd w:id="503"/>
    <w:p>
      <w:pPr>
        <w:ind w:left="440" w:firstLine="419"/>
        <w:spacing w:after="0" w:line="258" w:lineRule="auto"/>
        <w:tabs>
          <w:tab w:leader="none" w:pos="1118"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amendments or modifications to the Loan Documents to reflect a Collateral Trust Agreement structure (including replacing references to the Collateral Agent with references to the Collateral Trustee and modifying the Collateral Documents so that such Collateral Documents secure all Indebtedness subject to the Collateral Trust Agreement) shall be effected by an amendment in writing signed by the Borrower, the applicable Loan Parties and the Administrative Agent (such consent to the amendment not to be unreasonably withheld, conditioned or delayed).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No Lender or Issuing Bank consent is required to effect any amendment or supplement to the Intercreditor</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or any other intercreditor agreement that is, (i) for the purpose of adding the holders of Pari Passu Lien Debt, Junior Lien Debt, Incremental Equivalent Debt, Permitted Pari Passu Secured Refinancing Debt or Permitted Junior Secured Refinancing Debt (or a Debt Representative with respect to any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 (ii) expressly contemplated by the Intercreditor Agreements or any other intercreditor agreement expressly permitted to be entered into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 or supplement in either case shall not effectuate an amendment prohibited by </w:t>
      </w:r>
      <w:r>
        <w:rPr>
          <w:rFonts w:ascii="Times New Roman" w:cs="Times New Roman" w:eastAsia="Times New Roman" w:hAnsi="Times New Roman"/>
          <w:sz w:val="18"/>
          <w:szCs w:val="18"/>
          <w:u w:val="single" w:color="auto"/>
          <w:color w:val="auto"/>
        </w:rPr>
        <w:t>Section 11.01(b)(ix)</w:t>
      </w:r>
      <w:r>
        <w:rPr>
          <w:rFonts w:ascii="Times New Roman" w:cs="Times New Roman" w:eastAsia="Times New Roman" w:hAnsi="Times New Roman"/>
          <w:sz w:val="18"/>
          <w:szCs w:val="18"/>
          <w:color w:val="auto"/>
        </w:rPr>
        <w:t xml:space="preserve"> or (x) without the written consent of each directly and adversely effected Lender.</w:t>
      </w:r>
    </w:p>
    <w:p>
      <w:pPr>
        <w:spacing w:after="0" w:line="19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Amendments to Loan Documents</w:t>
      </w:r>
      <w:r>
        <w:rPr>
          <w:rFonts w:ascii="Times New Roman" w:cs="Times New Roman" w:eastAsia="Times New Roman" w:hAnsi="Times New Roman"/>
          <w:sz w:val="18"/>
          <w:szCs w:val="18"/>
          <w:color w:val="auto"/>
        </w:rPr>
        <w:t>.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errors or defects (as reasonably determined by the Administrative Agent and the Borrower with such determination being conclusive and binding), (iii) to cause such Guaranty, Collateral Document or other document to be consistent with this Agreement and the other Loan Documents or (iv) for administrative clarity (as conclusively determined by the Administrative Agent and the Borrower in good faith).</w:t>
      </w:r>
    </w:p>
    <w:p>
      <w:pPr>
        <w:spacing w:after="0" w:line="19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 Disqualified Lenders and Net Short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 and Disqualified Lenders</w:t>
      </w:r>
      <w:r>
        <w:rPr>
          <w:rFonts w:ascii="Times New Roman" w:cs="Times New Roman" w:eastAsia="Times New Roman" w:hAnsi="Times New Roman"/>
          <w:sz w:val="18"/>
          <w:szCs w:val="18"/>
          <w:color w:val="auto"/>
        </w:rPr>
        <w:t>. No Defaulting Lender or Disqualified Lender shall have any right to approve or disapprove any amendment, waiver or consent hereunder (and any amendment, waiver or consent which by its terms requires the consent of all Lenders, the Required Lenders or each affected Lender may be effected with the consent of the applicable Lenders other than Defaulting Lenders or Disqualified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-3122930</wp:posOffset>
            </wp:positionV>
            <wp:extent cx="1619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00"/>
          </w:cols>
          <w:pgMar w:left="440" w:top="269" w:right="459" w:bottom="1440" w:gutter="0" w:footer="0" w:header="0"/>
        </w:sectPr>
      </w:pPr>
    </w:p>
    <w:bookmarkStart w:id="504" w:name="page505"/>
    <w:bookmarkEnd w:id="504"/>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except that (A) the Commitment of any Defaulting Lender or Disqualified Lender may not be increased or extended without the consent of such Defaulting Lender or such Disqualified Lender and (B) any waiver, amendment or modification requiring the consent of all Lenders or each affected Lender that by its terms affects any Defaulting Lender or Disqualified Lender (other than any Disqualified Lender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more adversely than other affected Lenders shall require the consent of such Defaulting Lender or Disqualified Lender, as applicable.</w:t>
      </w:r>
    </w:p>
    <w:p>
      <w:pPr>
        <w:spacing w:after="0" w:line="75" w:lineRule="exact"/>
        <w:rPr>
          <w:sz w:val="20"/>
          <w:szCs w:val="20"/>
          <w:color w:val="auto"/>
        </w:rPr>
      </w:pPr>
    </w:p>
    <w:p>
      <w:pPr>
        <w:ind w:left="440" w:right="40" w:firstLine="419"/>
        <w:spacing w:after="0" w:line="282" w:lineRule="auto"/>
        <w:tabs>
          <w:tab w:leader="none" w:pos="1128"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Short</w:t>
      </w:r>
      <w:r>
        <w:rPr>
          <w:rFonts w:ascii="Times New Roman" w:cs="Times New Roman" w:eastAsia="Times New Roman" w:hAnsi="Times New Roman"/>
          <w:sz w:val="18"/>
          <w:szCs w:val="18"/>
          <w:color w:val="auto"/>
        </w:rPr>
        <w:t xml:space="preserve"> Lenders. Net Short Lenders shall have the right to approve or disapprove any amendment, waiver or consent only to the extent set forth in </w:t>
      </w:r>
      <w:r>
        <w:rPr>
          <w:rFonts w:ascii="Times New Roman" w:cs="Times New Roman" w:eastAsia="Times New Roman" w:hAnsi="Times New Roman"/>
          <w:sz w:val="18"/>
          <w:szCs w:val="18"/>
          <w:u w:val="single" w:color="auto"/>
          <w:color w:val="auto"/>
        </w:rPr>
        <w:t>Section 11.28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Notices and Other Communications; Facsimile Copies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e-mail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078"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the Issuing Banks, the Collateral Agent or the Administrative Agent, to the address,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electronic mail addresses or telephone number specified in its Administrative Questionnaire.</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notice to any Agent shall be effective until received by such Agent.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ind w:firstLine="436"/>
        <w:spacing w:after="0" w:line="255" w:lineRule="auto"/>
        <w:tabs>
          <w:tab w:leader="none" w:pos="69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w:t>
      </w:r>
      <w:r>
        <w:rPr>
          <w:rFonts w:ascii="Times New Roman" w:cs="Times New Roman" w:eastAsia="Times New Roman" w:hAnsi="Times New Roman"/>
          <w:sz w:val="18"/>
          <w:szCs w:val="18"/>
          <w:color w:val="auto"/>
        </w:rPr>
        <w:t xml:space="preserve">. Notices and other communications to any Agent, the Lenders and the Issuing Banks hereunder may be delivered or furnished by electronic communication (including e-mail and Internet or intranet websites, including the Platform)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Agent, Lender or the Issuing Banks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00"/>
          </w:cols>
          <w:pgMar w:left="440" w:top="269" w:right="459" w:bottom="1440" w:gutter="0" w:footer="0" w:header="0"/>
        </w:sectPr>
      </w:pPr>
    </w:p>
    <w:bookmarkStart w:id="505" w:name="page506"/>
    <w:bookmarkEnd w:id="505"/>
    <w:p>
      <w:pPr>
        <w:ind w:left="4" w:firstLine="436"/>
        <w:spacing w:after="0" w:line="270" w:lineRule="auto"/>
        <w:tabs>
          <w:tab w:leader="none" w:pos="689"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w:t>
      </w:r>
      <w:r>
        <w:rPr>
          <w:rFonts w:ascii="Times New Roman" w:cs="Times New Roman" w:eastAsia="Times New Roman" w:hAnsi="Times New Roman"/>
          <w:sz w:val="17"/>
          <w:szCs w:val="17"/>
          <w:color w:val="auto"/>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269"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185"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Risks of Electronic Communications</w:t>
      </w:r>
      <w:r>
        <w:rPr>
          <w:rFonts w:ascii="Times New Roman" w:cs="Times New Roman" w:eastAsia="Times New Roman" w:hAnsi="Times New Roman"/>
          <w:sz w:val="18"/>
          <w:szCs w:val="18"/>
          <w:color w:val="auto"/>
        </w:rPr>
        <w:t>. 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any Lender or any Issuing Bank as determined by a final, non-appealable judgment of a court of competent jurisdiction.</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Agent Party have any liability to the Borrower, any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spacing w:after="0" w:line="195"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69"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w:t>
      </w:r>
      <w:r>
        <w:rPr>
          <w:rFonts w:ascii="Times New Roman" w:cs="Times New Roman" w:eastAsia="Times New Roman" w:hAnsi="Times New Roman"/>
          <w:sz w:val="18"/>
          <w:szCs w:val="18"/>
          <w:color w:val="auto"/>
        </w:rPr>
        <w:t>. Each of the Borrower, the Administrative Agent and the Issuing Banks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the Administrative Agent, the Collateral Agent and the Issuing Banks.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04"/>
          </w:cols>
          <w:pgMar w:left="436" w:top="269" w:right="459" w:bottom="1440" w:gutter="0" w:footer="0" w:header="0"/>
        </w:sectPr>
      </w:pPr>
    </w:p>
    <w:bookmarkStart w:id="506" w:name="page507"/>
    <w:bookmarkEnd w:id="506"/>
    <w:p>
      <w:pPr>
        <w:ind w:firstLine="436"/>
        <w:spacing w:after="0" w:line="254" w:lineRule="auto"/>
        <w:tabs>
          <w:tab w:leader="none" w:pos="69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by the Agents, the Issuing Banks and the Lenders</w:t>
      </w:r>
      <w:r>
        <w:rPr>
          <w:rFonts w:ascii="Times New Roman" w:cs="Times New Roman" w:eastAsia="Times New Roman" w:hAnsi="Times New Roman"/>
          <w:sz w:val="18"/>
          <w:szCs w:val="18"/>
          <w:color w:val="auto"/>
        </w:rPr>
        <w:t>. The Agents, the Issuing Banks and the Lenders shall be entitled to rely and act upon any notices (including Committed Loan Notices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any Agent may be recorded by the Administrative Agent, and each of the parties hereto hereby consents to such recording. The Borrower shall indemnify the Agents, the Issuing Banks and the Lenders and each Agent-Related Person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Private-Side Information Contacts</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the Borrower,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94"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68"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00"/>
          </w:cols>
          <w:pgMar w:left="440" w:top="269" w:right="459" w:bottom="1440" w:gutter="0" w:footer="0" w:header="0"/>
        </w:sectPr>
      </w:pPr>
    </w:p>
    <w:bookmarkStart w:id="507" w:name="page508"/>
    <w:bookmarkEnd w:id="50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for the benefit of all the Lenders and the Issuing Banks;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Bank from exercising on its own behalf the rights and remedies that inure to its benefit (solely in its capacity as an Issuing Bank) hereunder and under the other Loan Documents, (iii) any Lender from exercising setoff rights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(iv)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(B) in addition to the matters set forth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any Lender may, with the consent of the Required Lenders, enforce any rights or remedies available to it and as authorized by the Required Lenders.</w:t>
      </w:r>
    </w:p>
    <w:p>
      <w:pPr>
        <w:spacing w:after="0" w:line="18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Attorney Costs and Expenses</w:t>
      </w:r>
      <w:r>
        <w:rPr>
          <w:rFonts w:ascii="Times New Roman" w:cs="Times New Roman" w:eastAsia="Times New Roman" w:hAnsi="Times New Roman"/>
          <w:sz w:val="18"/>
          <w:szCs w:val="18"/>
          <w:color w:val="auto"/>
        </w:rPr>
        <w:t xml:space="preserve">. The Borrower agrees (a) to pay or reimburse the Administrative Agent, the Collateral Agent, the Lead Arranger, the Supplemental Administrative Agents, the Revolving Lenders and the Issuing Banks for all reasonable and documented in reasonable detail out-of-pocket expenses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including all Attorney Costs, and (b) to pay or reimburse the Administrative Agent, the Collateral Agent, the Lead Arranger, the Supplemental Administrative Agents, the Issuing Banks and the Lenders for all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Attorney Costs (and, if reasonably necessary, local counsel in any relevant material jurisdiction (which may be a single local counsel acting in multiple material jurisdictions) and, solely in the event of an actual or perceived conflict of interest between the Administrative Agent, the Collateral Agent, the Lead Arranger, the Supplemental Administrative Agents, the Issuing Banks and the Lenders, where the Person or Persons affected by such conflict of interest inform the Borrower in writing of such conflict of interest, one additional counsel in each relevant material jurisdiction to each affected Persons)). The agreements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paid promptly following receipt by the Borrower of an invoice relating thereto setting forth such expenses in reasonable detail, and in any event within thirty (30) days of receipt of such invoice . If any Loan Party fails to pay when due any costs, expenses or other amounts payable by it hereunder or under any Loan Document, such amount may be paid on behalf of such Loan Party by the Administrative Agent in its sole discretion. Expenses shall be deemed to be documented in accordance with this Section 11.04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0"/>
          </w:cols>
          <w:pgMar w:left="440" w:top="267" w:right="459" w:bottom="1440" w:gutter="0" w:footer="0" w:header="0"/>
        </w:sectPr>
      </w:pPr>
    </w:p>
    <w:bookmarkStart w:id="508" w:name="page509"/>
    <w:bookmarkEnd w:id="50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11.05 </w:t>
      </w: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and hold harmless the Administrative Agent, any Supplemental Administrative Agent, the Collateral Agent, the Issuing Banks, each Lender, each Lead Arranger, each Bookrunner and their respective Affiliates, directors, officers, directors, employees, agents, advisors, partners, shareholders, trustees, controlling persons, and other representatives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for each Indemnitee and, if reasonably necessary, a single local counsel for each Indemnitee in each relevant jurisdiction that is material to the interest of such Indemnitees (which may be a single local counsel acting in multiple material jurisdictions), and solely in the case of an actual or perceived conflict of interest between Indemnitees (where the Indemnitee affected by such conflict of interest informs the Borrower in writing of such conflict of interest), one additional counsel in each relevant jurisdiction to each affected Indemnitee),</w:t>
      </w:r>
    </w:p>
    <w:p>
      <w:pPr>
        <w:spacing w:after="0" w:line="194" w:lineRule="exact"/>
        <w:rPr>
          <w:sz w:val="20"/>
          <w:szCs w:val="20"/>
          <w:color w:val="auto"/>
        </w:rPr>
      </w:pPr>
    </w:p>
    <w:p>
      <w:pPr>
        <w:ind w:firstLine="436"/>
        <w:spacing w:after="0" w:line="266" w:lineRule="auto"/>
        <w:tabs>
          <w:tab w:leader="none" w:pos="68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w:t>
      </w:r>
    </w:p>
    <w:p>
      <w:pPr>
        <w:spacing w:after="0" w:line="22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release of, or exposure to, any Hazardous Materials on or from any property currently or formerly owned or operated by the Borrower or any other Loan Party, or any Environmental Claim or Environmental Liability of the Borrower or any other Loan Party, or</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8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indemnity shall not, as to any Indemnitee, be available to the extent that a court of competent jurisdiction determines in a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non-appealable judgment that any such liabilities, obligations, losses, damages, penalties, claims, demands, actions, judgments, suits, costs, expenses or disbursements resulted from (i) the gross negligence or willful misconduct of such Indemnitee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00"/>
          </w:cols>
          <w:pgMar w:left="440" w:top="269" w:right="459" w:bottom="1440" w:gutter="0" w:footer="0" w:header="0"/>
        </w:sectPr>
      </w:pPr>
    </w:p>
    <w:bookmarkStart w:id="509" w:name="page510"/>
    <w:bookmarkEnd w:id="50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of any Related Indemnified Person of such Indemnitee or (ii) any dispute solely among Indemnitees or of any Related Indemnified Person of such Indemnitee other than any claims against an Indemnitee in its capacity or in fulfilling its role as the Administrative Agent, the Collateral Agent, an Issuing Bank or a Lead Arranger (or other Agent role) under the Facility and other than any claims arising out of any act or omission of the Borrower or any of their Affiliates. To the extent that the undertakings to indemnify and hold harmless set forth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may be unenforceable in whole or in part because they are violative of any applicable law or public policy, the Borrower shall contribute the maximum portion that they are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Syndtrak or other similar information transmission systems in connection with this Agreement, except to the extent resulting from the willful misconduct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(after the determination of a court of competent jurisdiction, if required pursuant to the terms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shall be paid within ten (10) Business Days after written demand therefor. The agreements in this</w:t>
      </w:r>
    </w:p>
    <w:p>
      <w:pPr>
        <w:spacing w:after="0" w:line="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survive the resignation of the Administrative Agent, the Collateral Agent or any Issuing Bank, replacement of any Lender, the termination of the Aggregate Commitments and the repayment, satisfaction or discharge of all the other Obligations.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not apply to Taxes, except it shall apply to any Taxes that represent losses, claims, damages, etc. arising from a non-Tax claim.</w:t>
      </w:r>
    </w:p>
    <w:p>
      <w:pPr>
        <w:spacing w:after="0" w:line="1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Marshaling; Payments Set Aside</w:t>
      </w:r>
      <w:r>
        <w:rPr>
          <w:rFonts w:ascii="Times New Roman" w:cs="Times New Roman" w:eastAsia="Times New Roman" w:hAnsi="Times New Roman"/>
          <w:sz w:val="18"/>
          <w:szCs w:val="18"/>
          <w:color w:val="auto"/>
        </w:rPr>
        <w:t>.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the Administrative Agent upon demand its applicable share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0980"/>
          </w:cols>
          <w:pgMar w:left="440" w:top="269" w:right="479" w:bottom="1440" w:gutter="0" w:footer="0" w:header="0"/>
        </w:sectPr>
      </w:pPr>
    </w:p>
    <w:bookmarkStart w:id="510" w:name="page511"/>
    <w:bookmarkEnd w:id="510"/>
    <w:p>
      <w:pPr>
        <w:ind w:left="4"/>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duplication) of any amount so recovered from or repaid by the Administrative Agent,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interest thereon from the date of such demand to the date such payment is made at a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equal to the Federal Funds Rate from time to time in effect. The obligations of the Lenders under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left="444" w:right="2320" w:hanging="444"/>
        <w:spacing w:after="0" w:line="490" w:lineRule="auto"/>
        <w:tabs>
          <w:tab w:leader="none" w:pos="258" w:val="left"/>
        </w:tabs>
        <w:numPr>
          <w:ilvl w:val="0"/>
          <w:numId w:val="4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preceding sentence shall survive the payment in full of the Obligations and the termination of this Agreement. SECTION 11.07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ind w:left="4" w:firstLine="436"/>
        <w:spacing w:after="0" w:line="261" w:lineRule="auto"/>
        <w:tabs>
          <w:tab w:leader="none" w:pos="689"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that none of the Borrower may, except as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assign or otherwise transfer any of its rights or obligations hereunder without the prior written consent of the Administrative Agent, the Collateral Agent and each Lender and no Lender may assign or otherwise transfer any of its rights or obligations hereunder except,</w:t>
      </w:r>
    </w:p>
    <w:p>
      <w:pPr>
        <w:spacing w:after="0" w:line="71"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assignee in accordance with the provisions of subsection (b) of this Section,</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participation in accordance with the provisions of subsection (d) of this Section,</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pledge or assignment of a security interest subject to the restrictions of subsection (f) of this Section, or</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72"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SPC in accordance with the provisions of subsection (g) of this Section (and any other attempted assignment or transfer by any party hereto shall be null and void).</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Collateral Agent, the Issuing Banks and the Lenders) any legal or equitable right, remedy or claim under or by reason of this Agreement.</w:t>
      </w:r>
    </w:p>
    <w:p>
      <w:pPr>
        <w:spacing w:after="0" w:line="180" w:lineRule="exact"/>
        <w:rPr>
          <w:sz w:val="20"/>
          <w:szCs w:val="20"/>
          <w:color w:val="auto"/>
        </w:rPr>
      </w:pPr>
    </w:p>
    <w:p>
      <w:pPr>
        <w:ind w:left="4" w:right="120" w:firstLine="436"/>
        <w:spacing w:after="0" w:line="266" w:lineRule="auto"/>
        <w:tabs>
          <w:tab w:leader="none" w:pos="699"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Section 11.07(b)</w:t>
      </w:r>
      <w:r>
        <w:rPr>
          <w:rFonts w:ascii="Times New Roman" w:cs="Times New Roman" w:eastAsia="Times New Roman" w:hAnsi="Times New Roman"/>
          <w:sz w:val="18"/>
          <w:szCs w:val="18"/>
          <w:color w:val="auto"/>
        </w:rPr>
        <w:t xml:space="preserve">, participations in Letters of Credit)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80" w:firstLine="408"/>
        <w:spacing w:after="0" w:line="266" w:lineRule="auto"/>
        <w:tabs>
          <w:tab w:leader="none" w:pos="1680" w:val="left"/>
        </w:tabs>
        <w:numPr>
          <w:ilvl w:val="2"/>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Revolving Loans at the time held by it or in the case of an assignment to a Lender, an Affiliate of a Lender or an Approved Fund, no minimum amount need be assigned; and</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0944"/>
          </w:cols>
          <w:pgMar w:left="436" w:top="267" w:right="519" w:bottom="1440" w:gutter="0" w:footer="0" w:header="0"/>
        </w:sectPr>
      </w:pPr>
    </w:p>
    <w:bookmarkStart w:id="511" w:name="page512"/>
    <w:bookmarkEnd w:id="511"/>
    <w:p>
      <w:pPr>
        <w:ind w:left="540" w:right="200" w:firstLine="408"/>
        <w:spacing w:after="0" w:line="261" w:lineRule="auto"/>
        <w:tabs>
          <w:tab w:leader="none" w:pos="1226"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assignment not described in subsection (b)(i)(A) of this Section, such assignment shall be in an aggregate amount of not less than $5,000,000, unless each of the Administrative Agent, and so long as no Specified Event of Default has occurred and is continuing at the time of such assignment, the Borrower otherwise consent (such consent not to be unreasonably withheld or delayed).</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88"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of Commitments and/or Revolving Loans shall be made as an assignment of a proportionate part of all the assigning Lender’s rights and obligations under this Agreement with respect to the Commitments and/or Revolving Loans being assigned, except that this clause (ii) shall not prohibit any Lender from assigning all or a portion of its rights and obligations among separate Facilities on a non-pro rata basis.</w:t>
      </w:r>
    </w:p>
    <w:p>
      <w:pPr>
        <w:spacing w:after="0" w:line="71" w:lineRule="exact"/>
        <w:rPr>
          <w:rFonts w:ascii="Times New Roman" w:cs="Times New Roman" w:eastAsia="Times New Roman" w:hAnsi="Times New Roman"/>
          <w:sz w:val="18"/>
          <w:szCs w:val="18"/>
          <w:color w:val="auto"/>
        </w:rPr>
      </w:pPr>
    </w:p>
    <w:p>
      <w:pPr>
        <w:ind w:right="340" w:firstLine="419"/>
        <w:spacing w:after="0" w:line="282" w:lineRule="auto"/>
        <w:tabs>
          <w:tab w:leader="none" w:pos="738"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Section 11.07(b)(i)(B)</w:t>
      </w:r>
      <w:r>
        <w:rPr>
          <w:rFonts w:ascii="Times New Roman" w:cs="Times New Roman" w:eastAsia="Times New Roman" w:hAnsi="Times New Roman"/>
          <w:sz w:val="18"/>
          <w:szCs w:val="18"/>
          <w:color w:val="auto"/>
        </w:rPr>
        <w:t xml:space="preserve"> and the following:</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9" w:lineRule="auto"/>
        <w:tabs>
          <w:tab w:leader="none" w:pos="1236" w:val="left"/>
        </w:tabs>
        <w:numPr>
          <w:ilvl w:val="2"/>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Borrower upon not less than ten (10) Business Days’ prior written notice from the assigning Lender to the Borrower of the proposed assignment, the amount of such assigning Lender’s Commitment and Revolving Loans that will be so assigned and the Person that is proposed to receive such assignment (such consent not to be unreasonably withheld or delayed) shall be required unless (1) a Specified Event of Default has occurred and is continuing at the time of such assignment, (2) any other Event of Default has occurred and is continuing that has not been cured to the satisfaction of the Lenders or waived within thirty (30) days of occurrence;</w:t>
      </w:r>
    </w:p>
    <w:p>
      <w:pPr>
        <w:spacing w:after="0" w:line="2"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is made to an existing Lender or an Affiliate of the assigning Lender, or (4) such assignment is made to an</w:t>
      </w:r>
    </w:p>
    <w:p>
      <w:pPr>
        <w:spacing w:after="0" w:line="9" w:lineRule="exact"/>
        <w:rPr>
          <w:sz w:val="20"/>
          <w:szCs w:val="20"/>
          <w:color w:val="auto"/>
        </w:rPr>
      </w:pPr>
    </w:p>
    <w:p>
      <w:pPr>
        <w:ind w:left="540" w:right="120"/>
        <w:spacing w:after="0" w:line="260" w:lineRule="auto"/>
        <w:rPr>
          <w:sz w:val="20"/>
          <w:szCs w:val="20"/>
          <w:color w:val="auto"/>
        </w:rPr>
      </w:pPr>
      <w:r>
        <w:rPr>
          <w:rFonts w:ascii="Times New Roman" w:cs="Times New Roman" w:eastAsia="Times New Roman" w:hAnsi="Times New Roman"/>
          <w:sz w:val="18"/>
          <w:szCs w:val="18"/>
          <w:color w:val="auto"/>
        </w:rPr>
        <w:t xml:space="preserve">Pre-Approved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Borrower does not reject such assignment or otherwise respond within such ten (10) Business Day period, the Borrower shall be deemed to have consented to such assignment;</w:t>
      </w:r>
    </w:p>
    <w:p>
      <w:pPr>
        <w:spacing w:after="0" w:line="73" w:lineRule="exact"/>
        <w:rPr>
          <w:sz w:val="20"/>
          <w:szCs w:val="20"/>
          <w:color w:val="auto"/>
        </w:rPr>
      </w:pPr>
    </w:p>
    <w:p>
      <w:pPr>
        <w:ind w:left="540" w:right="80" w:firstLine="408"/>
        <w:spacing w:after="0" w:line="266" w:lineRule="auto"/>
        <w:tabs>
          <w:tab w:leader="none" w:pos="1226"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it being acknowledged that a failure of any new lender to clear the Administrative Agent’s KYC process shall be deemed reasonable) shall be required if such assignment is to a Person that is not a Lender, an Affiliate of such Lender or an Approved Fund; and</w:t>
      </w:r>
    </w:p>
    <w:p>
      <w:pPr>
        <w:spacing w:after="0" w:line="6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26"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assignments of Revolving Loans and/or Commitments, each Issuing Bank (such consent not to be unreasonably withheld, conditioned or delayed).</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728"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Administrative Agent may, in its sole discretion, elect to waive such processing and recordation fee in the case of any assignment and (B) no processing and recordation fee shall be payable in connection with an assignments by or to a Lead Arranger or its Affiliates. The Eligible Assignee, if it is not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0540"/>
          </w:cols>
          <w:pgMar w:left="880" w:top="269" w:right="479" w:bottom="1440" w:gutter="0" w:footer="0" w:header="0"/>
        </w:sectPr>
      </w:pPr>
    </w:p>
    <w:bookmarkStart w:id="512" w:name="page513"/>
    <w:bookmarkEnd w:id="512"/>
    <w:p>
      <w:pPr>
        <w:ind w:left="440"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Lender, shall deliver to the Administrative Agent an Administrative Questionnaire and any KYC documentation including any tax forms required under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Upon receipt of the processing and recordation fee and any written consent to assignment required by </w:t>
      </w:r>
      <w:r>
        <w:rPr>
          <w:rFonts w:ascii="Times New Roman" w:cs="Times New Roman" w:eastAsia="Times New Roman" w:hAnsi="Times New Roman"/>
          <w:sz w:val="18"/>
          <w:szCs w:val="18"/>
          <w:u w:val="single" w:color="auto"/>
          <w:color w:val="auto"/>
        </w:rPr>
        <w:t>Section 11.07(b)(iii)</w:t>
      </w:r>
      <w:r>
        <w:rPr>
          <w:rFonts w:ascii="Times New Roman" w:cs="Times New Roman" w:eastAsia="Times New Roman" w:hAnsi="Times New Roman"/>
          <w:sz w:val="18"/>
          <w:szCs w:val="18"/>
          <w:color w:val="auto"/>
        </w:rPr>
        <w:t>, the Administrative Agent shall promptly accept such Assignment and Assumption and record the information contained therein in the Register.</w:t>
      </w:r>
    </w:p>
    <w:p>
      <w:pPr>
        <w:spacing w:after="0" w:line="72" w:lineRule="exact"/>
        <w:rPr>
          <w:sz w:val="20"/>
          <w:szCs w:val="20"/>
          <w:color w:val="auto"/>
        </w:rPr>
      </w:pPr>
    </w:p>
    <w:p>
      <w:pPr>
        <w:ind w:left="1120" w:hanging="261"/>
        <w:spacing w:after="0"/>
        <w:tabs>
          <w:tab w:leader="none" w:pos="112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Assignments to Certain Persons</w:t>
      </w:r>
      <w:r>
        <w:rPr>
          <w:rFonts w:ascii="Times New Roman" w:cs="Times New Roman" w:eastAsia="Times New Roman" w:hAnsi="Times New Roman"/>
          <w:sz w:val="18"/>
          <w:szCs w:val="18"/>
          <w:color w:val="auto"/>
        </w:rPr>
        <w:t>. No such assignment shall be made,</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 or any of the Subsidiaries of the Borrower,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Borrower’s Affiliates,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Defaulting Lender or any of its Subsidiaries, or any Person who, upon becoming a Lender hereunder, would constitute any of the foregoing persons described in this clause,</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natural person,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described in the proviso to the definition of “Eligible Assignee”.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Lender shall be entitled to rely conclusively on any Net Short Representation made (or deemed made) to it in any Assignment and Assumption and shall have no duty to inquire as to or investigate the accuracy of any Net Short Representation.</w:t>
      </w:r>
    </w:p>
    <w:p>
      <w:pPr>
        <w:spacing w:after="0" w:line="54" w:lineRule="exact"/>
        <w:rPr>
          <w:sz w:val="20"/>
          <w:szCs w:val="20"/>
          <w:color w:val="auto"/>
        </w:rPr>
      </w:pPr>
    </w:p>
    <w:p>
      <w:pPr>
        <w:ind w:left="440" w:right="20" w:firstLine="419"/>
        <w:spacing w:after="0" w:line="253" w:lineRule="auto"/>
        <w:tabs>
          <w:tab w:leader="none" w:pos="1168"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 Assignments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and each other Lender hereunder (and interest accrued thereon), and (B)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from and after the effective date specified in each Assignment and Assumption, the assignee thereunder shall be a party to this Agreement (except in the case of an assignment to or purchase by the Borrower or any of the Borrower’s Subsidiaries) and, to the extent of the interest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980"/>
          </w:cols>
          <w:pgMar w:left="440" w:top="269" w:right="479" w:bottom="1440" w:gutter="0" w:footer="0" w:header="0"/>
        </w:sectPr>
      </w:pPr>
    </w:p>
    <w:bookmarkStart w:id="513" w:name="page514"/>
    <w:bookmarkEnd w:id="51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assigned by such Assignment and Assumption and as permitted by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Revolving Loan Notes under this Agreement, the Borrower (at their expense) shall execute and deliver a Revolving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2" w:lineRule="exact"/>
        <w:rPr>
          <w:sz w:val="20"/>
          <w:szCs w:val="20"/>
          <w:color w:val="auto"/>
        </w:rPr>
      </w:pPr>
    </w:p>
    <w:p>
      <w:pPr>
        <w:ind w:firstLine="436"/>
        <w:spacing w:after="0" w:line="253" w:lineRule="auto"/>
        <w:tabs>
          <w:tab w:leader="none" w:pos="68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a non-fiduciary agent of the Borrower (and such agency being solely for Tax purposes), shall maintain at one of the Administrative Agent’s Offices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or any Lender (but only, in the case of a Lender at the Administrative Agent’s Office and with respect to any entry relating to such Lender’s Commitments, Loans, Letter of Credit Obligations and other Obligations), at any reasonable time and from time to time upon reasonable prior written notice. This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89"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the Administrative Agent, the Issuing Banks or any other Person sell participations to any Person (other than to (1) a natural person, (2) the Borrower or any of the Borrower’s Affiliates or Subsidiaries, (3) any Disqualified Lender or (4) any Person described in the proviso to the definition of “Eligible Assignee”)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Letters of Credit)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00"/>
          </w:cols>
          <w:pgMar w:left="440" w:top="269" w:right="459" w:bottom="1440" w:gutter="0" w:footer="0" w:header="0"/>
        </w:sectPr>
      </w:pPr>
    </w:p>
    <w:bookmarkStart w:id="514" w:name="page515"/>
    <w:bookmarkEnd w:id="514"/>
    <w:p>
      <w:pPr>
        <w:ind w:left="4" w:hanging="4"/>
        <w:spacing w:after="0" w:line="252"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thereof) that directly and adversely affects such Participant. Subject to subsection (e)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(subject to the requirements of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(it being understood that the documentation required under such Sections shall be delivered to the participating Lender)),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(through the applicable Lender) to the same extent as if it were a Lender and had acquired its interest by assignment pursuant to subsection (b)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To the extent permitted by applicable Law, each Participant also shall be entitled to the benefits of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as though it were a Lender. To the extent that any participation is purported to be made to a Disqualified Lender (other than a Net Short Lender) or to any Person that was (at the time of such participation) a Net Short Lender on a pro forma basis for such participation, such transaction shall be subject to the applicable provisions of </w:t>
      </w:r>
      <w:r>
        <w:rPr>
          <w:rFonts w:ascii="Times New Roman" w:cs="Times New Roman" w:eastAsia="Times New Roman" w:hAnsi="Times New Roman"/>
          <w:sz w:val="18"/>
          <w:szCs w:val="18"/>
          <w:u w:val="single" w:color="auto"/>
          <w:color w:val="auto"/>
        </w:rPr>
        <w:t>Section 11.28(a)</w:t>
      </w:r>
      <w:r>
        <w:rPr>
          <w:rFonts w:ascii="Times New Roman" w:cs="Times New Roman" w:eastAsia="Times New Roman" w:hAnsi="Times New Roman"/>
          <w:sz w:val="18"/>
          <w:szCs w:val="18"/>
          <w:color w:val="auto"/>
        </w:rPr>
        <w:t xml:space="preserve"> (and the Borrower shall be entitled to seek specific performance in any applicable court of law or equity to enforce this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be entitled to rely conclusively on any Net Short Representation made (or deemed made) to it in any agreement or instrument documenting or otherwise evidencing such participation and shall have no duty to inquire as to or investigate the accuracy of any Net Short Representation therein or provided in connection with such participation.</w:t>
      </w:r>
    </w:p>
    <w:p>
      <w:pPr>
        <w:spacing w:after="0" w:line="194"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-3323590</wp:posOffset>
            </wp:positionV>
            <wp:extent cx="15494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15494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-2912110</wp:posOffset>
            </wp:positionV>
            <wp:extent cx="1619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004"/>
          </w:cols>
          <w:pgMar w:left="436" w:top="269" w:right="459" w:bottom="1440" w:gutter="0" w:footer="0" w:header="0"/>
        </w:sectPr>
      </w:pPr>
    </w:p>
    <w:bookmarkStart w:id="515" w:name="page516"/>
    <w:bookmarkEnd w:id="515"/>
    <w:p>
      <w:pPr>
        <w:ind w:left="-20" w:right="80" w:firstLine="436"/>
        <w:spacing w:after="0" w:line="281" w:lineRule="auto"/>
        <w:tabs>
          <w:tab w:leader="none" w:pos="645"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Loans</w:t>
      </w:r>
      <w:r>
        <w:rPr>
          <w:rFonts w:ascii="Times New Roman" w:cs="Times New Roman" w:eastAsia="Times New Roman" w:hAnsi="Times New Roman"/>
          <w:sz w:val="17"/>
          <w:szCs w:val="17"/>
          <w:color w:val="auto"/>
        </w:rPr>
        <w:t xml:space="preserve">. Any Lender may, at any time without the consent of the Borrower or the Administrative Agent, pledge or assign a security interest in all or any portion of its rights under this Agreement (including under its Revolving Loan Notes, if any) to secure obligations of such Lender, including any pledge or assignment to secure obligations to a Federal Reserve Bank or any other central bank;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60" w:lineRule="exact"/>
        <w:rPr>
          <w:rFonts w:ascii="Times New Roman" w:cs="Times New Roman" w:eastAsia="Times New Roman" w:hAnsi="Times New Roman"/>
          <w:sz w:val="17"/>
          <w:szCs w:val="17"/>
          <w:color w:val="auto"/>
        </w:rPr>
      </w:pPr>
    </w:p>
    <w:p>
      <w:pPr>
        <w:ind w:left="-20" w:firstLine="436"/>
        <w:spacing w:after="0" w:line="252" w:lineRule="auto"/>
        <w:tabs>
          <w:tab w:leader="none" w:pos="67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 Funding Vehicles</w:t>
      </w:r>
      <w:r>
        <w:rPr>
          <w:rFonts w:ascii="Times New Roman" w:cs="Times New Roman" w:eastAsia="Times New Roman" w:hAnsi="Times New Roman"/>
          <w:sz w:val="18"/>
          <w:szCs w:val="18"/>
          <w:color w:val="auto"/>
        </w:rPr>
        <w:t>. 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their obligations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w:t>
      </w:r>
    </w:p>
    <w:p>
      <w:pPr>
        <w:spacing w:after="0" w:line="19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0960"/>
          </w:cols>
          <w:pgMar w:left="460" w:top="269" w:right="479" w:bottom="1440" w:gutter="0" w:footer="0" w:header="0"/>
        </w:sectPr>
      </w:pPr>
    </w:p>
    <w:bookmarkStart w:id="516" w:name="page517"/>
    <w:bookmarkEnd w:id="516"/>
    <w:p>
      <w:pPr>
        <w:ind w:firstLine="436"/>
        <w:spacing w:after="0" w:line="252" w:lineRule="auto"/>
        <w:tabs>
          <w:tab w:leader="none" w:pos="69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of Issuing Bank</w:t>
      </w:r>
      <w:r>
        <w:rPr>
          <w:rFonts w:ascii="Times New Roman" w:cs="Times New Roman" w:eastAsia="Times New Roman" w:hAnsi="Times New Roman"/>
          <w:sz w:val="18"/>
          <w:szCs w:val="18"/>
          <w:color w:val="auto"/>
        </w:rPr>
        <w:t xml:space="preserve">. Notwithstanding anything to the contrary contained herein, any Issuing Bank may, upon thirty (30) days’ notice to the Borrower and the Revolving Lenders, resign as an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hereunder. In the event of any such resignation of an Issuing Bank, the Borrower shall be entitled to appoint from among the Lenders willing to accept such appointment a successor Issuing Bank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failure by the Borrower to appoint any such successor shall affect the resignation of the relevant Issuing Bank,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Letter of Credit Obligations with respect thereto (including the right to require the Lenders to make Base Rate Loans or fund risk participations in Letters of Credit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Issuing Bank hereunder (which successor shall in all cases be a Lender other than a Defaulting Lender), (i) such successor shall succeed to and become vested with all of the rights, powers, privileges and duties of the retiring Issuing Bank, (ii) the retiring Issuing Bank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9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the Lead Arranger, the Issuing Banks and the Lenders agrees to maintain the confidentiality of the Information in accordance with its customary procedures (as set forth below), except that Information may be disclosed,</w:t>
      </w:r>
    </w:p>
    <w:p>
      <w:pPr>
        <w:spacing w:after="0" w:line="176" w:lineRule="exact"/>
        <w:rPr>
          <w:sz w:val="20"/>
          <w:szCs w:val="20"/>
          <w:color w:val="auto"/>
        </w:rPr>
      </w:pPr>
    </w:p>
    <w:p>
      <w:pPr>
        <w:ind w:right="120" w:firstLine="436"/>
        <w:spacing w:after="0" w:line="256" w:lineRule="auto"/>
        <w:tabs>
          <w:tab w:leader="none" w:pos="68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but only to the extent that a list of such Disqualified Lenders is available to all Lenders upon request),</w:t>
      </w:r>
    </w:p>
    <w:p>
      <w:pPr>
        <w:spacing w:after="0" w:line="187"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59"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applicable laws or regulations or by any subpoena or similar legal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the Collateral Agent, such Lead Arranger or such Lender or Issuing Bank,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00"/>
          </w:cols>
          <w:pgMar w:left="440" w:top="269" w:right="459" w:bottom="1440" w:gutter="0" w:footer="0" w:header="0"/>
        </w:sectPr>
      </w:pPr>
    </w:p>
    <w:bookmarkStart w:id="517" w:name="page518"/>
    <w:bookmarkEnd w:id="517"/>
    <w:p>
      <w:pPr>
        <w:jc w:val="both"/>
        <w:ind w:firstLine="436"/>
        <w:spacing w:after="0" w:line="261" w:lineRule="auto"/>
        <w:tabs>
          <w:tab w:leader="none" w:pos="69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any other party hereto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but only to the extent the list of such Disqualified Lenders is available to all Lenders upon request),</w:t>
      </w:r>
    </w:p>
    <w:p>
      <w:pPr>
        <w:spacing w:after="0" w:line="179" w:lineRule="exact"/>
        <w:rPr>
          <w:rFonts w:ascii="Times New Roman" w:cs="Times New Roman" w:eastAsia="Times New Roman" w:hAnsi="Times New Roman"/>
          <w:sz w:val="18"/>
          <w:szCs w:val="18"/>
          <w:color w:val="auto"/>
        </w:rPr>
      </w:pPr>
    </w:p>
    <w:p>
      <w:pPr>
        <w:ind w:right="420" w:firstLine="436"/>
        <w:spacing w:after="0" w:line="282" w:lineRule="auto"/>
        <w:tabs>
          <w:tab w:leader="none" w:pos="68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1" w:lineRule="exact"/>
        <w:rPr>
          <w:rFonts w:ascii="Times New Roman" w:cs="Times New Roman" w:eastAsia="Times New Roman" w:hAnsi="Times New Roman"/>
          <w:sz w:val="18"/>
          <w:szCs w:val="18"/>
          <w:color w:val="auto"/>
        </w:rPr>
      </w:pPr>
    </w:p>
    <w:p>
      <w:pPr>
        <w:ind w:right="120" w:firstLine="436"/>
        <w:spacing w:after="0" w:line="255" w:lineRule="auto"/>
        <w:tabs>
          <w:tab w:leader="none" w:pos="66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 agreement containing provisions at least as restrictive as those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(it being understood that in no event shall such disclosure be made to any Disqualified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but only to the extent that a list of such Disqualified Lenders is available to all Lenders upon request), to (i)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assignee of or Participant in, or any prospective assignee of or Participant in, any of its rights or obligations under this Agreement or any Eligible Assignee invited to be an Additional Lender or (ii) any actual or prospective direct or indirect counterparty (or its advisors) to any swap or derivative transaction relating to the Borrower or any of their Subsidiaries or any of their respective obligations,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w:t>
      </w:r>
    </w:p>
    <w:p>
      <w:pPr>
        <w:spacing w:after="0" w:line="22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when required by it (it being understood that, prior to any such disclosure, such rating agency shall undertake to preserve the confidentiality of any Information relating to the Loan Parties received by it from such Lender),</w:t>
      </w:r>
    </w:p>
    <w:p>
      <w:pPr>
        <w:spacing w:after="0" w:line="159" w:lineRule="exact"/>
        <w:rPr>
          <w:rFonts w:ascii="Times New Roman" w:cs="Times New Roman" w:eastAsia="Times New Roman" w:hAnsi="Times New Roman"/>
          <w:sz w:val="18"/>
          <w:szCs w:val="18"/>
          <w:color w:val="auto"/>
        </w:rPr>
      </w:pPr>
    </w:p>
    <w:p>
      <w:pPr>
        <w:jc w:val="both"/>
        <w:ind w:right="180" w:firstLine="436"/>
        <w:spacing w:after="0" w:line="267" w:lineRule="auto"/>
        <w:tabs>
          <w:tab w:leader="none" w:pos="65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credit insurance providers of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disclosure of any proprietary or non-public information relating to the Company, other than any Loan Document, in connection with this clause (i), the credit insurance provider shall enter into an agreement containing confidentiality obligations to the disclosing Lender on terms similar to this Agreement, or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or (ii) becomes available to the Administrative Agent, the Collateral Agent, any Lead Arranger, any Lender, any Issuing Bank or any of their respective Affiliates on a non-confidential basis from a source other than the Borrower or any Subsidiary thereof, and which source is not known by such Person to be subject to a confidentiality restriction in respect thereof in favor of the Borrower or any Affiliate of the Borrower.</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each of the Administrative Agent, the Collateral Agent, the Lead Arranger, the Issuing Bank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 the Issuing Banks and the Lenders in connection with the administration and management of this Agreement and the other Loan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0980"/>
          </w:cols>
          <w:pgMar w:left="440" w:top="269" w:right="479" w:bottom="1440" w:gutter="0" w:footer="0" w:header="0"/>
        </w:sectPr>
      </w:pPr>
    </w:p>
    <w:bookmarkStart w:id="518" w:name="page519"/>
    <w:bookmarkEnd w:id="518"/>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the Borrower or any Subsidiary after the date hereof shall be deemed confidential unless such information is clearly identified at the time of delivery as not being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Collateral Agent, the Lead Arranger and the Lenders acknowledges that (A) the Information may include Private-Side Information concerning the Borrower or a Subsidiary, as the case may be, (B) it has developed compliance procedures regarding the use of Private-Side Information and (C) it will handle such Private-Side Information in accordance with applicable Law, including United States federal and state securities laws.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therein, nothing in any Loan Document shall require the Borrower or any of its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If an Event of Default shall have occurred and be continuing, each Lender and each Issuing Bank and each of their respective Affiliates is hereby authorized at any time and from time to time, without prior notice to the Administrative Agent, any Loan Party or to any other Person,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to or for the credit or the account of the Borrower or any other Loan Party against any and all of the obligations of such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of such Borrower or such Loan Party may be contingent or unmatured or are owed to a branch or office of such Lender or such Issuing Bank different from the branch or office holding such deposit or obligated on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0980"/>
          </w:cols>
          <w:pgMar w:left="440" w:top="265" w:right="479" w:bottom="1440" w:gutter="0" w:footer="0" w:header="0"/>
        </w:sectPr>
      </w:pPr>
    </w:p>
    <w:bookmarkStart w:id="519" w:name="page520"/>
    <w:bookmarkEnd w:id="519"/>
    <w:p>
      <w:pPr>
        <w:ind w:right="1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Section are in addition to other rights and remedies (including other rights of set-off) that such Lender or such Issuing Bank or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6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in different counterparts), each of which when so executed shall be deemed to be an original and all of which when taken together shall constitute one and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This Agreement and the other Loan Documents constitute the entire contract among the parties relating to the subject matter hereof and supersede any and all previous agreements and understandings, oral or written, relating to the subject matter 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00"/>
          </w:cols>
          <w:pgMar w:left="440" w:top="269" w:right="459" w:bottom="1440" w:gutter="0" w:footer="0" w:header="0"/>
        </w:sectPr>
      </w:pPr>
    </w:p>
    <w:bookmarkStart w:id="520" w:name="page521"/>
    <w:bookmarkEnd w:id="520"/>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represents and warrants to the other parties hereto that it has the corporate capacity and authority to execute this Agreement through electronic means and there are no restrictions for doing so in such party’s constitutive documents.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“signed,” “signature,” and words of like import in this Agreement, any Assignment and Assumption,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as the case may be, relating to the electronic execution of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and the agreements of the Lenders set forth in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xml:space="preserve"> shall survive the satisfaction of the Termination Conditions, and the termination hereof.</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any Issuing Bank, as applicable, then such provisions shall be deemed to be in effect only to the extent not so limited.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0980"/>
          </w:cols>
          <w:pgMar w:left="440" w:top="269" w:right="479" w:bottom="1440" w:gutter="0" w:footer="0" w:header="0"/>
        </w:sectPr>
      </w:pPr>
    </w:p>
    <w:bookmarkStart w:id="521" w:name="page522"/>
    <w:bookmarkEnd w:id="5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61" w:lineRule="auto"/>
        <w:tabs>
          <w:tab w:leader="none" w:pos="68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COLLATERAL DOCUMENT GOVERNED BY A LAW OTHER THAN THE LAWS OF THE STATE OF NEW YORK (INCLUDING ANY VESSEL MORTGAGE) OR WITH RESPECT TO ANY COLLATERAL SUBJECT THERETO), OR FOR RECOGNITION OR ENFORCEMENT OF ANY JUDGMENT, AND EACH OF THE PARTIES HERETO (AND BY ITS ACCEPTANCE OF ITS APPOINTMENT IN SUCH CAPACITY, EACH LEAD 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0"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000"/>
          </w:cols>
          <w:pgMar w:left="440" w:top="269" w:right="459" w:bottom="1440" w:gutter="0" w:footer="0" w:header="0"/>
        </w:sectPr>
      </w:pPr>
    </w:p>
    <w:bookmarkStart w:id="522" w:name="page523"/>
    <w:bookmarkEnd w:id="52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11.16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xml:space="preserve">.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THAT EACH HAS ALREADY RELIED ON THIS WAIVER IN ENTERING INTO THIS AGREEMENT, AND THAT EACH WILL CONTINUE TO RELY ON THIS WAIVER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AND EXECUTED BY EACH OF THE PARTIES HERETO AND THE LEAD ARRANGER),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20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000"/>
          </w:cols>
          <w:pgMar w:left="440" w:top="269" w:right="459" w:bottom="1440" w:gutter="0" w:footer="0" w:header="0"/>
        </w:sectPr>
      </w:pPr>
    </w:p>
    <w:bookmarkStart w:id="523" w:name="page524"/>
    <w:bookmarkEnd w:id="523"/>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11.18 </w:t>
      </w:r>
      <w:r>
        <w:rPr>
          <w:rFonts w:ascii="Times New Roman" w:cs="Times New Roman" w:eastAsia="Times New Roman" w:hAnsi="Times New Roman"/>
          <w:sz w:val="18"/>
          <w:szCs w:val="18"/>
          <w:u w:val="single" w:color="auto"/>
          <w:color w:val="auto"/>
        </w:rPr>
        <w:t>Use of Name, Logo, Etc</w:t>
      </w:r>
      <w:r>
        <w:rPr>
          <w:rFonts w:ascii="Times New Roman" w:cs="Times New Roman" w:eastAsia="Times New Roman" w:hAnsi="Times New Roman"/>
          <w:sz w:val="18"/>
          <w:szCs w:val="18"/>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trademarks or logos are used solely in a manner that is not intended to or reasonably likely to harm or disparage the Borrower or any of their Subsidiaries or the reputation or goodwill of any of them. Such consent shall remain effective until revoked by such Loan Party in writing to the Administrative Agent and such Lead Arranger, as applicable.</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Agents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USA PATRIOT Act. Each Loan Party shall, promptly following a request by the Agents or any Lender, provide all documentation and other information that the Agents or such Lender requests in order to comply with its ongoing obligations under applicable “know your customer” and anti-money laundering rules and regulations, including the USA PATRIOT Act.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The Collateral Agent shall in no event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civil or military disturbances, nuclear or natural catastrophes or acts of God, and interruptions, loss or malfunctions of utilities, communications or computer (software and hardware) services or the unavailability of the Federal Reserve Bank wire or telex or other wire or communication facility.</w:t>
      </w:r>
    </w:p>
    <w:p>
      <w:pPr>
        <w:spacing w:after="0" w:line="183" w:lineRule="exact"/>
        <w:rPr>
          <w:sz w:val="20"/>
          <w:szCs w:val="20"/>
          <w:color w:val="auto"/>
        </w:rPr>
      </w:pPr>
    </w:p>
    <w:p>
      <w:pPr>
        <w:jc w:val="both"/>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11.21 </w:t>
      </w:r>
      <w:r>
        <w:rPr>
          <w:rFonts w:ascii="Times New Roman" w:cs="Times New Roman" w:eastAsia="Times New Roman" w:hAnsi="Times New Roman"/>
          <w:sz w:val="17"/>
          <w:szCs w:val="17"/>
          <w:u w:val="single" w:color="auto"/>
          <w:color w:val="auto"/>
        </w:rPr>
        <w:t>Collateral Agent Merger</w:t>
      </w:r>
      <w:r>
        <w:rPr>
          <w:rFonts w:ascii="Times New Roman" w:cs="Times New Roman" w:eastAsia="Times New Roman" w:hAnsi="Times New Roman"/>
          <w:sz w:val="17"/>
          <w:szCs w:val="17"/>
          <w:color w:val="auto"/>
        </w:rPr>
        <w:t>. Any organization or entity into which the Collateral Agent may be converted or merged, or with which it may be consolidated, or to which it may sell or transfer all or substantially all of its corporate trust business and assets as a whole or substantially as a whole, or any organization or entity resulting from any such conversion, sale, merger, consolidation or transfer to which the Collateral Agent is a party, will be and become the successor to the Collateral Agent under this Agreement and will have and succeed to the rights, powers, duties, immunities and privileges as its predecessor, without the execution or filing of any instrument or paper or the performance of any further act.</w:t>
      </w:r>
    </w:p>
    <w:p>
      <w:pPr>
        <w:spacing w:after="0" w:line="16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(AND BY ITS ACCEPTANCE OF ITS APPOINTMENT IN SUCH CAPACITY, EACH LEAD ARRANGER)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000"/>
          </w:cols>
          <w:pgMar w:left="440" w:top="269" w:right="459" w:bottom="1440" w:gutter="0" w:footer="0" w:header="0"/>
        </w:sectPr>
      </w:pPr>
    </w:p>
    <w:bookmarkStart w:id="524" w:name="page525"/>
    <w:bookmarkEnd w:id="52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11.23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transactions contemplated by the Loan Documents (including the exercise of rights and remedies hereunder and thereunder) are arm’s-length commercial transactions between the Agents, the Lenders, the Issuing Banks and the Lead Arranger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the Issuing Banks and the Lead Arranger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 (ii) none of the Agents, the Issuing Banks, the Lead Arranger nor any Lender has any obligation to the Borrower or any of its Affiliates with respect to the transactions contemplated hereby except those obligations expressly set forth herein and in the other Loan Documents; and (c) the Agents, the Issuing Banks, the Lead Arranger, the Lenders and their respective Affiliates may be engaged in a broad range of transactions that involve economic interests that conflict with those of the Loan Parties, their stockholders and/or their affiliates, and none of the Agents, the Issuing Banks, the Lead Arranger nor any Lender has any obligation to disclose any of such interests to the Borrower or any of its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Lead Arranger or any Lender with respect to any breach or alleged breach of agency or fiduciary duty in connection with any aspect of any transaction contemplated hereby.</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11.24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when it shall have been executed by the Borrower and the Administrative Agent and the Administrative Agent shall have been notified by each Lender and each Issuing Bank that each such Lender or each such Issuing Bank has executed it and thereafter shall be binding upon and inure to the benefit of the Borrower, each Agent, each Lender and each Issuing Bank and their respective successors and assigns.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11.25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The obligations of the Lenders hereunder are several and not joint and no Lender shall be responsible for the obligations or—Commitments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000"/>
          </w:cols>
          <w:pgMar w:left="440" w:top="269" w:right="459" w:bottom="1440" w:gutter="0" w:footer="0" w:header="0"/>
        </w:sectPr>
      </w:pPr>
    </w:p>
    <w:bookmarkStart w:id="525" w:name="page526"/>
    <w:bookmarkEnd w:id="525"/>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340" w:firstLine="436"/>
        <w:spacing w:after="0" w:line="282" w:lineRule="auto"/>
        <w:tabs>
          <w:tab w:leader="none" w:pos="68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11.25</w:t>
      </w:r>
      <w:r>
        <w:rPr>
          <w:rFonts w:ascii="Times New Roman" w:cs="Times New Roman" w:eastAsia="Times New Roman" w:hAnsi="Times New Roman"/>
          <w:sz w:val="18"/>
          <w:szCs w:val="18"/>
          <w:color w:val="auto"/>
        </w:rPr>
        <w:t xml:space="preserve"> are intended to comply with, and shall be interpreted in light of, Article 55 of Directive 2014/59/EU of the European Parliament and of the Council of the European Union.</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11.28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(a) 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000"/>
          </w:cols>
          <w:pgMar w:left="440" w:top="269" w:right="459" w:bottom="1440" w:gutter="0" w:footer="0" w:header="0"/>
        </w:sectPr>
      </w:pPr>
    </w:p>
    <w:bookmarkStart w:id="526" w:name="page527"/>
    <w:bookmarkEnd w:id="5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11.30 </w:t>
      </w:r>
      <w:r>
        <w:rPr>
          <w:rFonts w:ascii="Times New Roman" w:cs="Times New Roman" w:eastAsia="Times New Roman" w:hAnsi="Times New Roman"/>
          <w:sz w:val="18"/>
          <w:szCs w:val="18"/>
          <w:u w:val="single" w:color="auto"/>
          <w:color w:val="auto"/>
        </w:rPr>
        <w:t>Disqualified Lenders and Net Short Positions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Disqualified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assignment or participation is made or purported to be made to a Disqualified Lender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(notwithstanding the other restrictions in this Agreement with respect to Disqualified Lenders), or if any Lender or Participant becomes a Disqualified Lender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in each case, without limiting any other provision of the Loan Documents,</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76" w:val="left"/>
        </w:tabs>
        <w:numPr>
          <w:ilvl w:val="2"/>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Eligible Assignee or the Borrower, and</w:t>
      </w:r>
    </w:p>
    <w:p>
      <w:pPr>
        <w:spacing w:after="0" w:line="67" w:lineRule="exact"/>
        <w:rPr>
          <w:rFonts w:ascii="Times New Roman" w:cs="Times New Roman" w:eastAsia="Times New Roman" w:hAnsi="Times New Roman"/>
          <w:sz w:val="18"/>
          <w:szCs w:val="18"/>
          <w:color w:val="auto"/>
        </w:rPr>
      </w:pPr>
    </w:p>
    <w:p>
      <w:pPr>
        <w:ind w:left="980" w:right="220" w:firstLine="408"/>
        <w:spacing w:after="0" w:line="312" w:lineRule="auto"/>
        <w:tabs>
          <w:tab w:leader="none" w:pos="1666" w:val="left"/>
        </w:tabs>
        <w:numPr>
          <w:ilvl w:val="2"/>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the right to prepay all or any portion of the Loans and Commitments then owned by such Disqualified Lender (or held as a participation), and if applicable, terminate the Commitments of such Disqualified Lender, in whole or in part.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000"/>
          </w:cols>
          <w:pgMar w:left="440" w:top="265" w:right="459" w:bottom="1440" w:gutter="0" w:footer="0" w:header="0"/>
        </w:sectPr>
      </w:pPr>
    </w:p>
    <w:bookmarkStart w:id="527" w:name="page528"/>
    <w:bookmarkEnd w:id="527"/>
    <w:p>
      <w:pPr>
        <w:ind w:left="440" w:right="80" w:firstLine="419"/>
        <w:spacing w:after="0" w:line="256" w:lineRule="auto"/>
        <w:tabs>
          <w:tab w:leader="none" w:pos="1128"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assignment or prepayment shall be made in exchange for an amount equal to the lesser of (A) the face principal amount of the Loans so assigned and (B) the amount that such Disqualified Lender paid to acquire such Commitments and/or Loans,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p>
    <w:p>
      <w:pPr>
        <w:spacing w:after="0" w:line="79" w:lineRule="exact"/>
        <w:rPr>
          <w:rFonts w:ascii="Times New Roman" w:cs="Times New Roman" w:eastAsia="Times New Roman" w:hAnsi="Times New Roman"/>
          <w:sz w:val="18"/>
          <w:szCs w:val="18"/>
          <w:color w:val="auto"/>
        </w:rPr>
      </w:pPr>
    </w:p>
    <w:p>
      <w:pPr>
        <w:ind w:left="440" w:firstLine="419"/>
        <w:spacing w:after="0" w:line="253" w:lineRule="auto"/>
        <w:tabs>
          <w:tab w:leader="none" w:pos="1178"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be entitled to seek specific performance in any applicable court of law or equity to enforce this </w:t>
      </w:r>
      <w:r>
        <w:rPr>
          <w:rFonts w:ascii="Times New Roman" w:cs="Times New Roman" w:eastAsia="Times New Roman" w:hAnsi="Times New Roman"/>
          <w:sz w:val="18"/>
          <w:szCs w:val="18"/>
          <w:u w:val="single" w:color="auto"/>
          <w:color w:val="auto"/>
        </w:rPr>
        <w:t>Section 11.28</w:t>
      </w:r>
      <w:r>
        <w:rPr>
          <w:rFonts w:ascii="Times New Roman" w:cs="Times New Roman" w:eastAsia="Times New Roman" w:hAnsi="Times New Roman"/>
          <w:sz w:val="18"/>
          <w:szCs w:val="18"/>
          <w:color w:val="auto"/>
        </w:rPr>
        <w:t xml:space="preserve">. In addition, in connection with any such assignment, (A) 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 (1) the date on which the replacement Lender executes and delivers such Assignment and Assumption and/or such other documentation and (2) the date as of which such Disqualified Lender shall be paid by the assignee Lender (or, at its option, the Borrower) the amount required pursuant to this </w:t>
      </w:r>
      <w:r>
        <w:rPr>
          <w:rFonts w:ascii="Times New Roman" w:cs="Times New Roman" w:eastAsia="Times New Roman" w:hAnsi="Times New Roman"/>
          <w:sz w:val="18"/>
          <w:szCs w:val="18"/>
          <w:u w:val="single" w:color="auto"/>
          <w:color w:val="auto"/>
        </w:rPr>
        <w:t>Section 11.28</w:t>
      </w:r>
      <w:r>
        <w:rPr>
          <w:rFonts w:ascii="Times New Roman" w:cs="Times New Roman" w:eastAsia="Times New Roman" w:hAnsi="Times New Roman"/>
          <w:sz w:val="18"/>
          <w:szCs w:val="18"/>
          <w:color w:val="auto"/>
        </w:rPr>
        <w:t>, then such Disqualified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 (B) each Lender (whether or not then a party hereto) agrees to disclose to the Borrower the amount that the applicable Disqualified Lender paid to acquire Commitments and/or Loans from such Lender and (C) each Lender that is a Disqualified Lender agrees to disclose to the Borrower the amount it paid to acquire the Commitments and/or Loans held by it.</w:t>
      </w:r>
    </w:p>
    <w:p>
      <w:pPr>
        <w:spacing w:after="0" w:line="189"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Consents and Waivers under the Loan Documents</w:t>
      </w:r>
      <w:r>
        <w:rPr>
          <w:rFonts w:ascii="Times New Roman" w:cs="Times New Roman" w:eastAsia="Times New Roman" w:hAnsi="Times New Roman"/>
          <w:sz w:val="18"/>
          <w:szCs w:val="18"/>
          <w:color w:val="auto"/>
        </w:rPr>
        <w:t xml:space="preserve">. No Net Short Lender shall have the right to approve or disapprove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Loan Document. In connection with any determination as to whether the requisite Lenders (including whether the Required Lenders) have provided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Short Lenders shall not be considered, and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Short Lenders shall be deemed to have consented to any such amendment, waiver or consent with respect to its interest as a Lender in the same proportion as the allocation of voting with respect to such matter by Lenders who are not Net Short Lenders.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Each Lender that is not an Unrestricted Lender that delivers a written consent to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000"/>
          </w:cols>
          <w:pgMar w:left="440" w:top="269" w:right="459" w:bottom="1440" w:gutter="0" w:footer="0" w:header="0"/>
        </w:sectPr>
      </w:pPr>
    </w:p>
    <w:bookmarkStart w:id="528" w:name="page529"/>
    <w:bookmarkEnd w:id="528"/>
    <w:p>
      <w:pPr>
        <w:ind w:left="-60" w:right="60" w:firstLine="436"/>
        <w:spacing w:after="0" w:line="255" w:lineRule="auto"/>
        <w:tabs>
          <w:tab w:leader="none" w:pos="62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on Rights and Privileges of Disqualified Lenders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11.01(i)</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11.28(b)(ii)</w:t>
      </w:r>
      <w:r>
        <w:rPr>
          <w:rFonts w:ascii="Times New Roman" w:cs="Times New Roman" w:eastAsia="Times New Roman" w:hAnsi="Times New Roman"/>
          <w:sz w:val="18"/>
          <w:szCs w:val="18"/>
          <w:color w:val="auto"/>
        </w:rPr>
        <w:t xml:space="preserve">, no Disqualified Lenders shall have the right to, and each such Person covenants and agrees not to, instruct the Administrative Agent, Collateral Agent or any other Person in writing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cs="Times New Roman" w:eastAsia="Times New Roman" w:hAnsi="Times New Roman"/>
          <w:sz w:val="18"/>
          <w:szCs w:val="18"/>
          <w:u w:val="single" w:color="auto"/>
          <w:color w:val="auto"/>
        </w:rPr>
        <w:t>Section 11.01(i)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11.28(b)(ii)</w:t>
      </w:r>
      <w:r>
        <w:rPr>
          <w:rFonts w:ascii="Times New Roman" w:cs="Times New Roman" w:eastAsia="Times New Roman" w:hAnsi="Times New Roman"/>
          <w:sz w:val="18"/>
          <w:szCs w:val="18"/>
          <w:color w:val="auto"/>
        </w:rPr>
        <w:t>), Information and Lender meetings and shall be deemed for all purposes to be, at most, a Defaulting Lender until such time as such Disqualified Lender no longer owns any Loans or Commitments.</w:t>
      </w:r>
    </w:p>
    <w:p>
      <w:pPr>
        <w:spacing w:after="0" w:line="188"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0" w:right="280" w:firstLine="436"/>
        <w:spacing w:after="0" w:line="266" w:lineRule="auto"/>
        <w:tabs>
          <w:tab w:leader="none" w:pos="62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11.28</w:t>
      </w:r>
      <w:r>
        <w:rPr>
          <w:rFonts w:ascii="Times New Roman" w:cs="Times New Roman" w:eastAsia="Times New Roman" w:hAnsi="Times New Roman"/>
          <w:sz w:val="18"/>
          <w:szCs w:val="18"/>
          <w:color w:val="auto"/>
        </w:rPr>
        <w:t xml:space="preserve"> shall apply and survive with respect to each Lender and Participant notwithstanding that any such Person may have ceased to be a Lender or Participant (or any purported participation to any such Lender shall be void) hereunder or this Agreement may have been terminated.</w:t>
      </w:r>
    </w:p>
    <w:p>
      <w:pPr>
        <w:spacing w:after="0" w:line="175" w:lineRule="exact"/>
        <w:rPr>
          <w:rFonts w:ascii="Times New Roman" w:cs="Times New Roman" w:eastAsia="Times New Roman" w:hAnsi="Times New Roman"/>
          <w:sz w:val="18"/>
          <w:szCs w:val="18"/>
          <w:color w:val="auto"/>
        </w:rPr>
      </w:pPr>
    </w:p>
    <w:p>
      <w:pPr>
        <w:ind w:left="600" w:hanging="224"/>
        <w:spacing w:after="0"/>
        <w:tabs>
          <w:tab w:leader="none" w:pos="60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80" w:firstLine="419"/>
        <w:spacing w:after="0" w:line="258" w:lineRule="auto"/>
        <w:tabs>
          <w:tab w:leader="none" w:pos="1018"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w:t>
      </w:r>
    </w:p>
    <w:p>
      <w:pPr>
        <w:spacing w:after="0" w:line="75" w:lineRule="exact"/>
        <w:rPr>
          <w:rFonts w:ascii="Times New Roman" w:cs="Times New Roman" w:eastAsia="Times New Roman" w:hAnsi="Times New Roman"/>
          <w:sz w:val="18"/>
          <w:szCs w:val="18"/>
          <w:color w:val="auto"/>
        </w:rPr>
      </w:pPr>
    </w:p>
    <w:p>
      <w:pPr>
        <w:ind w:left="380" w:right="440" w:firstLine="419"/>
        <w:spacing w:after="0" w:line="282" w:lineRule="auto"/>
        <w:tabs>
          <w:tab w:leader="none" w:pos="1068"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 Lists</w:t>
      </w:r>
      <w:r>
        <w:rPr>
          <w:rFonts w:ascii="Times New Roman" w:cs="Times New Roman" w:eastAsia="Times New Roman" w:hAnsi="Times New Roman"/>
          <w:sz w:val="18"/>
          <w:szCs w:val="18"/>
          <w:color w:val="auto"/>
        </w:rPr>
        <w:t>. The Administrative Agent shall have no responsibility or liability for monitoring or enforcing the list of Disqualified Lenders or for any assignment or participation to a Disqualified Lender.</w:t>
      </w:r>
    </w:p>
    <w:p>
      <w:pPr>
        <w:spacing w:after="0" w:line="53" w:lineRule="exact"/>
        <w:rPr>
          <w:rFonts w:ascii="Times New Roman" w:cs="Times New Roman" w:eastAsia="Times New Roman" w:hAnsi="Times New Roman"/>
          <w:sz w:val="18"/>
          <w:szCs w:val="18"/>
          <w:color w:val="auto"/>
        </w:rPr>
      </w:pPr>
    </w:p>
    <w:p>
      <w:pPr>
        <w:ind w:left="380" w:right="20" w:firstLine="419"/>
        <w:spacing w:after="0" w:line="258" w:lineRule="auto"/>
        <w:tabs>
          <w:tab w:leader="none" w:pos="1118"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Limitations</w:t>
      </w:r>
      <w:r>
        <w:rPr>
          <w:rFonts w:ascii="Times New Roman" w:cs="Times New Roman" w:eastAsia="Times New Roman" w:hAnsi="Times New Roman"/>
          <w:sz w:val="18"/>
          <w:szCs w:val="18"/>
          <w:color w:val="auto"/>
        </w:rPr>
        <w: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(including Information), to any Disqualified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IS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0900"/>
          </w:cols>
          <w:pgMar w:left="500" w:top="269" w:right="49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caused this Agreement to be duly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O. Harp,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O. Harp, Jr.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 and Chief Financial</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0240"/>
          </w:cols>
          <w:pgMar w:left="880" w:top="265" w:right="779" w:bottom="1440" w:gutter="0" w:footer="0" w:header="0"/>
        </w:sectPr>
      </w:pPr>
    </w:p>
    <w:bookmarkStart w:id="530" w:name="page531"/>
    <w:bookmarkEnd w:id="5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DNB BANK ASA, NEW YORK BRANCH,</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Jack Price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Samantha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Samantha Stone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265" w:right="1440" w:bottom="1440" w:gutter="0" w:footer="0" w:header="0"/>
        </w:sectPr>
      </w:pPr>
    </w:p>
    <w:bookmarkStart w:id="531" w:name="page532"/>
    <w:bookmarkEnd w:id="5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Jeffery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Jeffery Rose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900"/>
          </w:cols>
          <w:pgMar w:left="1440" w:top="265" w:right="559" w:bottom="1440" w:gutter="0" w:footer="0" w:header="0"/>
        </w:sectPr>
      </w:pPr>
    </w:p>
    <w:bookmarkStart w:id="532" w:name="page533"/>
    <w:bookmarkEnd w:id="5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DNB CAPITAL LLC, </w:t>
      </w:r>
      <w:r>
        <w:rPr>
          <w:rFonts w:ascii="Times New Roman" w:cs="Times New Roman" w:eastAsia="Times New Roman" w:hAnsi="Times New Roman"/>
          <w:sz w:val="18"/>
          <w:szCs w:val="18"/>
          <w:color w:val="auto"/>
        </w:rPr>
        <w:t>as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J. Shohet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SVP &amp; Head of Ocean Industries, North America</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Jessika Kai-Tseng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Jessika Kai-Tseng Larsson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960"/>
          </w:cols>
          <w:pgMar w:left="1440" w:top="265" w:right="499" w:bottom="1440" w:gutter="0" w:footer="0" w:header="0"/>
        </w:sectPr>
      </w:pPr>
    </w:p>
    <w:bookmarkStart w:id="533" w:name="page534"/>
    <w:bookmarkEnd w:id="53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Capital One, National Association, </w:t>
      </w:r>
      <w:r>
        <w:rPr>
          <w:rFonts w:ascii="Times New Roman" w:cs="Times New Roman" w:eastAsia="Times New Roman" w:hAnsi="Times New Roman"/>
          <w:sz w:val="17"/>
          <w:szCs w:val="17"/>
          <w:color w:val="auto"/>
        </w:rPr>
        <w:t>as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Randi Hebert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Randi Hebert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20"/>
          </w:cols>
          <w:pgMar w:left="1440" w:top="265" w:right="1439" w:bottom="1440" w:gutter="0" w:footer="0" w:header="0"/>
        </w:sectPr>
      </w:pPr>
    </w:p>
    <w:bookmarkStart w:id="534" w:name="page535"/>
    <w:bookmarkEnd w:id="53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JPMORGAN CHASE BANK, N.A., </w:t>
      </w:r>
      <w:r>
        <w:rPr>
          <w:rFonts w:ascii="Times New Roman" w:cs="Times New Roman" w:eastAsia="Times New Roman" w:hAnsi="Times New Roman"/>
          <w:sz w:val="17"/>
          <w:szCs w:val="17"/>
          <w:color w:val="auto"/>
        </w:rPr>
        <w:t>as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Caroline 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Caroline Eagan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120"/>
          </w:cols>
          <w:pgMar w:left="1440" w:top="265" w:right="1339" w:bottom="1440" w:gutter="0" w:footer="0" w:header="0"/>
        </w:sectPr>
      </w:pPr>
    </w:p>
    <w:bookmarkStart w:id="535" w:name="page536"/>
    <w:bookmarkEnd w:id="53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BARCLAYS BANK PLC, </w:t>
      </w:r>
      <w:r>
        <w:rPr>
          <w:rFonts w:ascii="Times New Roman" w:cs="Times New Roman" w:eastAsia="Times New Roman" w:hAnsi="Times New Roman"/>
          <w:sz w:val="17"/>
          <w:szCs w:val="17"/>
          <w:color w:val="auto"/>
        </w:rPr>
        <w:t>as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265" w:right="1440" w:bottom="1440" w:gutter="0" w:footer="0" w:header="0"/>
        </w:sectPr>
      </w:pPr>
    </w:p>
    <w:bookmarkStart w:id="536" w:name="page537"/>
    <w:bookmarkEnd w:id="53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aware of the inclusion in Amendment No. 1 to the Registration Statement (Form S-1 No. 333-275939) of Hornbeck Offshore Services, Inc. for the registration of its common stock of our report dated August 14, 2024 relating to the unaudited consolidated interim financial statements of Hornbeck Offshore Services, Inc. as of June 30, 2024 and for the three-month and six-month periods ended June 30, 2024 and 2023, that are included in its Form S-1.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Orleans, Louisiana</w:t>
      </w:r>
    </w:p>
    <w:p>
      <w:pPr>
        <w:sectPr>
          <w:pgSz w:w="11900" w:h="16838" w:orient="portrait"/>
          <w:cols w:equalWidth="0" w:num="1">
            <w:col w:w="11020"/>
          </w:cols>
          <w:pgMar w:left="440" w:top="117" w:right="439" w:bottom="1440" w:gutter="0" w:footer="0" w:header="0"/>
        </w:sectPr>
      </w:pPr>
    </w:p>
    <w:bookmarkStart w:id="537" w:name="page538"/>
    <w:bookmarkEnd w:id="5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March 14, 2024 in Amendment No. 1 to the Registration Statement (Form S-1 No. 333-275939) and related Prospectus of Hornbeck Offshore Services, Inc. for the registration of shares of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2024</w:t>
      </w:r>
    </w:p>
    <w:p>
      <w:pPr>
        <w:sectPr>
          <w:pgSz w:w="11900" w:h="16838" w:orient="portrait"/>
          <w:cols w:equalWidth="0" w:num="1">
            <w:col w:w="11020"/>
          </w:cols>
          <w:pgMar w:left="440" w:top="117" w:right="439" w:bottom="1440" w:gutter="0" w:footer="0" w:header="0"/>
        </w:sectPr>
      </w:pPr>
    </w:p>
    <w:bookmarkStart w:id="538" w:name="page539"/>
    <w:bookmarkEnd w:id="538"/>
    <w:p>
      <w:pPr>
        <w:jc w:val="right"/>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undersigned director of Hornbeck Offshore Services, Inc. hereby constitutes and appoints Todd M. Hornbeck and James O. Harp, Jr. and each of them, any of whom may act without joinder of the other, the individual’s true and lawful attorneys-in-fact and agents, with full power of substitution and resubstitution, for the person and in his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16th day of August,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James McConeghy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McConeghy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B13C1"/>
    <w:multiLevelType w:val="hybridMultilevel"/>
    <w:lvl w:ilvl="0">
      <w:lvlJc w:val="left"/>
      <w:lvlText w:val="(%1)"/>
      <w:numFmt w:val="decimal"/>
      <w:start w:val="1"/>
    </w:lvl>
  </w:abstractNum>
  <w:abstractNum w:abstractNumId="1">
    <w:nsid w:val="271210C7"/>
    <w:multiLevelType w:val="hybridMultilevel"/>
    <w:lvl w:ilvl="0">
      <w:lvlJc w:val="left"/>
      <w:lvlText w:val="•"/>
      <w:numFmt w:val="bullet"/>
      <w:start w:val="1"/>
    </w:lvl>
  </w:abstractNum>
  <w:abstractNum w:abstractNumId="2">
    <w:nsid w:val="217B22E4"/>
    <w:multiLevelType w:val="hybridMultilevel"/>
    <w:lvl w:ilvl="0">
      <w:lvlJc w:val="left"/>
      <w:lvlText w:val="•"/>
      <w:numFmt w:val="bullet"/>
      <w:start w:val="1"/>
    </w:lvl>
  </w:abstractNum>
  <w:abstractNum w:abstractNumId="3">
    <w:nsid w:val="53E31A24"/>
    <w:multiLevelType w:val="hybridMultilevel"/>
    <w:lvl w:ilvl="0">
      <w:lvlJc w:val="left"/>
      <w:lvlText w:val="•"/>
      <w:numFmt w:val="bullet"/>
      <w:start w:val="1"/>
    </w:lvl>
  </w:abstractNum>
  <w:abstractNum w:abstractNumId="4">
    <w:nsid w:val="6DC45E83"/>
    <w:multiLevelType w:val="hybridMultilevel"/>
    <w:lvl w:ilvl="0">
      <w:lvlJc w:val="left"/>
      <w:lvlText w:val="•"/>
      <w:numFmt w:val="bullet"/>
      <w:start w:val="1"/>
    </w:lvl>
  </w:abstractNum>
  <w:abstractNum w:abstractNumId="5">
    <w:nsid w:val="17304A67"/>
    <w:multiLevelType w:val="hybridMultilevel"/>
    <w:lvl w:ilvl="0">
      <w:lvlJc w:val="left"/>
      <w:lvlText w:val="(%1)"/>
      <w:numFmt w:val="decimal"/>
      <w:start w:val="1"/>
    </w:lvl>
  </w:abstractNum>
  <w:abstractNum w:abstractNumId="6">
    <w:nsid w:val="2BB180D8"/>
    <w:multiLevelType w:val="hybridMultilevel"/>
    <w:lvl w:ilvl="0">
      <w:lvlJc w:val="left"/>
      <w:lvlText w:val="(%1)"/>
      <w:numFmt w:val="decimal"/>
      <w:start w:val="1"/>
    </w:lvl>
  </w:abstractNum>
  <w:abstractNum w:abstractNumId="7">
    <w:nsid w:val="556B69ED"/>
    <w:multiLevelType w:val="hybridMultilevel"/>
    <w:lvl w:ilvl="0">
      <w:lvlJc w:val="left"/>
      <w:lvlText w:val="•"/>
      <w:numFmt w:val="bullet"/>
      <w:start w:val="1"/>
    </w:lvl>
  </w:abstractNum>
  <w:abstractNum w:abstractNumId="8">
    <w:nsid w:val="70836196"/>
    <w:multiLevelType w:val="hybridMultilevel"/>
    <w:lvl w:ilvl="0">
      <w:lvlJc w:val="left"/>
      <w:lvlText w:val="•"/>
      <w:numFmt w:val="bullet"/>
      <w:start w:val="1"/>
    </w:lvl>
  </w:abstractNum>
  <w:abstractNum w:abstractNumId="9">
    <w:nsid w:val="539F7F12"/>
    <w:multiLevelType w:val="hybridMultilevel"/>
    <w:lvl w:ilvl="0">
      <w:lvlJc w:val="left"/>
      <w:lvlText w:val="•"/>
      <w:numFmt w:val="bullet"/>
      <w:start w:val="1"/>
    </w:lvl>
  </w:abstractNum>
  <w:abstractNum w:abstractNumId="10">
    <w:nsid w:val="2817E7EC"/>
    <w:multiLevelType w:val="hybridMultilevel"/>
    <w:lvl w:ilvl="0">
      <w:lvlJc w:val="left"/>
      <w:lvlText w:val="•"/>
      <w:numFmt w:val="bullet"/>
      <w:start w:val="1"/>
    </w:lvl>
  </w:abstractNum>
  <w:abstractNum w:abstractNumId="11">
    <w:nsid w:val="71482545"/>
    <w:multiLevelType w:val="hybridMultilevel"/>
    <w:lvl w:ilvl="0">
      <w:lvlJc w:val="left"/>
      <w:lvlText w:val="•"/>
      <w:numFmt w:val="bullet"/>
      <w:start w:val="1"/>
    </w:lvl>
  </w:abstractNum>
  <w:abstractNum w:abstractNumId="12">
    <w:nsid w:val="17D78639"/>
    <w:multiLevelType w:val="hybridMultilevel"/>
    <w:lvl w:ilvl="0">
      <w:lvlJc w:val="left"/>
      <w:lvlText w:val="•"/>
      <w:numFmt w:val="bullet"/>
      <w:start w:val="1"/>
    </w:lvl>
  </w:abstractNum>
  <w:abstractNum w:abstractNumId="13">
    <w:nsid w:val="141D2302"/>
    <w:multiLevelType w:val="hybridMultilevel"/>
    <w:lvl w:ilvl="0">
      <w:lvlJc w:val="left"/>
      <w:lvlText w:val="•"/>
      <w:numFmt w:val="bullet"/>
      <w:start w:val="1"/>
    </w:lvl>
  </w:abstractNum>
  <w:abstractNum w:abstractNumId="14">
    <w:nsid w:val="407168D8"/>
    <w:multiLevelType w:val="hybridMultilevel"/>
    <w:lvl w:ilvl="0">
      <w:lvlJc w:val="left"/>
      <w:lvlText w:val="•"/>
      <w:numFmt w:val="bullet"/>
      <w:start w:val="1"/>
    </w:lvl>
  </w:abstractNum>
  <w:abstractNum w:abstractNumId="15">
    <w:nsid w:val="6A1B45E5"/>
    <w:multiLevelType w:val="hybridMultilevel"/>
    <w:lvl w:ilvl="0">
      <w:lvlJc w:val="left"/>
      <w:lvlText w:val="1"/>
      <w:numFmt w:val="bullet"/>
      <w:start w:val="1"/>
    </w:lvl>
  </w:abstractNum>
  <w:abstractNum w:abstractNumId="16">
    <w:nsid w:val="567BD50A"/>
    <w:multiLevelType w:val="hybridMultilevel"/>
    <w:lvl w:ilvl="0">
      <w:lvlJc w:val="left"/>
      <w:lvlText w:val="•"/>
      <w:numFmt w:val="bullet"/>
      <w:start w:val="1"/>
    </w:lvl>
  </w:abstractNum>
  <w:abstractNum w:abstractNumId="17">
    <w:nsid w:val="73BBD7F8"/>
    <w:multiLevelType w:val="hybridMultilevel"/>
    <w:lvl w:ilvl="0">
      <w:lvlJc w:val="left"/>
      <w:lvlText w:val="•"/>
      <w:numFmt w:val="bullet"/>
      <w:start w:val="1"/>
    </w:lvl>
  </w:abstractNum>
  <w:abstractNum w:abstractNumId="18">
    <w:nsid w:val="1876589D"/>
    <w:multiLevelType w:val="hybridMultilevel"/>
    <w:lvl w:ilvl="0">
      <w:lvlJc w:val="left"/>
      <w:lvlText w:val="•"/>
      <w:numFmt w:val="bullet"/>
      <w:start w:val="1"/>
    </w:lvl>
  </w:abstractNum>
  <w:abstractNum w:abstractNumId="19">
    <w:nsid w:val="327FAC77"/>
    <w:multiLevelType w:val="hybridMultilevel"/>
    <w:lvl w:ilvl="0">
      <w:lvlJc w:val="left"/>
      <w:lvlText w:val="•"/>
      <w:numFmt w:val="bullet"/>
      <w:start w:val="1"/>
    </w:lvl>
  </w:abstractNum>
  <w:abstractNum w:abstractNumId="20">
    <w:nsid w:val="5A606509"/>
    <w:multiLevelType w:val="hybridMultilevel"/>
    <w:lvl w:ilvl="0">
      <w:lvlJc w:val="left"/>
      <w:lvlText w:val="•"/>
      <w:numFmt w:val="bullet"/>
      <w:start w:val="1"/>
    </w:lvl>
  </w:abstractNum>
  <w:abstractNum w:abstractNumId="21">
    <w:nsid w:val="6F38E6D1"/>
    <w:multiLevelType w:val="hybridMultilevel"/>
    <w:lvl w:ilvl="0">
      <w:lvlJc w:val="left"/>
      <w:lvlText w:val="(%1)"/>
      <w:numFmt w:val="decimal"/>
      <w:start w:val="1"/>
    </w:lvl>
  </w:abstractNum>
  <w:abstractNum w:abstractNumId="22">
    <w:nsid w:val="46111BA5"/>
    <w:multiLevelType w:val="hybridMultilevel"/>
    <w:lvl w:ilvl="0">
      <w:lvlJc w:val="left"/>
      <w:lvlText w:val="(%1)"/>
      <w:numFmt w:val="decimal"/>
      <w:start w:val="1"/>
    </w:lvl>
  </w:abstractNum>
  <w:abstractNum w:abstractNumId="23">
    <w:nsid w:val="5E963896"/>
    <w:multiLevelType w:val="hybridMultilevel"/>
    <w:lvl w:ilvl="0">
      <w:lvlJc w:val="left"/>
      <w:lvlText w:val="•"/>
      <w:numFmt w:val="bullet"/>
      <w:start w:val="1"/>
    </w:lvl>
  </w:abstractNum>
  <w:abstractNum w:abstractNumId="24">
    <w:nsid w:val="775BA7C1"/>
    <w:multiLevelType w:val="hybridMultilevel"/>
    <w:lvl w:ilvl="0">
      <w:lvlJc w:val="left"/>
      <w:lvlText w:val="•"/>
      <w:numFmt w:val="bullet"/>
      <w:start w:val="1"/>
    </w:lvl>
  </w:abstractNum>
  <w:abstractNum w:abstractNumId="25">
    <w:nsid w:val="1DD6D6F4"/>
    <w:multiLevelType w:val="hybridMultilevel"/>
    <w:lvl w:ilvl="0">
      <w:lvlJc w:val="left"/>
      <w:lvlText w:val="(%1)"/>
      <w:numFmt w:val="decimal"/>
      <w:start w:val="1"/>
    </w:lvl>
  </w:abstractNum>
  <w:abstractNum w:abstractNumId="26">
    <w:nsid w:val="769A091F"/>
    <w:multiLevelType w:val="hybridMultilevel"/>
    <w:lvl w:ilvl="0">
      <w:lvlJc w:val="left"/>
      <w:lvlText w:val="(%1)"/>
      <w:numFmt w:val="decimal"/>
      <w:start w:val="4"/>
    </w:lvl>
  </w:abstractNum>
  <w:abstractNum w:abstractNumId="27">
    <w:nsid w:val="4695AE95"/>
    <w:multiLevelType w:val="hybridMultilevel"/>
    <w:lvl w:ilvl="0">
      <w:lvlJc w:val="left"/>
      <w:lvlText w:val="•"/>
      <w:numFmt w:val="bullet"/>
      <w:start w:val="1"/>
    </w:lvl>
  </w:abstractNum>
  <w:abstractNum w:abstractNumId="28">
    <w:nsid w:val="777A4EAA"/>
    <w:multiLevelType w:val="hybridMultilevel"/>
    <w:lvl w:ilvl="0">
      <w:lvlJc w:val="left"/>
      <w:lvlText w:val="(%1)"/>
      <w:numFmt w:val="lowerLetter"/>
      <w:start w:val="4"/>
    </w:lvl>
  </w:abstractNum>
  <w:abstractNum w:abstractNumId="29">
    <w:nsid w:val="3F48B982"/>
    <w:multiLevelType w:val="hybridMultilevel"/>
    <w:lvl w:ilvl="0">
      <w:lvlJc w:val="left"/>
      <w:lvlText w:val="•"/>
      <w:numFmt w:val="bullet"/>
      <w:start w:val="1"/>
    </w:lvl>
  </w:abstractNum>
  <w:abstractNum w:abstractNumId="30">
    <w:nsid w:val="46BA8FCA"/>
    <w:multiLevelType w:val="hybridMultilevel"/>
    <w:lvl w:ilvl="0">
      <w:lvlJc w:val="left"/>
      <w:lvlText w:val="•"/>
      <w:numFmt w:val="bullet"/>
      <w:start w:val="1"/>
    </w:lvl>
  </w:abstractNum>
  <w:abstractNum w:abstractNumId="31">
    <w:nsid w:val="7835626C"/>
    <w:multiLevelType w:val="hybridMultilevel"/>
    <w:lvl w:ilvl="0">
      <w:lvlJc w:val="left"/>
      <w:lvlText w:val="•"/>
      <w:numFmt w:val="bullet"/>
      <w:start w:val="1"/>
    </w:lvl>
  </w:abstractNum>
  <w:abstractNum w:abstractNumId="32">
    <w:nsid w:val="665ACA49"/>
    <w:multiLevelType w:val="hybridMultilevel"/>
    <w:lvl w:ilvl="0">
      <w:lvlJc w:val="left"/>
      <w:lvlText w:val="(%1)"/>
      <w:numFmt w:val="lowerRoman"/>
      <w:start w:val="3"/>
    </w:lvl>
  </w:abstractNum>
  <w:abstractNum w:abstractNumId="33">
    <w:nsid w:val="6835B2AE"/>
    <w:multiLevelType w:val="hybridMultilevel"/>
    <w:lvl w:ilvl="0">
      <w:lvlJc w:val="left"/>
      <w:lvlText w:val="•"/>
      <w:numFmt w:val="bullet"/>
      <w:start w:val="1"/>
    </w:lvl>
  </w:abstractNum>
  <w:abstractNum w:abstractNumId="34">
    <w:nsid w:val="4C187C90"/>
    <w:multiLevelType w:val="hybridMultilevel"/>
    <w:lvl w:ilvl="0">
      <w:lvlJc w:val="left"/>
      <w:lvlText w:val="•"/>
      <w:numFmt w:val="bullet"/>
      <w:start w:val="1"/>
    </w:lvl>
  </w:abstractNum>
  <w:abstractNum w:abstractNumId="35">
    <w:nsid w:val="541F28CD"/>
    <w:multiLevelType w:val="hybridMultilevel"/>
    <w:lvl w:ilvl="0">
      <w:lvlJc w:val="left"/>
      <w:lvlText w:val="•"/>
      <w:numFmt w:val="bullet"/>
      <w:start w:val="1"/>
    </w:lvl>
  </w:abstractNum>
  <w:abstractNum w:abstractNumId="36">
    <w:nsid w:val="7F65FD16"/>
    <w:multiLevelType w:val="hybridMultilevel"/>
    <w:lvl w:ilvl="0">
      <w:lvlJc w:val="left"/>
      <w:lvlText w:val="•"/>
      <w:numFmt w:val="bullet"/>
      <w:start w:val="1"/>
    </w:lvl>
  </w:abstractNum>
  <w:abstractNum w:abstractNumId="37">
    <w:nsid w:val="77C9FD68"/>
    <w:multiLevelType w:val="hybridMultilevel"/>
    <w:lvl w:ilvl="0">
      <w:lvlJc w:val="left"/>
      <w:lvlText w:val="•"/>
      <w:numFmt w:val="bullet"/>
      <w:start w:val="1"/>
    </w:lvl>
  </w:abstractNum>
  <w:abstractNum w:abstractNumId="38">
    <w:nsid w:val="298A92BA"/>
    <w:multiLevelType w:val="hybridMultilevel"/>
    <w:lvl w:ilvl="0">
      <w:lvlJc w:val="left"/>
      <w:lvlText w:val="•"/>
      <w:numFmt w:val="bullet"/>
      <w:start w:val="1"/>
    </w:lvl>
  </w:abstractNum>
  <w:abstractNum w:abstractNumId="39">
    <w:nsid w:val="6FE95EAC"/>
    <w:multiLevelType w:val="hybridMultilevel"/>
    <w:lvl w:ilvl="0">
      <w:lvlJc w:val="left"/>
      <w:lvlText w:val="•"/>
      <w:numFmt w:val="bullet"/>
      <w:start w:val="1"/>
    </w:lvl>
  </w:abstractNum>
  <w:abstractNum w:abstractNumId="40">
    <w:nsid w:val="4B697C7A"/>
    <w:multiLevelType w:val="hybridMultilevel"/>
    <w:lvl w:ilvl="0">
      <w:lvlJc w:val="left"/>
      <w:lvlText w:val="(%1)"/>
      <w:numFmt w:val="decimal"/>
      <w:start w:val="2"/>
    </w:lvl>
  </w:abstractNum>
  <w:abstractNum w:abstractNumId="41">
    <w:nsid w:val="51A27AA6"/>
    <w:multiLevelType w:val="hybridMultilevel"/>
    <w:lvl w:ilvl="0">
      <w:lvlJc w:val="left"/>
      <w:lvlText w:val="(%1)"/>
      <w:numFmt w:val="decimal"/>
      <w:start w:val="1"/>
    </w:lvl>
  </w:abstractNum>
  <w:abstractNum w:abstractNumId="42">
    <w:nsid w:val="613183F2"/>
    <w:multiLevelType w:val="hybridMultilevel"/>
    <w:lvl w:ilvl="0">
      <w:lvlJc w:val="left"/>
      <w:lvlText w:val="(%1)"/>
      <w:numFmt w:val="decimal"/>
      <w:start w:val="7"/>
    </w:lvl>
  </w:abstractNum>
  <w:abstractNum w:abstractNumId="43">
    <w:nsid w:val="634102B4"/>
    <w:multiLevelType w:val="hybridMultilevel"/>
    <w:lvl w:ilvl="0">
      <w:lvlJc w:val="left"/>
      <w:lvlText w:val="•"/>
      <w:numFmt w:val="bullet"/>
      <w:start w:val="1"/>
    </w:lvl>
  </w:abstractNum>
  <w:abstractNum w:abstractNumId="44">
    <w:nsid w:val="65BF9DA8"/>
    <w:multiLevelType w:val="hybridMultilevel"/>
    <w:lvl w:ilvl="0">
      <w:lvlJc w:val="left"/>
      <w:lvlText w:val="(%1)"/>
      <w:numFmt w:val="decimal"/>
      <w:start w:val="1"/>
    </w:lvl>
  </w:abstractNum>
  <w:abstractNum w:abstractNumId="45">
    <w:nsid w:val="21A2ECCA"/>
    <w:multiLevelType w:val="hybridMultilevel"/>
    <w:lvl w:ilvl="0">
      <w:lvlJc w:val="left"/>
      <w:lvlText w:val="(%1)"/>
      <w:numFmt w:val="decimal"/>
      <w:start w:val="1"/>
    </w:lvl>
  </w:abstractNum>
  <w:abstractNum w:abstractNumId="46">
    <w:nsid w:val="4D5C4899"/>
    <w:multiLevelType w:val="hybridMultilevel"/>
    <w:lvl w:ilvl="0">
      <w:lvlJc w:val="left"/>
      <w:lvlText w:val="•"/>
      <w:numFmt w:val="bullet"/>
      <w:start w:val="1"/>
    </w:lvl>
  </w:abstractNum>
  <w:abstractNum w:abstractNumId="47">
    <w:nsid w:val="3C3B72B2"/>
    <w:multiLevelType w:val="hybridMultilevel"/>
    <w:lvl w:ilvl="0">
      <w:lvlJc w:val="left"/>
      <w:lvlText w:val="(%1)"/>
      <w:numFmt w:val="decimal"/>
      <w:start w:val="1"/>
    </w:lvl>
  </w:abstractNum>
  <w:abstractNum w:abstractNumId="48">
    <w:nsid w:val="155EC4C2"/>
    <w:multiLevelType w:val="hybridMultilevel"/>
    <w:lvl w:ilvl="0">
      <w:lvlJc w:val="left"/>
      <w:lvlText w:val="(%1)"/>
      <w:numFmt w:val="decimal"/>
      <w:start w:val="3"/>
    </w:lvl>
  </w:abstractNum>
  <w:abstractNum w:abstractNumId="49">
    <w:nsid w:val="65D2A137"/>
    <w:multiLevelType w:val="hybridMultilevel"/>
    <w:lvl w:ilvl="0">
      <w:lvlJc w:val="left"/>
      <w:lvlText w:val="(%1)"/>
      <w:numFmt w:val="decimal"/>
    </w:lvl>
    <w:lvl w:ilvl="1">
      <w:lvlJc w:val="left"/>
      <w:lvlText w:val="$"/>
      <w:numFmt w:val="bullet"/>
      <w:start w:val="1"/>
    </w:lvl>
  </w:abstractNum>
  <w:abstractNum w:abstractNumId="50">
    <w:nsid w:val="6EBB1F2A"/>
    <w:multiLevelType w:val="hybridMultilevel"/>
    <w:lvl w:ilvl="0">
      <w:lvlJc w:val="left"/>
      <w:lvlText w:val="•"/>
      <w:numFmt w:val="bullet"/>
      <w:start w:val="1"/>
    </w:lvl>
  </w:abstractNum>
  <w:abstractNum w:abstractNumId="51">
    <w:nsid w:val="6FBF29CB"/>
    <w:multiLevelType w:val="hybridMultilevel"/>
    <w:lvl w:ilvl="0">
      <w:lvlJc w:val="left"/>
      <w:lvlText w:val="(%1)"/>
      <w:numFmt w:val="decimal"/>
      <w:start w:val="1"/>
    </w:lvl>
  </w:abstractNum>
  <w:abstractNum w:abstractNumId="52">
    <w:nsid w:val="550B8808"/>
    <w:multiLevelType w:val="hybridMultilevel"/>
    <w:lvl w:ilvl="0">
      <w:lvlJc w:val="left"/>
      <w:lvlText w:val="(%1)"/>
      <w:numFmt w:val="decimal"/>
      <w:start w:val="2"/>
    </w:lvl>
  </w:abstractNum>
  <w:abstractNum w:abstractNumId="53">
    <w:nsid w:val="34CC3ACF"/>
    <w:multiLevelType w:val="hybridMultilevel"/>
    <w:lvl w:ilvl="0">
      <w:lvlJc w:val="left"/>
      <w:lvlText w:val="(%1)"/>
      <w:numFmt w:val="decimal"/>
      <w:start w:val="1"/>
    </w:lvl>
  </w:abstractNum>
  <w:abstractNum w:abstractNumId="54">
    <w:nsid w:val="4E556261"/>
    <w:multiLevelType w:val="hybridMultilevel"/>
    <w:lvl w:ilvl="0">
      <w:lvlJc w:val="left"/>
      <w:lvlText w:val="(%1)"/>
      <w:numFmt w:val="decimal"/>
      <w:start w:val="1"/>
    </w:lvl>
  </w:abstractNum>
  <w:abstractNum w:abstractNumId="55">
    <w:nsid w:val="4C672FC9"/>
    <w:multiLevelType w:val="hybridMultilevel"/>
    <w:lvl w:ilvl="0">
      <w:lvlJc w:val="left"/>
      <w:lvlText w:val="•"/>
      <w:numFmt w:val="bullet"/>
      <w:start w:val="1"/>
    </w:lvl>
  </w:abstractNum>
  <w:abstractNum w:abstractNumId="56">
    <w:nsid w:val="52A311C3"/>
    <w:multiLevelType w:val="hybridMultilevel"/>
    <w:lvl w:ilvl="0">
      <w:lvlJc w:val="left"/>
      <w:lvlText w:val="•"/>
      <w:numFmt w:val="bullet"/>
      <w:start w:val="1"/>
    </w:lvl>
  </w:abstractNum>
  <w:abstractNum w:abstractNumId="57">
    <w:nsid w:val="44EF6B80"/>
    <w:multiLevelType w:val="hybridMultilevel"/>
    <w:lvl w:ilvl="0">
      <w:lvlJc w:val="left"/>
      <w:lvlText w:val="•"/>
      <w:numFmt w:val="bullet"/>
      <w:start w:val="1"/>
    </w:lvl>
  </w:abstractNum>
  <w:abstractNum w:abstractNumId="58">
    <w:nsid w:val="12FCDE5E"/>
    <w:multiLevelType w:val="hybridMultilevel"/>
    <w:lvl w:ilvl="0">
      <w:lvlJc w:val="left"/>
      <w:lvlText w:val="(%1)"/>
      <w:numFmt w:val="decimal"/>
      <w:start w:val="1"/>
    </w:lvl>
  </w:abstractNum>
  <w:abstractNum w:abstractNumId="59">
    <w:nsid w:val="4A1D606E"/>
    <w:multiLevelType w:val="hybridMultilevel"/>
    <w:lvl w:ilvl="0">
      <w:lvlJc w:val="left"/>
      <w:lvlText w:val="(%1)"/>
      <w:numFmt w:val="decimal"/>
      <w:start w:val="1"/>
    </w:lvl>
  </w:abstractNum>
  <w:abstractNum w:abstractNumId="60">
    <w:nsid w:val="4382503"/>
    <w:multiLevelType w:val="hybridMultilevel"/>
    <w:lvl w:ilvl="0">
      <w:lvlJc w:val="left"/>
      <w:lvlText w:val="•"/>
      <w:numFmt w:val="bullet"/>
      <w:start w:val="1"/>
    </w:lvl>
  </w:abstractNum>
  <w:abstractNum w:abstractNumId="61">
    <w:nsid w:val="59B76E28"/>
    <w:multiLevelType w:val="hybridMultilevel"/>
    <w:lvl w:ilvl="0">
      <w:lvlJc w:val="left"/>
      <w:lvlText w:val="•"/>
      <w:numFmt w:val="bullet"/>
      <w:start w:val="1"/>
    </w:lvl>
  </w:abstractNum>
  <w:abstractNum w:abstractNumId="62">
    <w:nsid w:val="4252C2DA"/>
    <w:multiLevelType w:val="hybridMultilevel"/>
    <w:lvl w:ilvl="0">
      <w:lvlJc w:val="left"/>
      <w:lvlText w:val="•"/>
      <w:numFmt w:val="bullet"/>
      <w:start w:val="1"/>
    </w:lvl>
  </w:abstractNum>
  <w:abstractNum w:abstractNumId="63">
    <w:nsid w:val="6A92EF4C"/>
    <w:multiLevelType w:val="hybridMultilevel"/>
    <w:lvl w:ilvl="0">
      <w:lvlJc w:val="left"/>
      <w:lvlText w:val="•"/>
      <w:numFmt w:val="bullet"/>
      <w:start w:val="1"/>
    </w:lvl>
  </w:abstractNum>
  <w:abstractNum w:abstractNumId="64">
    <w:nsid w:val="41ED20D7"/>
    <w:multiLevelType w:val="hybridMultilevel"/>
    <w:lvl w:ilvl="0">
      <w:lvlJc w:val="left"/>
      <w:lvlText w:val="•"/>
      <w:numFmt w:val="bullet"/>
      <w:start w:val="1"/>
    </w:lvl>
  </w:abstractNum>
  <w:abstractNum w:abstractNumId="65">
    <w:nsid w:val="E6B3F6A"/>
    <w:multiLevelType w:val="hybridMultilevel"/>
    <w:lvl w:ilvl="0">
      <w:lvlJc w:val="left"/>
      <w:lvlText w:val="•"/>
      <w:numFmt w:val="bullet"/>
      <w:start w:val="1"/>
    </w:lvl>
  </w:abstractNum>
  <w:abstractNum w:abstractNumId="66">
    <w:nsid w:val="3EB21819"/>
    <w:multiLevelType w:val="hybridMultilevel"/>
    <w:lvl w:ilvl="0">
      <w:lvlJc w:val="left"/>
      <w:lvlText w:val="•"/>
      <w:numFmt w:val="bullet"/>
      <w:start w:val="1"/>
    </w:lvl>
  </w:abstractNum>
  <w:abstractNum w:abstractNumId="67">
    <w:nsid w:val="41531DED"/>
    <w:multiLevelType w:val="hybridMultilevel"/>
    <w:lvl w:ilvl="0">
      <w:lvlJc w:val="left"/>
      <w:lvlText w:val="•"/>
      <w:numFmt w:val="bullet"/>
      <w:start w:val="1"/>
    </w:lvl>
  </w:abstractNum>
  <w:abstractNum w:abstractNumId="68">
    <w:nsid w:val="6353CD2"/>
    <w:multiLevelType w:val="hybridMultilevel"/>
    <w:lvl w:ilvl="0">
      <w:lvlJc w:val="left"/>
      <w:lvlText w:val="•"/>
      <w:numFmt w:val="bullet"/>
      <w:start w:val="1"/>
    </w:lvl>
  </w:abstractNum>
  <w:abstractNum w:abstractNumId="69">
    <w:nsid w:val="683CAAD3"/>
    <w:multiLevelType w:val="hybridMultilevel"/>
    <w:lvl w:ilvl="0">
      <w:lvlJc w:val="left"/>
      <w:lvlText w:val="•"/>
      <w:numFmt w:val="bullet"/>
      <w:start w:val="1"/>
    </w:lvl>
  </w:abstractNum>
  <w:abstractNum w:abstractNumId="70">
    <w:nsid w:val="313C7C99"/>
    <w:multiLevelType w:val="hybridMultilevel"/>
    <w:lvl w:ilvl="0">
      <w:lvlJc w:val="left"/>
      <w:lvlText w:val="•"/>
      <w:numFmt w:val="bullet"/>
      <w:start w:val="1"/>
    </w:lvl>
  </w:abstractNum>
  <w:abstractNum w:abstractNumId="71">
    <w:nsid w:val="519EB94C"/>
    <w:multiLevelType w:val="hybridMultilevel"/>
    <w:lvl w:ilvl="0">
      <w:lvlJc w:val="left"/>
      <w:lvlText w:val="(%1)"/>
      <w:numFmt w:val="lowerRoman"/>
      <w:start w:val="2"/>
    </w:lvl>
  </w:abstractNum>
  <w:abstractNum w:abstractNumId="72">
    <w:nsid w:val="39DF2579"/>
    <w:multiLevelType w:val="hybridMultilevel"/>
    <w:lvl w:ilvl="0">
      <w:lvlJc w:val="left"/>
      <w:lvlText w:val="(%1)"/>
      <w:numFmt w:val="decimal"/>
      <w:start w:val="1"/>
    </w:lvl>
  </w:abstractNum>
  <w:abstractNum w:abstractNumId="73">
    <w:nsid w:val="126E008B"/>
    <w:multiLevelType w:val="hybridMultilevel"/>
    <w:lvl w:ilvl="0">
      <w:lvlJc w:val="left"/>
      <w:lvlText w:val="(%1)"/>
      <w:numFmt w:val="decimal"/>
      <w:start w:val="1"/>
    </w:lvl>
  </w:abstractNum>
  <w:abstractNum w:abstractNumId="74">
    <w:nsid w:val="34DFBC00"/>
    <w:multiLevelType w:val="hybridMultilevel"/>
    <w:lvl w:ilvl="0">
      <w:lvlJc w:val="left"/>
      <w:lvlText w:val="(%1)"/>
      <w:numFmt w:val="decimal"/>
      <w:start w:val="2"/>
    </w:lvl>
  </w:abstractNum>
  <w:abstractNum w:abstractNumId="75">
    <w:nsid w:val="1F9EC322"/>
    <w:multiLevelType w:val="hybridMultilevel"/>
    <w:lvl w:ilvl="0">
      <w:lvlJc w:val="left"/>
      <w:lvlText w:val="(%1)"/>
      <w:numFmt w:val="decimal"/>
      <w:start w:val="1"/>
    </w:lvl>
  </w:abstractNum>
  <w:abstractNum w:abstractNumId="76">
    <w:nsid w:val="3410ED56"/>
    <w:multiLevelType w:val="hybridMultilevel"/>
    <w:lvl w:ilvl="0">
      <w:lvlJc w:val="left"/>
      <w:lvlText w:val="(%1)"/>
      <w:numFmt w:val="decimal"/>
      <w:start w:val="4"/>
    </w:lvl>
  </w:abstractNum>
  <w:abstractNum w:abstractNumId="77">
    <w:nsid w:val="23C049A"/>
    <w:multiLevelType w:val="hybridMultilevel"/>
    <w:lvl w:ilvl="0">
      <w:lvlJc w:val="left"/>
      <w:lvlText w:val="(%1)"/>
      <w:numFmt w:val="decimal"/>
      <w:start w:val="1"/>
    </w:lvl>
  </w:abstractNum>
  <w:abstractNum w:abstractNumId="78">
    <w:nsid w:val="5BDA35D4"/>
    <w:multiLevelType w:val="hybridMultilevel"/>
    <w:lvl w:ilvl="0">
      <w:lvlJc w:val="left"/>
      <w:lvlText w:val="(%1)"/>
      <w:numFmt w:val="decimal"/>
      <w:start w:val="1"/>
    </w:lvl>
  </w:abstractNum>
  <w:abstractNum w:abstractNumId="79">
    <w:nsid w:val="496FB218"/>
    <w:multiLevelType w:val="hybridMultilevel"/>
    <w:lvl w:ilvl="0">
      <w:lvlJc w:val="left"/>
      <w:lvlText w:val="(%1)"/>
      <w:numFmt w:val="decimal"/>
      <w:start w:val="2"/>
    </w:lvl>
  </w:abstractNum>
  <w:abstractNum w:abstractNumId="80">
    <w:nsid w:val="680EA5D1"/>
    <w:multiLevelType w:val="hybridMultilevel"/>
    <w:lvl w:ilvl="0">
      <w:lvlJc w:val="left"/>
      <w:lvlText w:val="(%1)"/>
      <w:numFmt w:val="decimal"/>
      <w:start w:val="1"/>
    </w:lvl>
  </w:abstractNum>
  <w:abstractNum w:abstractNumId="81">
    <w:nsid w:val="4A9554FE"/>
    <w:multiLevelType w:val="hybridMultilevel"/>
    <w:lvl w:ilvl="0">
      <w:lvlJc w:val="left"/>
      <w:lvlText w:val="(%1)"/>
      <w:numFmt w:val="decimal"/>
      <w:start w:val="1"/>
    </w:lvl>
  </w:abstractNum>
  <w:abstractNum w:abstractNumId="82">
    <w:nsid w:val="392EDBE4"/>
    <w:multiLevelType w:val="hybridMultilevel"/>
    <w:lvl w:ilvl="0">
      <w:lvlJc w:val="left"/>
      <w:lvlText w:val="(%1)"/>
      <w:numFmt w:val="decimal"/>
      <w:start w:val="1"/>
    </w:lvl>
  </w:abstractNum>
  <w:abstractNum w:abstractNumId="83">
    <w:nsid w:val="3D1A2DD9"/>
    <w:multiLevelType w:val="hybridMultilevel"/>
    <w:lvl w:ilvl="0">
      <w:lvlJc w:val="left"/>
      <w:lvlText w:val="(%1)"/>
      <w:numFmt w:val="decimal"/>
      <w:start w:val="1"/>
    </w:lvl>
  </w:abstractNum>
  <w:abstractNum w:abstractNumId="84">
    <w:nsid w:val="7F618FCD"/>
    <w:multiLevelType w:val="hybridMultilevel"/>
    <w:lvl w:ilvl="0">
      <w:lvlJc w:val="left"/>
      <w:lvlText w:val="(%1)"/>
      <w:numFmt w:val="lowerLetter"/>
      <w:start w:val="1"/>
    </w:lvl>
  </w:abstractNum>
  <w:abstractNum w:abstractNumId="85">
    <w:nsid w:val="7843E45"/>
    <w:multiLevelType w:val="hybridMultilevel"/>
    <w:lvl w:ilvl="0">
      <w:lvlJc w:val="left"/>
      <w:lvlText w:val="•"/>
      <w:numFmt w:val="bullet"/>
      <w:start w:val="1"/>
    </w:lvl>
  </w:abstractNum>
  <w:abstractNum w:abstractNumId="86">
    <w:nsid w:val="9815DA3"/>
    <w:multiLevelType w:val="hybridMultilevel"/>
    <w:lvl w:ilvl="0">
      <w:lvlJc w:val="left"/>
      <w:lvlText w:val="*"/>
      <w:numFmt w:val="bullet"/>
      <w:start w:val="1"/>
    </w:lvl>
  </w:abstractNum>
  <w:abstractNum w:abstractNumId="87">
    <w:nsid w:val="5204A191"/>
    <w:multiLevelType w:val="hybridMultilevel"/>
    <w:lvl w:ilvl="0">
      <w:lvlJc w:val="left"/>
      <w:lvlText w:val="(%1)"/>
      <w:numFmt w:val="decimal"/>
      <w:start w:val="1"/>
    </w:lvl>
  </w:abstractNum>
  <w:abstractNum w:abstractNumId="88">
    <w:nsid w:val="4C73A9C6"/>
    <w:multiLevelType w:val="hybridMultilevel"/>
    <w:lvl w:ilvl="0">
      <w:lvlJc w:val="left"/>
      <w:lvlText w:val=" "/>
      <w:numFmt w:val="bullet"/>
      <w:start w:val="1"/>
    </w:lvl>
  </w:abstractNum>
  <w:abstractNum w:abstractNumId="89">
    <w:nsid w:val="1C7E3C01"/>
    <w:multiLevelType w:val="hybridMultilevel"/>
    <w:lvl w:ilvl="0">
      <w:lvlJc w:val="left"/>
      <w:lvlText w:val="(%1)"/>
      <w:numFmt w:val="decimal"/>
      <w:start w:val="6"/>
    </w:lvl>
  </w:abstractNum>
  <w:abstractNum w:abstractNumId="90">
    <w:nsid w:val="1C2201FF"/>
    <w:multiLevelType w:val="hybridMultilevel"/>
    <w:lvl w:ilvl="0">
      <w:lvlJc w:val="left"/>
      <w:lvlText w:val="•"/>
      <w:numFmt w:val="bullet"/>
      <w:start w:val="1"/>
    </w:lvl>
  </w:abstractNum>
  <w:abstractNum w:abstractNumId="91">
    <w:nsid w:val="50ABCEC9"/>
    <w:multiLevelType w:val="hybridMultilevel"/>
    <w:lvl w:ilvl="0">
      <w:lvlJc w:val="left"/>
      <w:lvlText w:val="•"/>
      <w:numFmt w:val="bullet"/>
      <w:start w:val="1"/>
    </w:lvl>
  </w:abstractNum>
  <w:abstractNum w:abstractNumId="92">
    <w:nsid w:val="7635AA2A"/>
    <w:multiLevelType w:val="hybridMultilevel"/>
    <w:lvl w:ilvl="0">
      <w:lvlJc w:val="left"/>
      <w:lvlText w:val="•"/>
      <w:numFmt w:val="bullet"/>
      <w:start w:val="1"/>
    </w:lvl>
  </w:abstractNum>
  <w:abstractNum w:abstractNumId="93">
    <w:nsid w:val="5E74C4D9"/>
    <w:multiLevelType w:val="hybridMultilevel"/>
    <w:lvl w:ilvl="0">
      <w:lvlJc w:val="left"/>
      <w:lvlText w:val="•"/>
      <w:numFmt w:val="bullet"/>
      <w:start w:val="1"/>
    </w:lvl>
  </w:abstractNum>
  <w:abstractNum w:abstractNumId="94">
    <w:nsid w:val="3B3EBE15"/>
    <w:multiLevelType w:val="hybridMultilevel"/>
    <w:lvl w:ilvl="0">
      <w:lvlJc w:val="left"/>
      <w:lvlText w:val="•"/>
      <w:numFmt w:val="bullet"/>
      <w:start w:val="1"/>
    </w:lvl>
  </w:abstractNum>
  <w:abstractNum w:abstractNumId="95">
    <w:nsid w:val="3822CB01"/>
    <w:multiLevelType w:val="hybridMultilevel"/>
    <w:lvl w:ilvl="0">
      <w:lvlJc w:val="left"/>
      <w:lvlText w:val="•"/>
      <w:numFmt w:val="bullet"/>
      <w:start w:val="1"/>
    </w:lvl>
  </w:abstractNum>
  <w:abstractNum w:abstractNumId="96">
    <w:nsid w:val="6CE00443"/>
    <w:multiLevelType w:val="hybridMultilevel"/>
    <w:lvl w:ilvl="0">
      <w:lvlJc w:val="left"/>
      <w:lvlText w:val="(%1)"/>
      <w:numFmt w:val="lowerRoman"/>
      <w:start w:val="6"/>
    </w:lvl>
  </w:abstractNum>
  <w:abstractNum w:abstractNumId="97">
    <w:nsid w:val="79F0D62F"/>
    <w:multiLevelType w:val="hybridMultilevel"/>
    <w:lvl w:ilvl="0">
      <w:lvlJc w:val="left"/>
      <w:lvlText w:val="(%1)"/>
      <w:numFmt w:val="decimal"/>
      <w:start w:val="3"/>
    </w:lvl>
  </w:abstractNum>
  <w:abstractNum w:abstractNumId="98">
    <w:nsid w:val="7975E8EE"/>
    <w:multiLevelType w:val="hybridMultilevel"/>
    <w:lvl w:ilvl="0">
      <w:lvlJc w:val="left"/>
      <w:lvlText w:val="(%1)"/>
      <w:numFmt w:val="lowerRoman"/>
      <w:start w:val="11"/>
    </w:lvl>
  </w:abstractNum>
  <w:abstractNum w:abstractNumId="99">
    <w:nsid w:val="73154115"/>
    <w:multiLevelType w:val="hybridMultilevel"/>
    <w:lvl w:ilvl="0">
      <w:lvlJc w:val="left"/>
      <w:lvlText w:val="•"/>
      <w:numFmt w:val="bullet"/>
      <w:start w:val="1"/>
    </w:lvl>
  </w:abstractNum>
  <w:abstractNum w:abstractNumId="100">
    <w:nsid w:val="622D8102"/>
    <w:multiLevelType w:val="hybridMultilevel"/>
    <w:lvl w:ilvl="0">
      <w:lvlJc w:val="left"/>
      <w:lvlText w:val="•"/>
      <w:numFmt w:val="bullet"/>
      <w:start w:val="1"/>
    </w:lvl>
  </w:abstractNum>
  <w:abstractNum w:abstractNumId="101">
    <w:nsid w:val="2AB26587"/>
    <w:multiLevelType w:val="hybridMultilevel"/>
    <w:lvl w:ilvl="0">
      <w:lvlJc w:val="left"/>
      <w:lvlText w:val="(%1)"/>
      <w:numFmt w:val="decimal"/>
      <w:start w:val="1"/>
    </w:lvl>
  </w:abstractNum>
  <w:abstractNum w:abstractNumId="102">
    <w:nsid w:val="44B3FA61"/>
    <w:multiLevelType w:val="hybridMultilevel"/>
    <w:lvl w:ilvl="0">
      <w:lvlJc w:val="left"/>
      <w:lvlText w:val="(%1)"/>
      <w:numFmt w:val="decimal"/>
      <w:start w:val="1"/>
    </w:lvl>
  </w:abstractNum>
  <w:abstractNum w:abstractNumId="103">
    <w:nsid w:val="1C0CA67C"/>
    <w:multiLevelType w:val="hybridMultilevel"/>
    <w:lvl w:ilvl="0">
      <w:lvlJc w:val="left"/>
      <w:lvlText w:val="(%1)"/>
      <w:numFmt w:val="decimal"/>
      <w:start w:val="1"/>
    </w:lvl>
  </w:abstractNum>
  <w:abstractNum w:abstractNumId="104">
    <w:nsid w:val="3D206613"/>
    <w:multiLevelType w:val="hybridMultilevel"/>
    <w:lvl w:ilvl="0">
      <w:lvlJc w:val="left"/>
      <w:lvlText w:val="(%1)"/>
      <w:numFmt w:val="decimal"/>
      <w:start w:val="1"/>
    </w:lvl>
  </w:abstractNum>
  <w:abstractNum w:abstractNumId="105">
    <w:nsid w:val="7993B662"/>
    <w:multiLevelType w:val="hybridMultilevel"/>
    <w:lvl w:ilvl="0">
      <w:lvlJc w:val="left"/>
      <w:lvlText w:val="(%1)"/>
      <w:numFmt w:val="decimal"/>
      <w:start w:val="4"/>
    </w:lvl>
  </w:abstractNum>
  <w:abstractNum w:abstractNumId="106">
    <w:nsid w:val="3BAB699E"/>
    <w:multiLevelType w:val="hybridMultilevel"/>
    <w:lvl w:ilvl="0">
      <w:lvlJc w:val="left"/>
      <w:lvlText w:val="(%1)"/>
      <w:numFmt w:val="decimal"/>
      <w:start w:val="1"/>
    </w:lvl>
  </w:abstractNum>
  <w:abstractNum w:abstractNumId="107">
    <w:nsid w:val="71315369"/>
    <w:multiLevelType w:val="hybridMultilevel"/>
    <w:lvl w:ilvl="0">
      <w:lvlJc w:val="left"/>
      <w:lvlText w:val="(%1)"/>
      <w:numFmt w:val="decimal"/>
      <w:start w:val="1"/>
    </w:lvl>
  </w:abstractNum>
  <w:abstractNum w:abstractNumId="108">
    <w:nsid w:val="7BCFBAFC"/>
    <w:multiLevelType w:val="hybridMultilevel"/>
    <w:lvl w:ilvl="0">
      <w:lvlJc w:val="left"/>
      <w:lvlText w:val="(%1)"/>
      <w:numFmt w:val="decimal"/>
      <w:start w:val="2"/>
    </w:lvl>
  </w:abstractNum>
  <w:abstractNum w:abstractNumId="109">
    <w:nsid w:val="17859F72"/>
    <w:multiLevelType w:val="hybridMultilevel"/>
    <w:lvl w:ilvl="0">
      <w:lvlJc w:val="left"/>
      <w:lvlText w:val="(%1)"/>
      <w:numFmt w:val="decimal"/>
      <w:start w:val="1"/>
    </w:lvl>
  </w:abstractNum>
  <w:abstractNum w:abstractNumId="110">
    <w:nsid w:val="3AA10581"/>
    <w:multiLevelType w:val="hybridMultilevel"/>
    <w:lvl w:ilvl="0">
      <w:lvlJc w:val="left"/>
      <w:lvlText w:val="(%1)"/>
      <w:numFmt w:val="lowerRoman"/>
      <w:start w:val="2"/>
    </w:lvl>
  </w:abstractNum>
  <w:abstractNum w:abstractNumId="111">
    <w:nsid w:val="63DE60CD"/>
    <w:multiLevelType w:val="hybridMultilevel"/>
    <w:lvl w:ilvl="0">
      <w:lvlJc w:val="left"/>
      <w:lvlText w:val="(%1)"/>
      <w:numFmt w:val="decimal"/>
      <w:start w:val="2"/>
    </w:lvl>
  </w:abstractNum>
  <w:abstractNum w:abstractNumId="112">
    <w:nsid w:val="621AF471"/>
    <w:multiLevelType w:val="hybridMultilevel"/>
    <w:lvl w:ilvl="0">
      <w:lvlJc w:val="left"/>
      <w:lvlText w:val="(%1)"/>
      <w:numFmt w:val="decimal"/>
      <w:start w:val="1"/>
    </w:lvl>
  </w:abstractNum>
  <w:abstractNum w:abstractNumId="113">
    <w:nsid w:val="73CFE165"/>
    <w:multiLevelType w:val="hybridMultilevel"/>
    <w:lvl w:ilvl="0">
      <w:lvlJc w:val="left"/>
      <w:lvlText w:val="•"/>
      <w:numFmt w:val="bullet"/>
      <w:start w:val="1"/>
    </w:lvl>
  </w:abstractNum>
  <w:abstractNum w:abstractNumId="114">
    <w:nsid w:val="20F88EA6"/>
    <w:multiLevelType w:val="hybridMultilevel"/>
    <w:lvl w:ilvl="0">
      <w:lvlJc w:val="left"/>
      <w:lvlText w:val="(%1)"/>
      <w:numFmt w:val="decimal"/>
      <w:start w:val="1"/>
    </w:lvl>
  </w:abstractNum>
  <w:abstractNum w:abstractNumId="115">
    <w:nsid w:val="617C843E"/>
    <w:multiLevelType w:val="hybridMultilevel"/>
    <w:lvl w:ilvl="0">
      <w:lvlJc w:val="left"/>
      <w:lvlText w:val="(%1)"/>
      <w:numFmt w:val="decimal"/>
      <w:start w:val="1"/>
    </w:lvl>
  </w:abstractNum>
  <w:abstractNum w:abstractNumId="116">
    <w:nsid w:val="7B541FAB"/>
    <w:multiLevelType w:val="hybridMultilevel"/>
    <w:lvl w:ilvl="0">
      <w:lvlJc w:val="left"/>
      <w:lvlText w:val="(%1)"/>
      <w:numFmt w:val="decimal"/>
      <w:start w:val="1"/>
    </w:lvl>
  </w:abstractNum>
  <w:abstractNum w:abstractNumId="117">
    <w:nsid w:val="2A79EC49"/>
    <w:multiLevelType w:val="hybridMultilevel"/>
    <w:lvl w:ilvl="0">
      <w:lvlJc w:val="left"/>
      <w:lvlText w:val="(%1)"/>
      <w:numFmt w:val="decimal"/>
      <w:start w:val="1"/>
    </w:lvl>
  </w:abstractNum>
  <w:abstractNum w:abstractNumId="118">
    <w:nsid w:val="338125CF"/>
    <w:multiLevelType w:val="hybridMultilevel"/>
    <w:lvl w:ilvl="0">
      <w:lvlJc w:val="left"/>
      <w:lvlText w:val="(%1)"/>
      <w:numFmt w:val="decimal"/>
      <w:start w:val="1"/>
    </w:lvl>
  </w:abstractNum>
  <w:abstractNum w:abstractNumId="119">
    <w:nsid w:val="47C7C971"/>
    <w:multiLevelType w:val="hybridMultilevel"/>
    <w:lvl w:ilvl="0">
      <w:lvlJc w:val="left"/>
      <w:lvlText w:val="•"/>
      <w:numFmt w:val="bullet"/>
      <w:start w:val="1"/>
    </w:lvl>
  </w:abstractNum>
  <w:abstractNum w:abstractNumId="120">
    <w:nsid w:val="46F8284B"/>
    <w:multiLevelType w:val="hybridMultilevel"/>
    <w:lvl w:ilvl="0">
      <w:lvlJc w:val="left"/>
      <w:lvlText w:val="(%1)"/>
      <w:numFmt w:val="decimal"/>
      <w:start w:val="1"/>
    </w:lvl>
  </w:abstractNum>
  <w:abstractNum w:abstractNumId="121">
    <w:nsid w:val="4FA327CE"/>
    <w:multiLevelType w:val="hybridMultilevel"/>
    <w:lvl w:ilvl="0">
      <w:lvlJc w:val="left"/>
      <w:lvlText w:val="%1."/>
      <w:numFmt w:val="decimal"/>
      <w:start w:val="14"/>
    </w:lvl>
  </w:abstractNum>
  <w:abstractNum w:abstractNumId="122">
    <w:nsid w:val="1873983A"/>
    <w:multiLevelType w:val="hybridMultilevel"/>
    <w:lvl w:ilvl="0">
      <w:lvlJc w:val="left"/>
      <w:lvlText w:val="(%1)"/>
      <w:numFmt w:val="decimal"/>
      <w:start w:val="1"/>
    </w:lvl>
  </w:abstractNum>
  <w:abstractNum w:abstractNumId="123">
    <w:nsid w:val="3D2DD275"/>
    <w:multiLevelType w:val="hybridMultilevel"/>
    <w:lvl w:ilvl="0">
      <w:lvlJc w:val="left"/>
      <w:lvlText w:val="(%1)"/>
      <w:numFmt w:val="decimal"/>
      <w:start w:val="1"/>
    </w:lvl>
  </w:abstractNum>
  <w:abstractNum w:abstractNumId="124">
    <w:nsid w:val="2E17ECA7"/>
    <w:multiLevelType w:val="hybridMultilevel"/>
    <w:lvl w:ilvl="0">
      <w:lvlJc w:val="left"/>
      <w:lvlText w:val="(%1)"/>
      <w:numFmt w:val="decimal"/>
      <w:start w:val="1"/>
    </w:lvl>
  </w:abstractNum>
  <w:abstractNum w:abstractNumId="125">
    <w:nsid w:val="53B2564F"/>
    <w:multiLevelType w:val="hybridMultilevel"/>
    <w:lvl w:ilvl="0">
      <w:lvlJc w:val="left"/>
      <w:lvlText w:val="•"/>
      <w:numFmt w:val="bullet"/>
      <w:start w:val="1"/>
    </w:lvl>
  </w:abstractNum>
  <w:abstractNum w:abstractNumId="126">
    <w:nsid w:val="75509D76"/>
    <w:multiLevelType w:val="hybridMultilevel"/>
    <w:lvl w:ilvl="0">
      <w:lvlJc w:val="left"/>
      <w:lvlText w:val=" "/>
      <w:numFmt w:val="bullet"/>
      <w:start w:val="1"/>
    </w:lvl>
  </w:abstractNum>
  <w:abstractNum w:abstractNumId="127">
    <w:nsid w:val="1AF7F0EA"/>
    <w:multiLevelType w:val="hybridMultilevel"/>
    <w:lvl w:ilvl="0">
      <w:lvlJc w:val="left"/>
      <w:lvlText w:val="^"/>
      <w:numFmt w:val="bullet"/>
      <w:start w:val="1"/>
    </w:lvl>
  </w:abstractNum>
  <w:abstractNum w:abstractNumId="128">
    <w:nsid w:val="4DA32C7E"/>
    <w:multiLevelType w:val="hybridMultilevel"/>
    <w:lvl w:ilvl="0">
      <w:lvlJc w:val="left"/>
      <w:lvlText w:val="(%1)"/>
      <w:numFmt w:val="lowerRoman"/>
      <w:start w:val="1"/>
    </w:lvl>
  </w:abstractNum>
  <w:abstractNum w:abstractNumId="129">
    <w:nsid w:val="6EC68664"/>
    <w:multiLevelType w:val="hybridMultilevel"/>
    <w:lvl w:ilvl="0">
      <w:lvlJc w:val="left"/>
      <w:lvlText w:val="B"/>
      <w:numFmt w:val="bullet"/>
      <w:start w:val="1"/>
    </w:lvl>
  </w:abstractNum>
  <w:abstractNum w:abstractNumId="130">
    <w:nsid w:val="E0D31FF"/>
    <w:multiLevelType w:val="hybridMultilevel"/>
    <w:lvl w:ilvl="0">
      <w:lvlJc w:val="left"/>
      <w:lvlText w:val="C"/>
      <w:numFmt w:val="bullet"/>
      <w:start w:val="1"/>
    </w:lvl>
  </w:abstractNum>
  <w:abstractNum w:abstractNumId="131">
    <w:nsid w:val="2FD0AD81"/>
    <w:multiLevelType w:val="hybridMultilevel"/>
    <w:lvl w:ilvl="0">
      <w:lvlJc w:val="left"/>
      <w:lvlText w:val="D"/>
      <w:numFmt w:val="bullet"/>
      <w:start w:val="1"/>
    </w:lvl>
  </w:abstractNum>
  <w:abstractNum w:abstractNumId="132">
    <w:nsid w:val="1978EBEB"/>
    <w:multiLevelType w:val="hybridMultilevel"/>
    <w:lvl w:ilvl="0">
      <w:lvlJc w:val="left"/>
      <w:lvlText w:val="E"/>
      <w:numFmt w:val="bullet"/>
      <w:start w:val="1"/>
    </w:lvl>
  </w:abstractNum>
  <w:abstractNum w:abstractNumId="133">
    <w:nsid w:val="52C12C61"/>
    <w:multiLevelType w:val="hybridMultilevel"/>
    <w:lvl w:ilvl="0">
      <w:lvlJc w:val="left"/>
      <w:lvlText w:val="F"/>
      <w:numFmt w:val="bullet"/>
      <w:start w:val="1"/>
    </w:lvl>
  </w:abstractNum>
  <w:abstractNum w:abstractNumId="134">
    <w:nsid w:val="4BDD53FD"/>
    <w:multiLevelType w:val="hybridMultilevel"/>
    <w:lvl w:ilvl="0">
      <w:lvlJc w:val="left"/>
      <w:lvlText w:val="H"/>
      <w:numFmt w:val="bullet"/>
      <w:start w:val="1"/>
    </w:lvl>
  </w:abstractNum>
  <w:abstractNum w:abstractNumId="135">
    <w:nsid w:val="569951FE"/>
    <w:multiLevelType w:val="hybridMultilevel"/>
    <w:lvl w:ilvl="0">
      <w:lvlJc w:val="left"/>
      <w:lvlText w:val="I"/>
      <w:numFmt w:val="bullet"/>
      <w:start w:val="1"/>
    </w:lvl>
  </w:abstractNum>
  <w:abstractNum w:abstractNumId="136">
    <w:nsid w:val="4C54E2C3"/>
    <w:multiLevelType w:val="hybridMultilevel"/>
    <w:lvl w:ilvl="0">
      <w:lvlJc w:val="left"/>
      <w:lvlText w:val="J"/>
      <w:numFmt w:val="bullet"/>
      <w:start w:val="1"/>
    </w:lvl>
  </w:abstractNum>
  <w:abstractNum w:abstractNumId="137">
    <w:nsid w:val="788BD9B"/>
    <w:multiLevelType w:val="hybridMultilevel"/>
    <w:lvl w:ilvl="0">
      <w:lvlJc w:val="left"/>
      <w:lvlText w:val="L"/>
      <w:numFmt w:val="bullet"/>
      <w:start w:val="1"/>
    </w:lvl>
  </w:abstractNum>
  <w:abstractNum w:abstractNumId="138">
    <w:nsid w:val="47CAA567"/>
    <w:multiLevelType w:val="hybridMultilevel"/>
    <w:lvl w:ilvl="0">
      <w:lvlJc w:val="left"/>
      <w:lvlText w:val="M"/>
      <w:numFmt w:val="bullet"/>
      <w:start w:val="1"/>
    </w:lvl>
  </w:abstractNum>
  <w:abstractNum w:abstractNumId="139">
    <w:nsid w:val="48249DBF"/>
    <w:multiLevelType w:val="hybridMultilevel"/>
    <w:lvl w:ilvl="0">
      <w:lvlJc w:val="left"/>
      <w:lvlText w:val="(%1)"/>
      <w:numFmt w:val="lowerLetter"/>
      <w:start w:val="25"/>
    </w:lvl>
  </w:abstractNum>
  <w:abstractNum w:abstractNumId="140">
    <w:nsid w:val="1F0E5D0D"/>
    <w:multiLevelType w:val="hybridMultilevel"/>
    <w:lvl w:ilvl="0">
      <w:lvlJc w:val="left"/>
      <w:lvlText w:val="(%1)"/>
      <w:numFmt w:val="decimal"/>
      <w:start w:val="1"/>
    </w:lvl>
  </w:abstractNum>
  <w:abstractNum w:abstractNumId="141">
    <w:nsid w:val="26BAAE9"/>
    <w:multiLevelType w:val="hybridMultilevel"/>
    <w:lvl w:ilvl="0">
      <w:lvlJc w:val="left"/>
      <w:lvlText w:val="(%1)"/>
      <w:numFmt w:val="decimal"/>
      <w:start w:val="1"/>
    </w:lvl>
    <w:lvl w:ilvl="1">
      <w:lvlJc w:val="left"/>
      <w:lvlText w:val="(%2)"/>
      <w:numFmt w:val="lowerLetter"/>
      <w:start w:val="1"/>
    </w:lvl>
  </w:abstractNum>
  <w:abstractNum w:abstractNumId="142">
    <w:nsid w:val="2C02FE8C"/>
    <w:multiLevelType w:val="hybridMultilevel"/>
    <w:lvl w:ilvl="0">
      <w:lvlJc w:val="left"/>
      <w:lvlText w:val="(%1)"/>
      <w:numFmt w:val="decimal"/>
      <w:start w:val="1"/>
    </w:lvl>
  </w:abstractNum>
  <w:abstractNum w:abstractNumId="143">
    <w:nsid w:val="129517E"/>
    <w:multiLevelType w:val="hybridMultilevel"/>
    <w:lvl w:ilvl="0">
      <w:lvlJc w:val="left"/>
      <w:lvlText w:val="(%1)"/>
      <w:numFmt w:val="decimal"/>
      <w:start w:val="1"/>
    </w:lvl>
  </w:abstractNum>
  <w:abstractNum w:abstractNumId="144">
    <w:nsid w:val="763B8C4E"/>
    <w:multiLevelType w:val="hybridMultilevel"/>
    <w:lvl w:ilvl="0">
      <w:lvlJc w:val="left"/>
      <w:lvlText w:val="(%1)"/>
      <w:numFmt w:val="decimal"/>
      <w:start w:val="2"/>
    </w:lvl>
  </w:abstractNum>
  <w:abstractNum w:abstractNumId="145">
    <w:nsid w:val="4CFB8D32"/>
    <w:multiLevelType w:val="hybridMultilevel"/>
    <w:lvl w:ilvl="0">
      <w:lvlJc w:val="left"/>
      <w:lvlText w:val="(%1)"/>
      <w:numFmt w:val="lowerLetter"/>
      <w:start w:val="1"/>
    </w:lvl>
  </w:abstractNum>
  <w:abstractNum w:abstractNumId="146">
    <w:nsid w:val="62A5D5BD"/>
    <w:multiLevelType w:val="hybridMultilevel"/>
    <w:lvl w:ilvl="0">
      <w:lvlJc w:val="left"/>
      <w:lvlText w:val="(%1)"/>
      <w:numFmt w:val="lowerLetter"/>
      <w:start w:val="8"/>
    </w:lvl>
  </w:abstractNum>
  <w:abstractNum w:abstractNumId="147">
    <w:nsid w:val="718FABF9"/>
    <w:multiLevelType w:val="hybridMultilevel"/>
    <w:lvl w:ilvl="0">
      <w:lvlJc w:val="left"/>
      <w:lvlText w:val="(%1)"/>
      <w:numFmt w:val="lowerLetter"/>
      <w:start w:val="1"/>
    </w:lvl>
  </w:abstractNum>
  <w:abstractNum w:abstractNumId="148">
    <w:nsid w:val="7775797C"/>
    <w:multiLevelType w:val="hybridMultilevel"/>
    <w:lvl w:ilvl="0">
      <w:lvlJc w:val="left"/>
      <w:lvlText w:val="(%1)"/>
      <w:numFmt w:val="lowerLetter"/>
      <w:start w:val="1"/>
    </w:lvl>
  </w:abstractNum>
  <w:abstractNum w:abstractNumId="149">
    <w:nsid w:val="1626FB8C"/>
    <w:multiLevelType w:val="hybridMultilevel"/>
    <w:lvl w:ilvl="0">
      <w:lvlJc w:val="left"/>
      <w:lvlText w:val="(%1)"/>
      <w:numFmt w:val="lowerLetter"/>
      <w:start w:val="2"/>
    </w:lvl>
  </w:abstractNum>
  <w:abstractNum w:abstractNumId="150">
    <w:nsid w:val="3957756A"/>
    <w:multiLevelType w:val="hybridMultilevel"/>
    <w:lvl w:ilvl="0">
      <w:lvlJc w:val="left"/>
      <w:lvlText w:val="(%1)"/>
      <w:numFmt w:val="lowerLetter"/>
      <w:start w:val="1"/>
    </w:lvl>
  </w:abstractNum>
  <w:abstractNum w:abstractNumId="151">
    <w:nsid w:val="3E6DA1C7"/>
    <w:multiLevelType w:val="hybridMultilevel"/>
    <w:lvl w:ilvl="0">
      <w:lvlJc w:val="left"/>
      <w:lvlText w:val="(%1)"/>
      <w:numFmt w:val="lowerLetter"/>
      <w:start w:val="3"/>
    </w:lvl>
  </w:abstractNum>
  <w:abstractNum w:abstractNumId="152">
    <w:nsid w:val="65CA235B"/>
    <w:multiLevelType w:val="hybridMultilevel"/>
    <w:lvl w:ilvl="0">
      <w:lvlJc w:val="left"/>
      <w:lvlText w:val="(%1)"/>
      <w:numFmt w:val="decimal"/>
      <w:start w:val="1"/>
    </w:lvl>
    <w:lvl w:ilvl="1">
      <w:lvlJc w:val="left"/>
      <w:lvlText w:val="(%2)"/>
      <w:numFmt w:val="lowerLetter"/>
      <w:start w:val="24"/>
    </w:lvl>
    <w:lvl w:ilvl="2">
      <w:lvlJc w:val="left"/>
      <w:lvlText w:val="(%3)"/>
      <w:numFmt w:val="lowerLetter"/>
      <w:start w:val="1"/>
    </w:lvl>
  </w:abstractNum>
  <w:abstractNum w:abstractNumId="153">
    <w:nsid w:val="51CB0D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4">
    <w:nsid w:val="7B9B743C"/>
    <w:multiLevelType w:val="hybridMultilevel"/>
    <w:lvl w:ilvl="0">
      <w:lvlJc w:val="left"/>
      <w:lvlText w:val="(%1)"/>
      <w:numFmt w:val="lowerLetter"/>
      <w:start w:val="4"/>
    </w:lvl>
  </w:abstractNum>
  <w:abstractNum w:abstractNumId="155">
    <w:nsid w:val="13E21002"/>
    <w:multiLevelType w:val="hybridMultilevel"/>
    <w:lvl w:ilvl="0">
      <w:lvlJc w:val="left"/>
      <w:lvlText w:val="%1"/>
      <w:numFmt w:val="decimal"/>
      <w:start w:val="1"/>
    </w:lvl>
    <w:lvl w:ilvl="1">
      <w:lvlJc w:val="left"/>
      <w:lvlText w:val="(%2)"/>
      <w:numFmt w:val="lowerLetter"/>
      <w:start w:val="7"/>
    </w:lvl>
  </w:abstractNum>
  <w:abstractNum w:abstractNumId="156">
    <w:nsid w:val="257D63F4"/>
    <w:multiLevelType w:val="hybridMultilevel"/>
    <w:lvl w:ilvl="0">
      <w:lvlJc w:val="left"/>
      <w:lvlText w:val="(%1)"/>
      <w:numFmt w:val="decimal"/>
      <w:start w:val="1"/>
    </w:lvl>
    <w:lvl w:ilvl="1">
      <w:lvlJc w:val="left"/>
      <w:lvlText w:val="(%2)"/>
      <w:numFmt w:val="lowerLetter"/>
      <w:start w:val="8"/>
    </w:lvl>
  </w:abstractNum>
  <w:abstractNum w:abstractNumId="157">
    <w:nsid w:val="70EC11B2"/>
    <w:multiLevelType w:val="hybridMultilevel"/>
    <w:lvl w:ilvl="0">
      <w:lvlJc w:val="left"/>
      <w:lvlText w:val="(%1)"/>
      <w:numFmt w:val="lowerLetter"/>
      <w:start w:val="9"/>
    </w:lvl>
  </w:abstractNum>
  <w:abstractNum w:abstractNumId="158">
    <w:nsid w:val="2EDA00ED"/>
    <w:multiLevelType w:val="hybridMultilevel"/>
    <w:lvl w:ilvl="0">
      <w:lvlJc w:val="left"/>
      <w:lvlText w:val="(%1)"/>
      <w:numFmt w:val="lowerRoman"/>
      <w:start w:val="4"/>
    </w:lvl>
  </w:abstractNum>
  <w:abstractNum w:abstractNumId="159">
    <w:nsid w:val="73209072"/>
    <w:multiLevelType w:val="hybridMultilevel"/>
    <w:lvl w:ilvl="0">
      <w:lvlJc w:val="left"/>
      <w:lvlText w:val="(%1)"/>
      <w:numFmt w:val="lowerRoman"/>
      <w:start w:val="6"/>
    </w:lvl>
  </w:abstractNum>
  <w:abstractNum w:abstractNumId="160">
    <w:nsid w:val="5FB29816"/>
    <w:multiLevelType w:val="hybridMultilevel"/>
    <w:lvl w:ilvl="0">
      <w:lvlJc w:val="left"/>
      <w:lvlText w:val="(%1)"/>
      <w:numFmt w:val="decimal"/>
      <w:start w:val="1"/>
    </w:lvl>
  </w:abstractNum>
  <w:abstractNum w:abstractNumId="161">
    <w:nsid w:val="3CE732EC"/>
    <w:multiLevelType w:val="hybridMultilevel"/>
    <w:lvl w:ilvl="0">
      <w:lvlJc w:val="left"/>
      <w:lvlText w:val="(%1)"/>
      <w:numFmt w:val="decimal"/>
      <w:start w:val="3"/>
    </w:lvl>
  </w:abstractNum>
  <w:abstractNum w:abstractNumId="162">
    <w:nsid w:val="22F13DF3"/>
    <w:multiLevelType w:val="hybridMultilevel"/>
    <w:lvl w:ilvl="0">
      <w:lvlJc w:val="left"/>
      <w:lvlText w:val="(%1)"/>
      <w:numFmt w:val="lowerRoman"/>
      <w:start w:val="2"/>
    </w:lvl>
  </w:abstractNum>
  <w:abstractNum w:abstractNumId="163">
    <w:nsid w:val="792B8401"/>
    <w:multiLevelType w:val="hybridMultilevel"/>
    <w:lvl w:ilvl="0">
      <w:lvlJc w:val="left"/>
      <w:lvlText w:val="(%1)"/>
      <w:numFmt w:val="decimal"/>
      <w:start w:val="1"/>
    </w:lvl>
    <w:lvl w:ilvl="1">
      <w:lvlJc w:val="left"/>
      <w:lvlText w:val="(%2)"/>
      <w:numFmt w:val="lowerLetter"/>
      <w:start w:val="1"/>
    </w:lvl>
  </w:abstractNum>
  <w:abstractNum w:abstractNumId="164">
    <w:nsid w:val="FA85F4D"/>
    <w:multiLevelType w:val="hybridMultilevel"/>
    <w:lvl w:ilvl="0">
      <w:lvlJc w:val="left"/>
      <w:lvlText w:val="(%1)"/>
      <w:numFmt w:val="lowerLetter"/>
      <w:start w:val="1"/>
    </w:lvl>
  </w:abstractNum>
  <w:abstractNum w:abstractNumId="165">
    <w:nsid w:val="6ECE91F0"/>
    <w:multiLevelType w:val="hybridMultilevel"/>
    <w:lvl w:ilvl="0">
      <w:lvlJc w:val="left"/>
      <w:lvlText w:val="(%1)"/>
      <w:numFmt w:val="lowerLetter"/>
      <w:start w:val="1"/>
    </w:lvl>
  </w:abstractNum>
  <w:abstractNum w:abstractNumId="166">
    <w:nsid w:val="4FC4D600"/>
    <w:multiLevelType w:val="hybridMultilevel"/>
    <w:lvl w:ilvl="0">
      <w:lvlJc w:val="left"/>
      <w:lvlText w:val="(%1)"/>
      <w:numFmt w:val="lowerLetter"/>
      <w:start w:val="1"/>
    </w:lvl>
  </w:abstractNum>
  <w:abstractNum w:abstractNumId="167">
    <w:nsid w:val="5BFD4210"/>
    <w:multiLevelType w:val="hybridMultilevel"/>
    <w:lvl w:ilvl="0">
      <w:lvlJc w:val="left"/>
      <w:lvlText w:val="(%1)"/>
      <w:numFmt w:val="decimal"/>
      <w:start w:val="1"/>
    </w:lvl>
  </w:abstractNum>
  <w:abstractNum w:abstractNumId="168">
    <w:nsid w:val="76574F8B"/>
    <w:multiLevelType w:val="hybridMultilevel"/>
    <w:lvl w:ilvl="0">
      <w:lvlJc w:val="left"/>
      <w:lvlText w:val="(%1)"/>
      <w:numFmt w:val="decimal"/>
      <w:start w:val="9"/>
    </w:lvl>
  </w:abstractNum>
  <w:abstractNum w:abstractNumId="169">
    <w:nsid w:val="178F7B67"/>
    <w:multiLevelType w:val="hybridMultilevel"/>
    <w:lvl w:ilvl="0">
      <w:lvlJc w:val="left"/>
      <w:lvlText w:val="(%1)"/>
      <w:numFmt w:val="decimal"/>
      <w:start w:val="19"/>
    </w:lvl>
  </w:abstractNum>
  <w:abstractNum w:abstractNumId="170">
    <w:nsid w:val="2421DFCF"/>
    <w:multiLevelType w:val="hybridMultilevel"/>
    <w:lvl w:ilvl="0">
      <w:lvlJc w:val="left"/>
      <w:lvlText w:val="(%1)"/>
      <w:numFmt w:val="decimal"/>
      <w:start w:val="1"/>
    </w:lvl>
  </w:abstractNum>
  <w:abstractNum w:abstractNumId="171">
    <w:nsid w:val="1565AC99"/>
    <w:multiLevelType w:val="hybridMultilevel"/>
    <w:lvl w:ilvl="0">
      <w:lvlJc w:val="left"/>
      <w:lvlText w:val="(%1)"/>
      <w:numFmt w:val="lowerLetter"/>
      <w:start w:val="1"/>
    </w:lvl>
  </w:abstractNum>
  <w:abstractNum w:abstractNumId="172">
    <w:nsid w:val="19FB2650"/>
    <w:multiLevelType w:val="hybridMultilevel"/>
    <w:lvl w:ilvl="0">
      <w:lvlJc w:val="left"/>
      <w:lvlText w:val="(%1)"/>
      <w:numFmt w:val="lowerLetter"/>
      <w:start w:val="2"/>
    </w:lvl>
  </w:abstractNum>
  <w:abstractNum w:abstractNumId="173">
    <w:nsid w:val="5024DE5B"/>
    <w:multiLevelType w:val="hybridMultilevel"/>
    <w:lvl w:ilvl="0">
      <w:lvlJc w:val="left"/>
      <w:lvlText w:val="(%1)"/>
      <w:numFmt w:val="lowerLetter"/>
      <w:start w:val="1"/>
    </w:lvl>
  </w:abstractNum>
  <w:abstractNum w:abstractNumId="174">
    <w:nsid w:val="168EFE17"/>
    <w:multiLevelType w:val="hybridMultilevel"/>
    <w:lvl w:ilvl="0">
      <w:lvlJc w:val="left"/>
      <w:lvlText w:val="(%1)"/>
      <w:numFmt w:val="lowerLetter"/>
      <w:start w:val="2"/>
    </w:lvl>
  </w:abstractNum>
  <w:abstractNum w:abstractNumId="175">
    <w:nsid w:val="1036B29F"/>
    <w:multiLevelType w:val="hybridMultilevel"/>
    <w:lvl w:ilvl="0">
      <w:lvlJc w:val="left"/>
      <w:lvlText w:val="(%1)"/>
      <w:numFmt w:val="lowerLetter"/>
      <w:start w:val="2"/>
    </w:lvl>
  </w:abstractNum>
  <w:abstractNum w:abstractNumId="176">
    <w:nsid w:val="1D206B8E"/>
    <w:multiLevelType w:val="hybridMultilevel"/>
    <w:lvl w:ilvl="0">
      <w:lvlJc w:val="left"/>
      <w:lvlText w:val="(%1)"/>
      <w:numFmt w:val="lowerLetter"/>
      <w:start w:val="4"/>
    </w:lvl>
  </w:abstractNum>
  <w:abstractNum w:abstractNumId="177">
    <w:nsid w:val="7934D3D4"/>
    <w:multiLevelType w:val="hybridMultilevel"/>
    <w:lvl w:ilvl="0">
      <w:lvlJc w:val="left"/>
      <w:lvlText w:val="(%1)"/>
      <w:numFmt w:val="lowerLetter"/>
      <w:start w:val="8"/>
    </w:lvl>
  </w:abstractNum>
  <w:abstractNum w:abstractNumId="178">
    <w:nsid w:val="1C65E98"/>
    <w:multiLevelType w:val="hybridMultilevel"/>
    <w:lvl w:ilvl="0">
      <w:lvlJc w:val="left"/>
      <w:lvlText w:val="(%1)"/>
      <w:numFmt w:val="lowerLetter"/>
      <w:start w:val="3"/>
    </w:lvl>
  </w:abstractNum>
  <w:abstractNum w:abstractNumId="179">
    <w:nsid w:val="1495E50A"/>
    <w:multiLevelType w:val="hybridMultilevel"/>
    <w:lvl w:ilvl="0">
      <w:lvlJc w:val="left"/>
      <w:lvlText w:val="(%1)"/>
      <w:numFmt w:val="lowerLetter"/>
      <w:start w:val="1"/>
    </w:lvl>
  </w:abstractNum>
  <w:abstractNum w:abstractNumId="180">
    <w:nsid w:val="F5BCF61"/>
    <w:multiLevelType w:val="hybridMultilevel"/>
    <w:lvl w:ilvl="0">
      <w:lvlJc w:val="left"/>
      <w:lvlText w:val="(%1)"/>
      <w:numFmt w:val="lowerLetter"/>
      <w:start w:val="4"/>
    </w:lvl>
  </w:abstractNum>
  <w:abstractNum w:abstractNumId="181">
    <w:nsid w:val="3B1DD403"/>
    <w:multiLevelType w:val="hybridMultilevel"/>
    <w:lvl w:ilvl="0">
      <w:lvlJc w:val="left"/>
      <w:lvlText w:val="(%1)"/>
      <w:numFmt w:val="lowerLetter"/>
      <w:start w:val="13"/>
    </w:lvl>
  </w:abstractNum>
  <w:abstractNum w:abstractNumId="182">
    <w:nsid w:val="530386D1"/>
    <w:multiLevelType w:val="hybridMultilevel"/>
    <w:lvl w:ilvl="0">
      <w:lvlJc w:val="left"/>
      <w:lvlText w:val="(%1)"/>
      <w:numFmt w:val="upperLetter"/>
      <w:start w:val="1"/>
    </w:lvl>
  </w:abstractNum>
  <w:abstractNum w:abstractNumId="183">
    <w:nsid w:val="7525F2BC"/>
    <w:multiLevelType w:val="hybridMultilevel"/>
    <w:lvl w:ilvl="0">
      <w:lvlJc w:val="left"/>
      <w:lvlText w:val="(%1)"/>
      <w:numFmt w:val="lowerLetter"/>
      <w:start w:val="1"/>
    </w:lvl>
  </w:abstractNum>
  <w:abstractNum w:abstractNumId="184">
    <w:nsid w:val="CE8E1A7"/>
    <w:multiLevelType w:val="hybridMultilevel"/>
    <w:lvl w:ilvl="0">
      <w:lvlJc w:val="left"/>
      <w:lvlText w:val="(%1)"/>
      <w:numFmt w:val="lowerLetter"/>
      <w:start w:val="3"/>
    </w:lvl>
  </w:abstractNum>
  <w:abstractNum w:abstractNumId="185">
    <w:nsid w:val="4E9EFB0D"/>
    <w:multiLevelType w:val="hybridMultilevel"/>
    <w:lvl w:ilvl="0">
      <w:lvlJc w:val="left"/>
      <w:lvlText w:val="(%1)"/>
      <w:numFmt w:val="lowerRoman"/>
      <w:start w:val="4"/>
    </w:lvl>
  </w:abstractNum>
  <w:abstractNum w:abstractNumId="186">
    <w:nsid w:val="90802BE"/>
    <w:multiLevelType w:val="hybridMultilevel"/>
    <w:lvl w:ilvl="0">
      <w:lvlJc w:val="left"/>
      <w:lvlText w:val="(%1)"/>
      <w:numFmt w:val="lowerRoman"/>
      <w:start w:val="2"/>
    </w:lvl>
  </w:abstractNum>
  <w:abstractNum w:abstractNumId="187">
    <w:nsid w:val="3266459B"/>
    <w:multiLevelType w:val="hybridMultilevel"/>
    <w:lvl w:ilvl="0">
      <w:lvlJc w:val="left"/>
      <w:lvlText w:val="(%1)"/>
      <w:numFmt w:val="decimal"/>
      <w:start w:val="1"/>
    </w:lvl>
  </w:abstractNum>
  <w:abstractNum w:abstractNumId="188">
    <w:nsid w:val="3F8B0CBF"/>
    <w:multiLevelType w:val="hybridMultilevel"/>
    <w:lvl w:ilvl="0">
      <w:lvlJc w:val="left"/>
      <w:lvlText w:val="(%1)"/>
      <w:numFmt w:val="decimal"/>
      <w:start w:val="1"/>
    </w:lvl>
  </w:abstractNum>
  <w:abstractNum w:abstractNumId="189">
    <w:nsid w:val="37E203AB"/>
    <w:multiLevelType w:val="hybridMultilevel"/>
    <w:lvl w:ilvl="0">
      <w:lvlJc w:val="left"/>
      <w:lvlText w:val="(%1)"/>
      <w:numFmt w:val="lowerLetter"/>
      <w:start w:val="1"/>
    </w:lvl>
  </w:abstractNum>
  <w:abstractNum w:abstractNumId="190">
    <w:nsid w:val="2586D60E"/>
    <w:multiLevelType w:val="hybridMultilevel"/>
    <w:lvl w:ilvl="0">
      <w:lvlJc w:val="left"/>
      <w:lvlText w:val="(%1)"/>
      <w:numFmt w:val="lowerLetter"/>
      <w:start w:val="3"/>
    </w:lvl>
  </w:abstractNum>
  <w:abstractNum w:abstractNumId="191">
    <w:nsid w:val="1F3DA4D5"/>
    <w:multiLevelType w:val="hybridMultilevel"/>
    <w:lvl w:ilvl="0">
      <w:lvlJc w:val="left"/>
      <w:lvlText w:val="(%1)"/>
      <w:numFmt w:val="lowerLetter"/>
      <w:start w:val="1"/>
    </w:lvl>
  </w:abstractNum>
  <w:abstractNum w:abstractNumId="192">
    <w:nsid w:val="74C93698"/>
    <w:multiLevelType w:val="hybridMultilevel"/>
    <w:lvl w:ilvl="0">
      <w:lvlJc w:val="left"/>
      <w:lvlText w:val="(%1)"/>
      <w:numFmt w:val="decimal"/>
      <w:start w:val="2"/>
    </w:lvl>
  </w:abstractNum>
  <w:abstractNum w:abstractNumId="193">
    <w:nsid w:val="48781401"/>
    <w:multiLevelType w:val="hybridMultilevel"/>
    <w:lvl w:ilvl="0">
      <w:lvlJc w:val="left"/>
      <w:lvlText w:val="(%1)"/>
      <w:numFmt w:val="lowerLetter"/>
      <w:start w:val="1"/>
    </w:lvl>
  </w:abstractNum>
  <w:abstractNum w:abstractNumId="194">
    <w:nsid w:val="186928D6"/>
    <w:multiLevelType w:val="hybridMultilevel"/>
    <w:lvl w:ilvl="0">
      <w:lvlJc w:val="left"/>
      <w:lvlText w:val="(%1)"/>
      <w:numFmt w:val="lowerLetter"/>
      <w:start w:val="3"/>
    </w:lvl>
    <w:lvl w:ilvl="1">
      <w:lvlJc w:val="left"/>
      <w:lvlText w:val="(%2)"/>
      <w:numFmt w:val="lowerRoman"/>
      <w:start w:val="1"/>
    </w:lvl>
  </w:abstractNum>
  <w:abstractNum w:abstractNumId="195">
    <w:nsid w:val="47195E5"/>
    <w:multiLevelType w:val="hybridMultilevel"/>
    <w:lvl w:ilvl="0">
      <w:lvlJc w:val="left"/>
      <w:lvlText w:val="(%1)"/>
      <w:numFmt w:val="decimal"/>
      <w:start w:val="1"/>
    </w:lvl>
  </w:abstractNum>
  <w:abstractNum w:abstractNumId="196">
    <w:nsid w:val="3746A5F2"/>
    <w:multiLevelType w:val="hybridMultilevel"/>
    <w:lvl w:ilvl="0">
      <w:lvlJc w:val="left"/>
      <w:lvlText w:val="(%1)"/>
      <w:numFmt w:val="lowerLetter"/>
      <w:start w:val="1"/>
    </w:lvl>
  </w:abstractNum>
  <w:abstractNum w:abstractNumId="197">
    <w:nsid w:val="682DFED6"/>
    <w:multiLevelType w:val="hybridMultilevel"/>
    <w:lvl w:ilvl="0">
      <w:lvlJc w:val="left"/>
      <w:lvlText w:val="(%1)"/>
      <w:numFmt w:val="lowerLetter"/>
      <w:start w:val="9"/>
    </w:lvl>
  </w:abstractNum>
  <w:abstractNum w:abstractNumId="198">
    <w:nsid w:val="606ED7F6"/>
    <w:multiLevelType w:val="hybridMultilevel"/>
    <w:lvl w:ilvl="0">
      <w:lvlJc w:val="left"/>
      <w:lvlText w:val="(%1)"/>
      <w:numFmt w:val="lowerLetter"/>
      <w:start w:val="1"/>
    </w:lvl>
  </w:abstractNum>
  <w:abstractNum w:abstractNumId="199">
    <w:nsid w:val="2D9DF57D"/>
    <w:multiLevelType w:val="hybridMultilevel"/>
    <w:lvl w:ilvl="0">
      <w:lvlJc w:val="left"/>
      <w:lvlText w:val="(%1)"/>
      <w:numFmt w:val="decimal"/>
      <w:start w:val="1"/>
    </w:lvl>
  </w:abstractNum>
  <w:abstractNum w:abstractNumId="200">
    <w:nsid w:val="7FBD7A3E"/>
    <w:multiLevelType w:val="hybridMultilevel"/>
    <w:lvl w:ilvl="0">
      <w:lvlJc w:val="left"/>
      <w:lvlText w:val="(%1)"/>
      <w:numFmt w:val="decimal"/>
      <w:start w:val="1"/>
    </w:lvl>
  </w:abstractNum>
  <w:abstractNum w:abstractNumId="201">
    <w:nsid w:val="490B7C5"/>
    <w:multiLevelType w:val="hybridMultilevel"/>
    <w:lvl w:ilvl="0">
      <w:lvlJc w:val="left"/>
      <w:lvlText w:val="(%1)"/>
      <w:numFmt w:val="decimal"/>
      <w:start w:val="3"/>
    </w:lvl>
  </w:abstractNum>
  <w:abstractNum w:abstractNumId="202">
    <w:nsid w:val="4303A216"/>
    <w:multiLevelType w:val="hybridMultilevel"/>
    <w:lvl w:ilvl="0">
      <w:lvlJc w:val="left"/>
      <w:lvlText w:val="(%1)"/>
      <w:numFmt w:val="decimal"/>
      <w:start w:val="1"/>
    </w:lvl>
  </w:abstractNum>
  <w:abstractNum w:abstractNumId="203">
    <w:nsid w:val="19B8A08E"/>
    <w:multiLevelType w:val="hybridMultilevel"/>
    <w:lvl w:ilvl="0">
      <w:lvlJc w:val="left"/>
      <w:lvlText w:val="(%1)"/>
      <w:numFmt w:val="lowerLetter"/>
      <w:start w:val="3"/>
    </w:lvl>
  </w:abstractNum>
  <w:abstractNum w:abstractNumId="204">
    <w:nsid w:val="54B59621"/>
    <w:multiLevelType w:val="hybridMultilevel"/>
    <w:lvl w:ilvl="0">
      <w:lvlJc w:val="left"/>
      <w:lvlText w:val="(%1)"/>
      <w:numFmt w:val="lowerLetter"/>
      <w:start w:val="2"/>
    </w:lvl>
  </w:abstractNum>
  <w:abstractNum w:abstractNumId="205">
    <w:nsid w:val="5992A02E"/>
    <w:multiLevelType w:val="hybridMultilevel"/>
    <w:lvl w:ilvl="0">
      <w:lvlJc w:val="left"/>
      <w:lvlText w:val="(%1)"/>
      <w:numFmt w:val="lowerRoman"/>
      <w:start w:val="1"/>
    </w:lvl>
  </w:abstractNum>
  <w:abstractNum w:abstractNumId="206">
    <w:nsid w:val="29EF532D"/>
    <w:multiLevelType w:val="hybridMultilevel"/>
    <w:lvl w:ilvl="0">
      <w:lvlJc w:val="left"/>
      <w:lvlText w:val="(%1)"/>
      <w:numFmt w:val="lowerRoman"/>
      <w:start w:val="4"/>
    </w:lvl>
  </w:abstractNum>
  <w:abstractNum w:abstractNumId="207">
    <w:nsid w:val="71D601AF"/>
    <w:multiLevelType w:val="hybridMultilevel"/>
    <w:lvl w:ilvl="0">
      <w:lvlJc w:val="left"/>
      <w:lvlText w:val="(%1)"/>
      <w:numFmt w:val="lowerLetter"/>
      <w:start w:val="3"/>
    </w:lvl>
  </w:abstractNum>
  <w:abstractNum w:abstractNumId="208">
    <w:nsid w:val="52C77402"/>
    <w:multiLevelType w:val="hybridMultilevel"/>
    <w:lvl w:ilvl="0">
      <w:lvlJc w:val="left"/>
      <w:lvlText w:val="(%1)"/>
      <w:numFmt w:val="lowerLetter"/>
      <w:start w:val="1"/>
    </w:lvl>
  </w:abstractNum>
  <w:abstractNum w:abstractNumId="209">
    <w:nsid w:val="2BB5B1C6"/>
    <w:multiLevelType w:val="hybridMultilevel"/>
    <w:lvl w:ilvl="0">
      <w:lvlJc w:val="left"/>
      <w:lvlText w:val="(%1)"/>
      <w:numFmt w:val="lowerLetter"/>
      <w:start w:val="1"/>
    </w:lvl>
  </w:abstractNum>
  <w:abstractNum w:abstractNumId="210">
    <w:nsid w:val="66BE6B9"/>
    <w:multiLevelType w:val="hybridMultilevel"/>
    <w:lvl w:ilvl="0">
      <w:lvlJc w:val="left"/>
      <w:lvlText w:val="%1"/>
      <w:numFmt w:val="lowerLetter"/>
      <w:start w:val="1"/>
    </w:lvl>
    <w:lvl w:ilvl="1">
      <w:lvlJc w:val="left"/>
      <w:lvlText w:val="(%2)"/>
      <w:numFmt w:val="decimal"/>
      <w:start w:val="1"/>
    </w:lvl>
  </w:abstractNum>
  <w:abstractNum w:abstractNumId="211">
    <w:nsid w:val="62234363"/>
    <w:multiLevelType w:val="hybridMultilevel"/>
    <w:lvl w:ilvl="0">
      <w:lvlJc w:val="left"/>
      <w:lvlText w:val="(%1)"/>
      <w:numFmt w:val="lowerLetter"/>
      <w:start w:val="4"/>
    </w:lvl>
    <w:lvl w:ilvl="1">
      <w:lvlJc w:val="left"/>
      <w:lvlText w:val="%2"/>
      <w:numFmt w:val="decimal"/>
      <w:start w:val="1"/>
    </w:lvl>
  </w:abstractNum>
  <w:abstractNum w:abstractNumId="212">
    <w:nsid w:val="66D385C9"/>
    <w:multiLevelType w:val="hybridMultilevel"/>
    <w:lvl w:ilvl="0">
      <w:lvlJc w:val="left"/>
      <w:lvlText w:val="%1"/>
      <w:numFmt w:val="lowerRoman"/>
      <w:start w:val="1"/>
    </w:lvl>
    <w:lvl w:ilvl="1">
      <w:lvlJc w:val="left"/>
      <w:lvlText w:val="(%2)"/>
      <w:numFmt w:val="decimal"/>
      <w:start w:val="8"/>
    </w:lvl>
  </w:abstractNum>
  <w:abstractNum w:abstractNumId="213">
    <w:nsid w:val="596F6D8A"/>
    <w:multiLevelType w:val="hybridMultilevel"/>
    <w:lvl w:ilvl="0">
      <w:lvlJc w:val="left"/>
      <w:lvlText w:val="(%1)"/>
      <w:numFmt w:val="lowerRoman"/>
      <w:start w:val="2"/>
    </w:lvl>
    <w:lvl w:ilvl="1">
      <w:lvlJc w:val="left"/>
      <w:lvlText w:val="(%2)"/>
      <w:numFmt w:val="decimal"/>
      <w:start w:val="14"/>
    </w:lvl>
  </w:abstractNum>
  <w:abstractNum w:abstractNumId="214">
    <w:nsid w:val="5749361F"/>
    <w:multiLevelType w:val="hybridMultilevel"/>
    <w:lvl w:ilvl="0">
      <w:lvlJc w:val="left"/>
      <w:lvlText w:val="(%1)"/>
      <w:numFmt w:val="decimal"/>
      <w:start w:val="17"/>
    </w:lvl>
  </w:abstractNum>
  <w:abstractNum w:abstractNumId="215">
    <w:nsid w:val="73BC6770"/>
    <w:multiLevelType w:val="hybridMultilevel"/>
    <w:lvl w:ilvl="0">
      <w:lvlJc w:val="left"/>
      <w:lvlText w:val="(%1)"/>
      <w:numFmt w:val="decimal"/>
      <w:start w:val="20"/>
    </w:lvl>
  </w:abstractNum>
  <w:abstractNum w:abstractNumId="216">
    <w:nsid w:val="280E6897"/>
    <w:multiLevelType w:val="hybridMultilevel"/>
    <w:lvl w:ilvl="0">
      <w:lvlJc w:val="left"/>
      <w:lvlText w:val="(%1)"/>
      <w:numFmt w:val="decimal"/>
      <w:start w:val="30"/>
    </w:lvl>
  </w:abstractNum>
  <w:abstractNum w:abstractNumId="217">
    <w:nsid w:val="605138DE"/>
    <w:multiLevelType w:val="hybridMultilevel"/>
    <w:lvl w:ilvl="0">
      <w:lvlJc w:val="left"/>
      <w:lvlText w:val="(%1)"/>
      <w:numFmt w:val="decimal"/>
      <w:start w:val="1"/>
    </w:lvl>
  </w:abstractNum>
  <w:abstractNum w:abstractNumId="218">
    <w:nsid w:val="2622AD0C"/>
    <w:multiLevelType w:val="hybridMultilevel"/>
    <w:lvl w:ilvl="0">
      <w:lvlJc w:val="left"/>
      <w:lvlText w:val="(%1)"/>
      <w:numFmt w:val="decimal"/>
      <w:start w:val="6"/>
    </w:lvl>
  </w:abstractNum>
  <w:abstractNum w:abstractNumId="219">
    <w:nsid w:val="67997556"/>
    <w:multiLevelType w:val="hybridMultilevel"/>
    <w:lvl w:ilvl="0">
      <w:lvlJc w:val="left"/>
      <w:lvlText w:val="(%1)"/>
      <w:numFmt w:val="decimal"/>
      <w:start w:val="1"/>
    </w:lvl>
  </w:abstractNum>
  <w:abstractNum w:abstractNumId="220">
    <w:nsid w:val="18333C89"/>
    <w:multiLevelType w:val="hybridMultilevel"/>
    <w:lvl w:ilvl="0">
      <w:lvlJc w:val="left"/>
      <w:lvlText w:val="(%1)"/>
      <w:numFmt w:val="decimal"/>
      <w:start w:val="6"/>
    </w:lvl>
    <w:lvl w:ilvl="1">
      <w:lvlJc w:val="left"/>
      <w:lvlText w:val="(%2)"/>
      <w:numFmt w:val="lowerLetter"/>
      <w:start w:val="1"/>
    </w:lvl>
  </w:abstractNum>
  <w:abstractNum w:abstractNumId="221">
    <w:nsid w:val="4BA9831A"/>
    <w:multiLevelType w:val="hybridMultilevel"/>
    <w:lvl w:ilvl="0">
      <w:lvlJc w:val="left"/>
      <w:lvlText w:val="%1"/>
      <w:numFmt w:val="decimal"/>
      <w:start w:val="1"/>
    </w:lvl>
    <w:lvl w:ilvl="1">
      <w:lvlJc w:val="left"/>
      <w:lvlText w:val="(%2)"/>
      <w:numFmt w:val="lowerLetter"/>
      <w:start w:val="2"/>
    </w:lvl>
  </w:abstractNum>
  <w:abstractNum w:abstractNumId="222">
    <w:nsid w:val="6D71A2B"/>
    <w:multiLevelType w:val="hybridMultilevel"/>
    <w:lvl w:ilvl="0">
      <w:lvlJc w:val="left"/>
      <w:lvlText w:val="(%1)"/>
      <w:numFmt w:val="decimal"/>
      <w:start w:val="7"/>
    </w:lvl>
    <w:lvl w:ilvl="1">
      <w:lvlJc w:val="left"/>
      <w:lvlText w:val="%2"/>
      <w:numFmt w:val="lowerLetter"/>
      <w:start w:val="1"/>
    </w:lvl>
  </w:abstractNum>
  <w:abstractNum w:abstractNumId="223">
    <w:nsid w:val="CFC7321"/>
    <w:multiLevelType w:val="hybridMultilevel"/>
    <w:lvl w:ilvl="0">
      <w:lvlJc w:val="left"/>
      <w:lvlText w:val="(%1)"/>
      <w:numFmt w:val="decimal"/>
      <w:start w:val="10"/>
    </w:lvl>
  </w:abstractNum>
  <w:abstractNum w:abstractNumId="224">
    <w:nsid w:val="1421971B"/>
    <w:multiLevelType w:val="hybridMultilevel"/>
    <w:lvl w:ilvl="0">
      <w:lvlJc w:val="left"/>
      <w:lvlText w:val="(%1)"/>
      <w:numFmt w:val="decimal"/>
      <w:start w:val="14"/>
    </w:lvl>
  </w:abstractNum>
  <w:abstractNum w:abstractNumId="225">
    <w:nsid w:val="1F404301"/>
    <w:multiLevelType w:val="hybridMultilevel"/>
    <w:lvl w:ilvl="0">
      <w:lvlJc w:val="left"/>
      <w:lvlText w:val="(%1)"/>
      <w:numFmt w:val="lowerLetter"/>
      <w:start w:val="3"/>
    </w:lvl>
  </w:abstractNum>
  <w:abstractNum w:abstractNumId="226">
    <w:nsid w:val="116E0907"/>
    <w:multiLevelType w:val="hybridMultilevel"/>
    <w:lvl w:ilvl="0">
      <w:lvlJc w:val="left"/>
      <w:lvlText w:val="%1"/>
      <w:numFmt w:val="decimal"/>
      <w:start w:val="1"/>
    </w:lvl>
    <w:lvl w:ilvl="1">
      <w:lvlJc w:val="left"/>
      <w:lvlText w:val="(%2)"/>
      <w:numFmt w:val="lowerLetter"/>
      <w:start w:val="9"/>
    </w:lvl>
  </w:abstractNum>
  <w:abstractNum w:abstractNumId="227">
    <w:nsid w:val="4B683D0D"/>
    <w:multiLevelType w:val="hybridMultilevel"/>
    <w:lvl w:ilvl="0">
      <w:lvlJc w:val="left"/>
      <w:lvlText w:val="(%1)"/>
      <w:numFmt w:val="decimal"/>
      <w:start w:val="91"/>
    </w:lvl>
    <w:lvl w:ilvl="1">
      <w:lvlJc w:val="left"/>
      <w:lvlText w:val="(%2)"/>
      <w:numFmt w:val="lowerLetter"/>
      <w:start w:val="35"/>
    </w:lvl>
  </w:abstractNum>
  <w:abstractNum w:abstractNumId="228">
    <w:nsid w:val="76E41D8"/>
    <w:multiLevelType w:val="hybridMultilevel"/>
    <w:lvl w:ilvl="0">
      <w:lvlJc w:val="left"/>
      <w:lvlText w:val="(%1)"/>
      <w:numFmt w:val="lowerRoman"/>
      <w:start w:val="3"/>
    </w:lvl>
  </w:abstractNum>
  <w:abstractNum w:abstractNumId="229">
    <w:nsid w:val="71DCE0FD"/>
    <w:multiLevelType w:val="hybridMultilevel"/>
    <w:lvl w:ilvl="0">
      <w:lvlJc w:val="left"/>
      <w:lvlText w:val="(%1)"/>
      <w:numFmt w:val="lowerRoman"/>
      <w:start w:val="2"/>
    </w:lvl>
  </w:abstractNum>
  <w:abstractNum w:abstractNumId="230">
    <w:nsid w:val="7906328B"/>
    <w:multiLevelType w:val="hybridMultilevel"/>
    <w:lvl w:ilvl="0">
      <w:lvlJc w:val="left"/>
      <w:lvlText w:val="(%1)"/>
      <w:numFmt w:val="lowerLetter"/>
      <w:start w:val="1"/>
    </w:lvl>
  </w:abstractNum>
  <w:abstractNum w:abstractNumId="231">
    <w:nsid w:val="72BBC16"/>
    <w:multiLevelType w:val="hybridMultilevel"/>
    <w:lvl w:ilvl="0">
      <w:lvlJc w:val="left"/>
      <w:lvlText w:val="(%1)"/>
      <w:numFmt w:val="lowerLetter"/>
      <w:start w:val="1"/>
    </w:lvl>
  </w:abstractNum>
  <w:abstractNum w:abstractNumId="232">
    <w:nsid w:val="766D98C2"/>
    <w:multiLevelType w:val="hybridMultilevel"/>
    <w:lvl w:ilvl="0">
      <w:lvlJc w:val="left"/>
      <w:lvlText w:val="(%1)"/>
      <w:numFmt w:val="lowerLetter"/>
      <w:start w:val="3"/>
    </w:lvl>
  </w:abstractNum>
  <w:abstractNum w:abstractNumId="233">
    <w:nsid w:val="3C09D4A1"/>
    <w:multiLevelType w:val="hybridMultilevel"/>
    <w:lvl w:ilvl="0">
      <w:lvlJc w:val="left"/>
      <w:lvlText w:val="(%1)"/>
      <w:numFmt w:val="lowerLetter"/>
      <w:start w:val="2"/>
    </w:lvl>
  </w:abstractNum>
  <w:abstractNum w:abstractNumId="234">
    <w:nsid w:val="20E45CA4"/>
    <w:multiLevelType w:val="hybridMultilevel"/>
    <w:lvl w:ilvl="0">
      <w:lvlJc w:val="left"/>
      <w:lvlText w:val="(%1)"/>
      <w:numFmt w:val="decimal"/>
      <w:start w:val="1"/>
    </w:lvl>
    <w:lvl w:ilvl="1">
      <w:lvlJc w:val="left"/>
      <w:lvlText w:val="(%2)"/>
      <w:numFmt w:val="lowerLetter"/>
      <w:start w:val="1"/>
    </w:lvl>
  </w:abstractNum>
  <w:abstractNum w:abstractNumId="235">
    <w:nsid w:val="4B232EE3"/>
    <w:multiLevelType w:val="hybridMultilevel"/>
    <w:lvl w:ilvl="0">
      <w:lvlJc w:val="left"/>
      <w:lvlText w:val="(%1)"/>
      <w:numFmt w:val="lowerLetter"/>
      <w:start w:val="1"/>
    </w:lvl>
  </w:abstractNum>
  <w:abstractNum w:abstractNumId="236">
    <w:nsid w:val="159C74CF"/>
    <w:multiLevelType w:val="hybridMultilevel"/>
    <w:lvl w:ilvl="0">
      <w:lvlJc w:val="left"/>
      <w:lvlText w:val="(%1)"/>
      <w:numFmt w:val="lowerLetter"/>
      <w:start w:val="1"/>
    </w:lvl>
  </w:abstractNum>
  <w:abstractNum w:abstractNumId="237">
    <w:nsid w:val="4AD3AFD2"/>
    <w:multiLevelType w:val="hybridMultilevel"/>
    <w:lvl w:ilvl="0">
      <w:lvlJc w:val="left"/>
      <w:lvlText w:val="(%1)"/>
      <w:numFmt w:val="lowerLetter"/>
      <w:start w:val="4"/>
    </w:lvl>
  </w:abstractNum>
  <w:abstractNum w:abstractNumId="238">
    <w:nsid w:val="3CF93092"/>
    <w:multiLevelType w:val="hybridMultilevel"/>
    <w:lvl w:ilvl="0">
      <w:lvlJc w:val="left"/>
      <w:lvlText w:val="(%1)"/>
      <w:numFmt w:val="lowerLetter"/>
      <w:start w:val="1"/>
    </w:lvl>
  </w:abstractNum>
  <w:abstractNum w:abstractNumId="239">
    <w:nsid w:val="6863E8D2"/>
    <w:multiLevelType w:val="hybridMultilevel"/>
    <w:lvl w:ilvl="0">
      <w:lvlJc w:val="left"/>
      <w:lvlText w:val="(%1)"/>
      <w:numFmt w:val="lowerLetter"/>
      <w:start w:val="2"/>
    </w:lvl>
  </w:abstractNum>
  <w:abstractNum w:abstractNumId="240">
    <w:nsid w:val="76896198"/>
    <w:multiLevelType w:val="hybridMultilevel"/>
    <w:lvl w:ilvl="0">
      <w:lvlJc w:val="left"/>
      <w:lvlText w:val="(%1)"/>
      <w:numFmt w:val="lowerRoman"/>
      <w:start w:val="1"/>
    </w:lvl>
  </w:abstractNum>
  <w:abstractNum w:abstractNumId="241">
    <w:nsid w:val="4365174B"/>
    <w:multiLevelType w:val="hybridMultilevel"/>
    <w:lvl w:ilvl="0">
      <w:lvlJc w:val="left"/>
      <w:lvlText w:val="%1"/>
      <w:numFmt w:val="lowerLetter"/>
      <w:start w:val="1"/>
    </w:lvl>
    <w:lvl w:ilvl="1">
      <w:lvlJc w:val="left"/>
      <w:lvlText w:val="(%2)"/>
      <w:numFmt w:val="lowerLetter"/>
      <w:start w:val="6"/>
    </w:lvl>
  </w:abstractNum>
  <w:abstractNum w:abstractNumId="242">
    <w:nsid w:val="4A872C35"/>
    <w:multiLevelType w:val="hybridMultilevel"/>
    <w:lvl w:ilvl="0">
      <w:lvlJc w:val="left"/>
      <w:lvlText w:val="(%1)"/>
      <w:numFmt w:val="lowerLetter"/>
      <w:start w:val="3"/>
    </w:lvl>
    <w:lvl w:ilvl="1">
      <w:lvlJc w:val="left"/>
      <w:lvlText w:val="(%2)"/>
      <w:numFmt w:val="lowerLetter"/>
      <w:start w:val="7"/>
    </w:lvl>
  </w:abstractNum>
  <w:abstractNum w:abstractNumId="243">
    <w:nsid w:val="5D5CE761"/>
    <w:multiLevelType w:val="hybridMultilevel"/>
    <w:lvl w:ilvl="0">
      <w:lvlJc w:val="left"/>
      <w:lvlText w:val="(%1)"/>
      <w:numFmt w:val="lowerLetter"/>
      <w:start w:val="1"/>
    </w:lvl>
  </w:abstractNum>
  <w:abstractNum w:abstractNumId="244">
    <w:nsid w:val="1CD484D5"/>
    <w:multiLevelType w:val="hybridMultilevel"/>
    <w:lvl w:ilvl="0">
      <w:lvlJc w:val="left"/>
      <w:lvlText w:val="(%1)"/>
      <w:numFmt w:val="lowerLetter"/>
      <w:start w:val="2"/>
    </w:lvl>
  </w:abstractNum>
  <w:abstractNum w:abstractNumId="245">
    <w:nsid w:val="21D06255"/>
    <w:multiLevelType w:val="hybridMultilevel"/>
    <w:lvl w:ilvl="0">
      <w:lvlJc w:val="left"/>
      <w:lvlText w:val="(%1)"/>
      <w:numFmt w:val="lowerLetter"/>
      <w:start w:val="1"/>
    </w:lvl>
    <w:lvl w:ilvl="1">
      <w:lvlJc w:val="left"/>
      <w:lvlText w:val="(%2)"/>
      <w:numFmt w:val="lowerRoman"/>
      <w:start w:val="1"/>
    </w:lvl>
  </w:abstractNum>
  <w:abstractNum w:abstractNumId="246">
    <w:nsid w:val="51194ED1"/>
    <w:multiLevelType w:val="hybridMultilevel"/>
    <w:lvl w:ilvl="0">
      <w:lvlJc w:val="left"/>
      <w:lvlText w:val="(%1)"/>
      <w:numFmt w:val="lowerRoman"/>
      <w:start w:val="3"/>
    </w:lvl>
  </w:abstractNum>
  <w:abstractNum w:abstractNumId="247">
    <w:nsid w:val="44E2ED6C"/>
    <w:multiLevelType w:val="hybridMultilevel"/>
    <w:lvl w:ilvl="0">
      <w:lvlJc w:val="left"/>
      <w:lvlText w:val="(%1)"/>
      <w:numFmt w:val="lowerLetter"/>
      <w:start w:val="1"/>
    </w:lvl>
    <w:lvl w:ilvl="1">
      <w:lvlJc w:val="left"/>
      <w:lvlText w:val="(%2)"/>
      <w:numFmt w:val="lowerLetter"/>
      <w:start w:val="9"/>
    </w:lvl>
  </w:abstractNum>
  <w:abstractNum w:abstractNumId="248">
    <w:nsid w:val="2219B33"/>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249">
    <w:nsid w:val="773BFBDD"/>
    <w:multiLevelType w:val="hybridMultilevel"/>
    <w:lvl w:ilvl="0">
      <w:lvlJc w:val="left"/>
      <w:lvlText w:val="(%1)"/>
      <w:numFmt w:val="lowerLetter"/>
      <w:start w:val="2"/>
    </w:lvl>
    <w:lvl w:ilvl="1">
      <w:lvlJc w:val="left"/>
      <w:lvlText w:val="(%2)"/>
      <w:numFmt w:val="lowerRoman"/>
      <w:start w:val="1"/>
    </w:lvl>
  </w:abstractNum>
  <w:abstractNum w:abstractNumId="250">
    <w:nsid w:val="2C7C62C2"/>
    <w:multiLevelType w:val="hybridMultilevel"/>
    <w:lvl w:ilvl="0">
      <w:lvlJc w:val="left"/>
      <w:lvlText w:val="%1"/>
      <w:numFmt w:val="lowerLetter"/>
      <w:start w:val="1"/>
    </w:lvl>
    <w:lvl w:ilvl="1">
      <w:lvlJc w:val="left"/>
      <w:lvlText w:val="(%2)"/>
      <w:numFmt w:val="lowerRoman"/>
      <w:start w:val="3"/>
    </w:lvl>
  </w:abstractNum>
  <w:abstractNum w:abstractNumId="251">
    <w:nsid w:val="1A54D7BC"/>
    <w:multiLevelType w:val="hybridMultilevel"/>
    <w:lvl w:ilvl="0">
      <w:lvlJc w:val="left"/>
      <w:lvlText w:val="(%1)"/>
      <w:numFmt w:val="lowerLetter"/>
      <w:start w:val="3"/>
    </w:lvl>
    <w:lvl w:ilvl="1">
      <w:lvlJc w:val="left"/>
      <w:lvlText w:val="(%2)"/>
      <w:numFmt w:val="lowerRoman"/>
      <w:start w:val="1"/>
    </w:lvl>
  </w:abstractNum>
  <w:abstractNum w:abstractNumId="252">
    <w:nsid w:val="42E57EF7"/>
    <w:multiLevelType w:val="hybridMultilevel"/>
    <w:lvl w:ilvl="0">
      <w:lvlJc w:val="left"/>
      <w:lvlText w:val="%1"/>
      <w:numFmt w:val="lowerRoman"/>
      <w:start w:val="1"/>
    </w:lvl>
    <w:lvl w:ilvl="1">
      <w:lvlJc w:val="left"/>
      <w:lvlText w:val="(%2)"/>
      <w:numFmt w:val="lowerRoman"/>
      <w:start w:val="2"/>
    </w:lvl>
  </w:abstractNum>
  <w:abstractNum w:abstractNumId="253">
    <w:nsid w:val="33537CED"/>
    <w:multiLevelType w:val="hybridMultilevel"/>
    <w:lvl w:ilvl="0">
      <w:lvlJc w:val="left"/>
      <w:lvlText w:val="(%1)"/>
      <w:numFmt w:val="lowerRoman"/>
      <w:start w:val="1"/>
    </w:lvl>
    <w:lvl w:ilvl="1">
      <w:lvlJc w:val="left"/>
      <w:lvlText w:val="(%2)"/>
      <w:numFmt w:val="lowerRoman"/>
      <w:start w:val="3"/>
    </w:lvl>
  </w:abstractNum>
  <w:abstractNum w:abstractNumId="254">
    <w:nsid w:val="27514ADE"/>
    <w:multiLevelType w:val="hybridMultilevel"/>
    <w:lvl w:ilvl="0">
      <w:lvlJc w:val="left"/>
      <w:lvlText w:val="%1"/>
      <w:numFmt w:val="lowerLetter"/>
      <w:start w:val="1"/>
    </w:lvl>
    <w:lvl w:ilvl="1">
      <w:lvlJc w:val="left"/>
      <w:lvlText w:val="(%2)"/>
      <w:numFmt w:val="lowerRoman"/>
      <w:start w:val="6"/>
    </w:lvl>
  </w:abstractNum>
  <w:abstractNum w:abstractNumId="255">
    <w:nsid w:val="57071613"/>
    <w:multiLevelType w:val="hybridMultilevel"/>
    <w:lvl w:ilvl="0">
      <w:lvlJc w:val="left"/>
      <w:lvlText w:val="(%1)"/>
      <w:numFmt w:val="lowerLetter"/>
      <w:start w:val="4"/>
    </w:lvl>
    <w:lvl w:ilvl="1">
      <w:lvlJc w:val="left"/>
      <w:lvlText w:val="(%2)"/>
      <w:numFmt w:val="lowerRoman"/>
      <w:start w:val="1"/>
    </w:lvl>
  </w:abstractNum>
  <w:abstractNum w:abstractNumId="256">
    <w:nsid w:val="5293BFEF"/>
    <w:multiLevelType w:val="hybridMultilevel"/>
    <w:lvl w:ilvl="0">
      <w:lvlJc w:val="left"/>
      <w:lvlText w:val="(%1)"/>
      <w:numFmt w:val="lowerLetter"/>
      <w:start w:val="5"/>
    </w:lvl>
    <w:lvl w:ilvl="1">
      <w:lvlJc w:val="left"/>
      <w:lvlText w:val="(%2)"/>
      <w:numFmt w:val="lowerRoman"/>
      <w:start w:val="1"/>
    </w:lvl>
  </w:abstractNum>
  <w:abstractNum w:abstractNumId="257">
    <w:nsid w:val="38BF53E5"/>
    <w:multiLevelType w:val="hybridMultilevel"/>
    <w:lvl w:ilvl="0">
      <w:lvlJc w:val="left"/>
      <w:lvlText w:val="(%1)"/>
      <w:numFmt w:val="lowerLetter"/>
      <w:start w:val="6"/>
    </w:lvl>
  </w:abstractNum>
  <w:abstractNum w:abstractNumId="258">
    <w:nsid w:val="226F5320"/>
    <w:multiLevelType w:val="hybridMultilevel"/>
    <w:lvl w:ilvl="0">
      <w:lvlJc w:val="left"/>
      <w:lvlText w:val="(%1)"/>
      <w:numFmt w:val="lowerLetter"/>
      <w:start w:val="7"/>
    </w:lvl>
  </w:abstractNum>
  <w:abstractNum w:abstractNumId="259">
    <w:nsid w:val="5A0201C7"/>
    <w:multiLevelType w:val="hybridMultilevel"/>
    <w:lvl w:ilvl="0">
      <w:lvlJc w:val="left"/>
      <w:lvlText w:val="(%1)"/>
      <w:numFmt w:val="lowerLetter"/>
      <w:start w:val="10"/>
    </w:lvl>
  </w:abstractNum>
  <w:abstractNum w:abstractNumId="260">
    <w:nsid w:val="2A9C34E2"/>
    <w:multiLevelType w:val="hybridMultilevel"/>
    <w:lvl w:ilvl="0">
      <w:lvlJc w:val="left"/>
      <w:lvlText w:val="(%1)"/>
      <w:numFmt w:val="lowerLetter"/>
      <w:start w:val="13"/>
    </w:lvl>
  </w:abstractNum>
  <w:abstractNum w:abstractNumId="261">
    <w:nsid w:val="1B7585AB"/>
    <w:multiLevelType w:val="hybridMultilevel"/>
    <w:lvl w:ilvl="0">
      <w:lvlJc w:val="left"/>
      <w:lvlText w:val="(%1)"/>
      <w:numFmt w:val="lowerLetter"/>
      <w:start w:val="1"/>
    </w:lvl>
  </w:abstractNum>
  <w:abstractNum w:abstractNumId="262">
    <w:nsid w:val="612DBDDD"/>
    <w:multiLevelType w:val="hybridMultilevel"/>
    <w:lvl w:ilvl="0">
      <w:lvlJc w:val="left"/>
      <w:lvlText w:val="(%1)"/>
      <w:numFmt w:val="lowerLetter"/>
      <w:start w:val="2"/>
    </w:lvl>
  </w:abstractNum>
  <w:abstractNum w:abstractNumId="263">
    <w:nsid w:val="2109CD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4">
    <w:nsid w:val="577F5A4D"/>
    <w:multiLevelType w:val="hybridMultilevel"/>
    <w:lvl w:ilvl="0">
      <w:lvlJc w:val="left"/>
      <w:lvlText w:val="%1"/>
      <w:numFmt w:val="lowerLetter"/>
      <w:start w:val="1"/>
    </w:lvl>
    <w:lvl w:ilvl="1">
      <w:lvlJc w:val="left"/>
      <w:lvlText w:val="(%2)"/>
      <w:numFmt w:val="lowerRoman"/>
      <w:start w:val="2"/>
    </w:lvl>
  </w:abstractNum>
  <w:abstractNum w:abstractNumId="265">
    <w:nsid w:val="2121A81"/>
    <w:multiLevelType w:val="hybridMultilevel"/>
    <w:lvl w:ilvl="0">
      <w:lvlJc w:val="left"/>
      <w:lvlText w:val="(%1)"/>
      <w:numFmt w:val="lowerLetter"/>
      <w:start w:val="2"/>
    </w:lvl>
    <w:lvl w:ilvl="1">
      <w:lvlJc w:val="left"/>
      <w:lvlText w:val="(%2)"/>
      <w:numFmt w:val="lowerRoman"/>
      <w:start w:val="1"/>
    </w:lvl>
  </w:abstractNum>
  <w:abstractNum w:abstractNumId="266">
    <w:nsid w:val="6C2CFC88"/>
    <w:multiLevelType w:val="hybridMultilevel"/>
    <w:lvl w:ilvl="0">
      <w:lvlJc w:val="left"/>
      <w:lvlText w:val="(%1)"/>
      <w:numFmt w:val="lowerRoman"/>
      <w:start w:val="2"/>
    </w:lvl>
  </w:abstractNum>
  <w:abstractNum w:abstractNumId="267">
    <w:nsid w:val="6D1BCF1C"/>
    <w:multiLevelType w:val="hybridMultilevel"/>
    <w:lvl w:ilvl="0">
      <w:lvlJc w:val="left"/>
      <w:lvlText w:val="(%1)"/>
      <w:numFmt w:val="lowerLetter"/>
      <w:start w:val="3"/>
    </w:lvl>
  </w:abstractNum>
  <w:abstractNum w:abstractNumId="268">
    <w:nsid w:val="4CE5CA53"/>
    <w:multiLevelType w:val="hybridMultilevel"/>
    <w:lvl w:ilvl="0">
      <w:lvlJc w:val="left"/>
      <w:lvlText w:val="(%1)"/>
      <w:numFmt w:val="lowerLetter"/>
      <w:start w:val="4"/>
    </w:lvl>
    <w:lvl w:ilvl="1">
      <w:lvlJc w:val="left"/>
      <w:lvlText w:val="(%2)"/>
      <w:numFmt w:val="lowerRoman"/>
      <w:start w:val="1"/>
    </w:lvl>
  </w:abstractNum>
  <w:abstractNum w:abstractNumId="269">
    <w:nsid w:val="29262D1A"/>
    <w:multiLevelType w:val="hybridMultilevel"/>
    <w:lvl w:ilvl="0">
      <w:lvlJc w:val="left"/>
      <w:lvlText w:val="(%1)"/>
      <w:numFmt w:val="lowerLetter"/>
      <w:start w:val="5"/>
    </w:lvl>
  </w:abstractNum>
  <w:abstractNum w:abstractNumId="270">
    <w:nsid w:val="557FB7EE"/>
    <w:multiLevelType w:val="hybridMultilevel"/>
    <w:lvl w:ilvl="0">
      <w:lvlJc w:val="left"/>
      <w:lvlText w:val="(%1)"/>
      <w:numFmt w:val="lowerLetter"/>
      <w:start w:val="1"/>
    </w:lvl>
  </w:abstractNum>
  <w:abstractNum w:abstractNumId="271">
    <w:nsid w:val="436F2BEB"/>
    <w:multiLevelType w:val="hybridMultilevel"/>
    <w:lvl w:ilvl="0">
      <w:lvlJc w:val="left"/>
      <w:lvlText w:val="(%1)"/>
      <w:numFmt w:val="lowerLetter"/>
      <w:start w:val="2"/>
    </w:lvl>
    <w:lvl w:ilvl="1">
      <w:lvlJc w:val="left"/>
      <w:lvlText w:val="(%2)"/>
      <w:numFmt w:val="lowerRoman"/>
      <w:start w:val="1"/>
    </w:lvl>
  </w:abstractNum>
  <w:abstractNum w:abstractNumId="272">
    <w:nsid w:val="6C8B4466"/>
    <w:multiLevelType w:val="hybridMultilevel"/>
    <w:lvl w:ilvl="0">
      <w:lvlJc w:val="left"/>
      <w:lvlText w:val="(%1)"/>
      <w:numFmt w:val="lowerLetter"/>
      <w:start w:val="1"/>
    </w:lvl>
  </w:abstractNum>
  <w:abstractNum w:abstractNumId="273">
    <w:nsid w:val="2006E424"/>
    <w:multiLevelType w:val="hybridMultilevel"/>
    <w:lvl w:ilvl="0">
      <w:lvlJc w:val="left"/>
      <w:lvlText w:val="(%1)"/>
      <w:numFmt w:val="lowerLetter"/>
      <w:start w:val="1"/>
    </w:lvl>
  </w:abstractNum>
  <w:abstractNum w:abstractNumId="274">
    <w:nsid w:val="20CC134C"/>
    <w:multiLevelType w:val="hybridMultilevel"/>
    <w:lvl w:ilvl="0">
      <w:lvlJc w:val="left"/>
      <w:lvlText w:val="(%1)"/>
      <w:numFmt w:val="lowerLetter"/>
      <w:start w:val="4"/>
    </w:lvl>
  </w:abstractNum>
  <w:abstractNum w:abstractNumId="275">
    <w:nsid w:val="95FC93B"/>
    <w:multiLevelType w:val="hybridMultilevel"/>
    <w:lvl w:ilvl="0">
      <w:lvlJc w:val="left"/>
      <w:lvlText w:val="(%1)"/>
      <w:numFmt w:val="lowerLetter"/>
      <w:start w:val="1"/>
    </w:lvl>
    <w:lvl w:ilvl="1">
      <w:lvlJc w:val="left"/>
      <w:lvlText w:val="(%2)"/>
      <w:numFmt w:val="lowerLetter"/>
      <w:start w:val="9"/>
    </w:lvl>
  </w:abstractNum>
  <w:abstractNum w:abstractNumId="276">
    <w:nsid w:val="41D74679"/>
    <w:multiLevelType w:val="hybridMultilevel"/>
    <w:lvl w:ilvl="0">
      <w:lvlJc w:val="left"/>
      <w:lvlText w:val="(%1)"/>
      <w:numFmt w:val="lowerRoman"/>
      <w:start w:val="2"/>
    </w:lvl>
  </w:abstractNum>
  <w:abstractNum w:abstractNumId="277">
    <w:nsid w:val="71E5621E"/>
    <w:multiLevelType w:val="hybridMultilevel"/>
    <w:lvl w:ilvl="0">
      <w:lvlJc w:val="left"/>
      <w:lvlText w:val="(%1)"/>
      <w:numFmt w:val="lowerLetter"/>
      <w:start w:val="3"/>
    </w:lvl>
    <w:lvl w:ilvl="1">
      <w:lvlJc w:val="left"/>
      <w:lvlText w:val="(%2)"/>
      <w:numFmt w:val="lowerRoman"/>
      <w:start w:val="1"/>
    </w:lvl>
  </w:abstractNum>
  <w:abstractNum w:abstractNumId="278">
    <w:nsid w:val="4E42B6A8"/>
    <w:multiLevelType w:val="hybridMultilevel"/>
    <w:lvl w:ilvl="0">
      <w:lvlJc w:val="left"/>
      <w:lvlText w:val="(%1)"/>
      <w:numFmt w:val="lowerLetter"/>
      <w:start w:val="1"/>
    </w:lvl>
  </w:abstractNum>
  <w:abstractNum w:abstractNumId="279">
    <w:nsid w:val="43F8E1AC"/>
    <w:multiLevelType w:val="hybridMultilevel"/>
    <w:lvl w:ilvl="0">
      <w:lvlJc w:val="left"/>
      <w:lvlText w:val="(%1)"/>
      <w:numFmt w:val="lowerLetter"/>
      <w:start w:val="1"/>
    </w:lvl>
  </w:abstractNum>
  <w:abstractNum w:abstractNumId="280">
    <w:nsid w:val="69215DFB"/>
    <w:multiLevelType w:val="hybridMultilevel"/>
    <w:lvl w:ilvl="0">
      <w:lvlJc w:val="left"/>
      <w:lvlText w:val="(%1)"/>
      <w:numFmt w:val="lowerLetter"/>
      <w:start w:val="2"/>
    </w:lvl>
  </w:abstractNum>
  <w:abstractNum w:abstractNumId="281">
    <w:nsid w:val="7ABF196A"/>
    <w:multiLevelType w:val="hybridMultilevel"/>
    <w:lvl w:ilvl="0">
      <w:lvlJc w:val="left"/>
      <w:lvlText w:val="(%1)"/>
      <w:numFmt w:val="lowerLetter"/>
      <w:start w:val="1"/>
    </w:lvl>
  </w:abstractNum>
  <w:abstractNum w:abstractNumId="282">
    <w:nsid w:val="5E4DB968"/>
    <w:multiLevelType w:val="hybridMultilevel"/>
    <w:lvl w:ilvl="0">
      <w:lvlJc w:val="left"/>
      <w:lvlText w:val="(%1)"/>
      <w:numFmt w:val="lowerLetter"/>
      <w:start w:val="2"/>
    </w:lvl>
  </w:abstractNum>
  <w:abstractNum w:abstractNumId="283">
    <w:nsid w:val="2C06DCF3"/>
    <w:multiLevelType w:val="hybridMultilevel"/>
    <w:lvl w:ilvl="0">
      <w:lvlJc w:val="left"/>
      <w:lvlText w:val="(%1)"/>
      <w:numFmt w:val="lowerLetter"/>
      <w:start w:val="6"/>
    </w:lvl>
  </w:abstractNum>
  <w:abstractNum w:abstractNumId="284">
    <w:nsid w:val="2E129658"/>
    <w:multiLevelType w:val="hybridMultilevel"/>
    <w:lvl w:ilvl="0">
      <w:lvlJc w:val="left"/>
      <w:lvlText w:val="(%1)"/>
      <w:numFmt w:val="lowerLetter"/>
      <w:start w:val="8"/>
    </w:lvl>
  </w:abstractNum>
  <w:abstractNum w:abstractNumId="285">
    <w:nsid w:val="59F0446"/>
    <w:multiLevelType w:val="hybridMultilevel"/>
    <w:lvl w:ilvl="0">
      <w:lvlJc w:val="left"/>
      <w:lvlText w:val="(%1)"/>
      <w:numFmt w:val="lowerLetter"/>
      <w:start w:val="1"/>
    </w:lvl>
  </w:abstractNum>
  <w:abstractNum w:abstractNumId="286">
    <w:nsid w:val="30DF306"/>
    <w:multiLevelType w:val="hybridMultilevel"/>
    <w:lvl w:ilvl="0">
      <w:lvlJc w:val="left"/>
      <w:lvlText w:val="(%1)"/>
      <w:numFmt w:val="lowerLetter"/>
      <w:start w:val="6"/>
    </w:lvl>
  </w:abstractNum>
  <w:abstractNum w:abstractNumId="287">
    <w:nsid w:val="A65647"/>
    <w:multiLevelType w:val="hybridMultilevel"/>
    <w:lvl w:ilvl="0">
      <w:lvlJc w:val="left"/>
      <w:lvlText w:val="(%1)"/>
      <w:numFmt w:val="lowerRoman"/>
      <w:start w:val="1"/>
    </w:lvl>
  </w:abstractNum>
  <w:abstractNum w:abstractNumId="288">
    <w:nsid w:val="3E5E582B"/>
    <w:multiLevelType w:val="hybridMultilevel"/>
    <w:lvl w:ilvl="0">
      <w:lvlJc w:val="left"/>
      <w:lvlText w:val="(%1)"/>
      <w:numFmt w:val="lowerLetter"/>
      <w:start w:val="7"/>
    </w:lvl>
    <w:lvl w:ilvl="1">
      <w:lvlJc w:val="left"/>
      <w:lvlText w:val="(%2)"/>
      <w:numFmt w:val="lowerRoman"/>
      <w:start w:val="1"/>
    </w:lvl>
  </w:abstractNum>
  <w:abstractNum w:abstractNumId="289">
    <w:nsid w:val="257D4626"/>
    <w:multiLevelType w:val="hybridMultilevel"/>
    <w:lvl w:ilvl="0">
      <w:lvlJc w:val="left"/>
      <w:lvlText w:val="(%1)"/>
      <w:numFmt w:val="lowerRoman"/>
      <w:start w:val="1"/>
    </w:lvl>
  </w:abstractNum>
  <w:abstractNum w:abstractNumId="290">
    <w:nsid w:val="5AA8580E"/>
    <w:multiLevelType w:val="hybridMultilevel"/>
    <w:lvl w:ilvl="0">
      <w:lvlJc w:val="left"/>
      <w:lvlText w:val="(%1)"/>
      <w:numFmt w:val="lowerLetter"/>
      <w:start w:val="10"/>
    </w:lvl>
  </w:abstractNum>
  <w:abstractNum w:abstractNumId="291">
    <w:nsid w:val="68FA8D0D"/>
    <w:multiLevelType w:val="hybridMultilevel"/>
    <w:lvl w:ilvl="0">
      <w:lvlJc w:val="left"/>
      <w:lvlText w:val="(%1)"/>
      <w:numFmt w:val="lowerLetter"/>
      <w:start w:val="1"/>
    </w:lvl>
  </w:abstractNum>
  <w:abstractNum w:abstractNumId="292">
    <w:nsid w:val="40F2CBD2"/>
    <w:multiLevelType w:val="hybridMultilevel"/>
    <w:lvl w:ilvl="0">
      <w:lvlJc w:val="left"/>
      <w:lvlText w:val="(%1)"/>
      <w:numFmt w:val="lowerLetter"/>
      <w:start w:val="3"/>
    </w:lvl>
  </w:abstractNum>
  <w:abstractNum w:abstractNumId="293">
    <w:nsid w:val="3BD615EB"/>
    <w:multiLevelType w:val="hybridMultilevel"/>
    <w:lvl w:ilvl="0">
      <w:lvlJc w:val="left"/>
      <w:lvlText w:val="(%1)"/>
      <w:numFmt w:val="lowerLetter"/>
      <w:start w:val="1"/>
    </w:lvl>
  </w:abstractNum>
  <w:abstractNum w:abstractNumId="294">
    <w:nsid w:val="A045AB2"/>
    <w:multiLevelType w:val="hybridMultilevel"/>
    <w:lvl w:ilvl="0">
      <w:lvlJc w:val="left"/>
      <w:lvlText w:val="(%1)"/>
      <w:numFmt w:val="lowerLetter"/>
      <w:start w:val="2"/>
    </w:lvl>
  </w:abstractNum>
  <w:abstractNum w:abstractNumId="295">
    <w:nsid w:val="1872261F"/>
    <w:multiLevelType w:val="hybridMultilevel"/>
    <w:lvl w:ilvl="0">
      <w:lvlJc w:val="left"/>
      <w:lvlText w:val="(%1)"/>
      <w:numFmt w:val="lowerLetter"/>
      <w:start w:val="4"/>
    </w:lvl>
    <w:lvl w:ilvl="1">
      <w:lvlJc w:val="left"/>
      <w:lvlText w:val="(%2)"/>
      <w:numFmt w:val="lowerRoman"/>
      <w:start w:val="1"/>
    </w:lvl>
  </w:abstractNum>
  <w:abstractNum w:abstractNumId="296">
    <w:nsid w:val="3DE8306C"/>
    <w:multiLevelType w:val="hybridMultilevel"/>
    <w:lvl w:ilvl="0">
      <w:lvlJc w:val="left"/>
      <w:lvlText w:val="(%1)"/>
      <w:numFmt w:val="lowerRoman"/>
      <w:start w:val="4"/>
    </w:lvl>
  </w:abstractNum>
  <w:abstractNum w:abstractNumId="297">
    <w:nsid w:val="7631573A"/>
    <w:multiLevelType w:val="hybridMultilevel"/>
    <w:lvl w:ilvl="0">
      <w:lvlJc w:val="left"/>
      <w:lvlText w:val="(%1)"/>
      <w:numFmt w:val="lowerLetter"/>
      <w:start w:val="5"/>
    </w:lvl>
  </w:abstractNum>
  <w:abstractNum w:abstractNumId="298">
    <w:nsid w:val="58DF53B"/>
    <w:multiLevelType w:val="hybridMultilevel"/>
    <w:lvl w:ilvl="0">
      <w:lvlJc w:val="left"/>
      <w:lvlText w:val="(%1)"/>
      <w:numFmt w:val="lowerLetter"/>
      <w:start w:val="1"/>
    </w:lvl>
    <w:lvl w:ilvl="1">
      <w:lvlJc w:val="left"/>
      <w:lvlText w:val="(%2)"/>
      <w:numFmt w:val="lowerLetter"/>
      <w:start w:val="9"/>
    </w:lvl>
  </w:abstractNum>
  <w:abstractNum w:abstractNumId="299">
    <w:nsid w:val="ACDFAC0"/>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300">
    <w:nsid w:val="1F578454"/>
    <w:multiLevelType w:val="hybridMultilevel"/>
    <w:lvl w:ilvl="0">
      <w:lvlJc w:val="left"/>
      <w:lvlText w:val="%1"/>
      <w:numFmt w:val="lowerLetter"/>
      <w:start w:val="1"/>
    </w:lvl>
    <w:lvl w:ilvl="1">
      <w:lvlJc w:val="left"/>
      <w:lvlText w:val="(%2)"/>
      <w:numFmt w:val="lowerRoman"/>
      <w:start w:val="3"/>
    </w:lvl>
  </w:abstractNum>
  <w:abstractNum w:abstractNumId="301">
    <w:nsid w:val="5B0DAD2A"/>
    <w:multiLevelType w:val="hybridMultilevel"/>
    <w:lvl w:ilvl="0">
      <w:lvlJc w:val="left"/>
      <w:lvlText w:val="(%1)"/>
      <w:numFmt w:val="lowerLetter"/>
      <w:start w:val="2"/>
    </w:lvl>
    <w:lvl w:ilvl="1">
      <w:lvlJc w:val="left"/>
      <w:lvlText w:val="%2"/>
      <w:numFmt w:val="lowerRoman"/>
      <w:start w:val="1"/>
    </w:lvl>
  </w:abstractNum>
  <w:abstractNum w:abstractNumId="302">
    <w:nsid w:val="4E3D26AB"/>
    <w:multiLevelType w:val="hybridMultilevel"/>
    <w:lvl w:ilvl="0">
      <w:lvlJc w:val="left"/>
      <w:lvlText w:val="(%1)"/>
      <w:numFmt w:val="lowerRoman"/>
      <w:start w:val="1"/>
    </w:lvl>
  </w:abstractNum>
  <w:abstractNum w:abstractNumId="303">
    <w:nsid w:val="BE2C8BA"/>
    <w:multiLevelType w:val="hybridMultilevel"/>
    <w:lvl w:ilvl="0">
      <w:lvlJc w:val="left"/>
      <w:lvlText w:val="(%1)"/>
      <w:numFmt w:val="lowerLetter"/>
      <w:start w:val="5"/>
    </w:lvl>
  </w:abstractNum>
  <w:abstractNum w:abstractNumId="304">
    <w:nsid w:val="7B14914E"/>
    <w:multiLevelType w:val="hybridMultilevel"/>
    <w:lvl w:ilvl="0">
      <w:lvlJc w:val="left"/>
      <w:lvlText w:val="(%1)"/>
      <w:numFmt w:val="lowerLetter"/>
      <w:start w:val="1"/>
    </w:lvl>
  </w:abstractNum>
  <w:abstractNum w:abstractNumId="305">
    <w:nsid w:val="6F0939F8"/>
    <w:multiLevelType w:val="hybridMultilevel"/>
    <w:lvl w:ilvl="0">
      <w:lvlJc w:val="left"/>
      <w:lvlText w:val="(%1)"/>
      <w:numFmt w:val="lowerLetter"/>
      <w:start w:val="1"/>
    </w:lvl>
  </w:abstractNum>
  <w:abstractNum w:abstractNumId="306">
    <w:nsid w:val="154291F6"/>
    <w:multiLevelType w:val="hybridMultilevel"/>
    <w:lvl w:ilvl="0">
      <w:lvlJc w:val="left"/>
      <w:lvlText w:val="(%1)"/>
      <w:numFmt w:val="lowerRoman"/>
      <w:start w:val="1"/>
    </w:lvl>
    <w:lvl w:ilvl="1">
      <w:lvlJc w:val="left"/>
      <w:lvlText w:val="(%2)"/>
      <w:numFmt w:val="decimal"/>
    </w:lvl>
    <w:lvl w:ilvl="2">
      <w:lvlJc w:val="left"/>
      <w:lvlText w:val="(%3)"/>
      <w:numFmt w:val="upperLetter"/>
      <w:start w:val="1"/>
    </w:lvl>
  </w:abstractNum>
  <w:abstractNum w:abstractNumId="307">
    <w:nsid w:val="3CEBD7C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308">
    <w:nsid w:val="60EE9C1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09">
    <w:nsid w:val="6385489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10">
    <w:nsid w:val="E4B973"/>
    <w:multiLevelType w:val="hybridMultilevel"/>
    <w:lvl w:ilvl="0">
      <w:lvlJc w:val="left"/>
      <w:lvlText w:val="(%1)"/>
      <w:numFmt w:val="lowerLetter"/>
      <w:start w:val="5"/>
    </w:lvl>
  </w:abstractNum>
  <w:abstractNum w:abstractNumId="311">
    <w:nsid w:val="4A0FFA11"/>
    <w:multiLevelType w:val="hybridMultilevel"/>
    <w:lvl w:ilvl="0">
      <w:lvlJc w:val="left"/>
      <w:lvlText w:val="(%1)"/>
      <w:numFmt w:val="lowerLetter"/>
      <w:start w:val="9"/>
    </w:lvl>
  </w:abstractNum>
  <w:abstractNum w:abstractNumId="312">
    <w:nsid w:val="5E446208"/>
    <w:multiLevelType w:val="hybridMultilevel"/>
    <w:lvl w:ilvl="0">
      <w:lvlJc w:val="left"/>
      <w:lvlText w:val="(%1)"/>
      <w:numFmt w:val="lowerLetter"/>
      <w:start w:val="12"/>
    </w:lvl>
  </w:abstractNum>
  <w:abstractNum w:abstractNumId="313">
    <w:nsid w:val="5F3272DB"/>
    <w:multiLevelType w:val="hybridMultilevel"/>
    <w:lvl w:ilvl="0">
      <w:lvlJc w:val="left"/>
      <w:lvlText w:val="(%1)"/>
      <w:numFmt w:val="lowerLetter"/>
      <w:start w:val="1"/>
    </w:lvl>
    <w:lvl w:ilvl="1">
      <w:lvlJc w:val="left"/>
      <w:lvlText w:val="(%2)"/>
      <w:numFmt w:val="lowerRoman"/>
      <w:start w:val="1"/>
    </w:lvl>
  </w:abstractNum>
  <w:abstractNum w:abstractNumId="314">
    <w:nsid w:val="7616D704"/>
    <w:multiLevelType w:val="hybridMultilevel"/>
    <w:lvl w:ilvl="0">
      <w:lvlJc w:val="left"/>
      <w:lvlText w:val="(%1)"/>
      <w:numFmt w:val="lowerRoman"/>
      <w:start w:val="3"/>
    </w:lvl>
  </w:abstractNum>
  <w:abstractNum w:abstractNumId="315">
    <w:nsid w:val="C56F860"/>
    <w:multiLevelType w:val="hybridMultilevel"/>
    <w:lvl w:ilvl="0">
      <w:lvlJc w:val="left"/>
      <w:lvlText w:val="(%1)"/>
      <w:numFmt w:val="lowerLetter"/>
      <w:start w:val="2"/>
    </w:lvl>
  </w:abstractNum>
  <w:abstractNum w:abstractNumId="316">
    <w:nsid w:val="64D17722"/>
    <w:multiLevelType w:val="hybridMultilevel"/>
    <w:lvl w:ilvl="0">
      <w:lvlJc w:val="left"/>
      <w:lvlText w:val="(%1)"/>
      <w:numFmt w:val="lowerLetter"/>
      <w:start w:val="3"/>
    </w:lvl>
  </w:abstractNum>
  <w:abstractNum w:abstractNumId="317">
    <w:nsid w:val="7924CA0A"/>
    <w:multiLevelType w:val="hybridMultilevel"/>
    <w:lvl w:ilvl="0">
      <w:lvlJc w:val="left"/>
      <w:lvlText w:val="(%1)"/>
      <w:numFmt w:val="lowerLetter"/>
      <w:start w:val="1"/>
    </w:lvl>
  </w:abstractNum>
  <w:abstractNum w:abstractNumId="318">
    <w:nsid w:val="CFD4EA7"/>
    <w:multiLevelType w:val="hybridMultilevel"/>
    <w:lvl w:ilvl="0">
      <w:lvlJc w:val="left"/>
      <w:lvlText w:val="(%1)"/>
      <w:numFmt w:val="lowerLetter"/>
      <w:start w:val="3"/>
    </w:lvl>
  </w:abstractNum>
  <w:abstractNum w:abstractNumId="319">
    <w:nsid w:val="232FCF4D"/>
    <w:multiLevelType w:val="hybridMultilevel"/>
    <w:lvl w:ilvl="0">
      <w:lvlJc w:val="left"/>
      <w:lvlText w:val="(%1)"/>
      <w:numFmt w:val="lowerLetter"/>
      <w:start w:val="1"/>
    </w:lvl>
  </w:abstractNum>
  <w:abstractNum w:abstractNumId="320">
    <w:nsid w:val="1EA21031"/>
    <w:multiLevelType w:val="hybridMultilevel"/>
    <w:lvl w:ilvl="0">
      <w:lvlJc w:val="left"/>
      <w:lvlText w:val="(%1)"/>
      <w:numFmt w:val="lowerLetter"/>
      <w:start w:val="1"/>
    </w:lvl>
  </w:abstractNum>
  <w:abstractNum w:abstractNumId="321">
    <w:nsid w:val="67A5A6B5"/>
    <w:multiLevelType w:val="hybridMultilevel"/>
    <w:lvl w:ilvl="0">
      <w:lvlJc w:val="left"/>
      <w:lvlText w:val="%1"/>
      <w:numFmt w:val="lowerLetter"/>
      <w:start w:val="1"/>
    </w:lvl>
    <w:lvl w:ilvl="1">
      <w:lvlJc w:val="left"/>
      <w:lvlText w:val="(%2)"/>
      <w:numFmt w:val="lowerLetter"/>
      <w:start w:val="1"/>
    </w:lvl>
  </w:abstractNum>
  <w:abstractNum w:abstractNumId="322">
    <w:nsid w:val="C2A5C5B"/>
    <w:multiLevelType w:val="hybridMultilevel"/>
    <w:lvl w:ilvl="0">
      <w:lvlJc w:val="left"/>
      <w:lvlText w:val="(%1)"/>
      <w:numFmt w:val="lowerLetter"/>
      <w:start w:val="24"/>
    </w:lvl>
    <w:lvl w:ilvl="1">
      <w:lvlJc w:val="left"/>
      <w:lvlText w:val="%2"/>
      <w:numFmt w:val="lowerLetter"/>
      <w:start w:val="1"/>
    </w:lvl>
  </w:abstractNum>
  <w:abstractNum w:abstractNumId="323">
    <w:nsid w:val="5F94DC03"/>
    <w:multiLevelType w:val="hybridMultilevel"/>
    <w:lvl w:ilvl="0">
      <w:lvlJc w:val="left"/>
      <w:lvlText w:val="(%1)"/>
      <w:numFmt w:val="lowerLetter"/>
      <w:start w:val="3"/>
    </w:lvl>
  </w:abstractNum>
  <w:abstractNum w:abstractNumId="324">
    <w:nsid w:val="237BBCA0"/>
    <w:multiLevelType w:val="hybridMultilevel"/>
    <w:lvl w:ilvl="0">
      <w:lvlJc w:val="left"/>
      <w:lvlText w:val="(%1)"/>
      <w:numFmt w:val="lowerLetter"/>
      <w:start w:val="6"/>
    </w:lvl>
  </w:abstractNum>
  <w:abstractNum w:abstractNumId="325">
    <w:nsid w:val="162EB70D"/>
    <w:multiLevelType w:val="hybridMultilevel"/>
    <w:lvl w:ilvl="0">
      <w:lvlJc w:val="left"/>
      <w:lvlText w:val="(%1)"/>
      <w:numFmt w:val="lowerLetter"/>
      <w:start w:val="1"/>
    </w:lvl>
    <w:lvl w:ilvl="1">
      <w:lvlJc w:val="left"/>
      <w:lvlText w:val="(%2)"/>
      <w:numFmt w:val="lowerRoman"/>
      <w:start w:val="1"/>
    </w:lvl>
  </w:abstractNum>
  <w:abstractNum w:abstractNumId="326">
    <w:nsid w:val="78070222"/>
    <w:multiLevelType w:val="hybridMultilevel"/>
    <w:lvl w:ilvl="0">
      <w:lvlJc w:val="left"/>
      <w:lvlText w:val="%1"/>
      <w:numFmt w:val="lowerLetter"/>
      <w:start w:val="1"/>
    </w:lvl>
    <w:lvl w:ilvl="1">
      <w:lvlJc w:val="left"/>
      <w:lvlText w:val="(%2)"/>
      <w:numFmt w:val="lowerRoman"/>
      <w:start w:val="5"/>
    </w:lvl>
  </w:abstractNum>
  <w:abstractNum w:abstractNumId="327">
    <w:nsid w:val="6163ED0D"/>
    <w:multiLevelType w:val="hybridMultilevel"/>
    <w:lvl w:ilvl="0">
      <w:lvlJc w:val="left"/>
      <w:lvlText w:val="(%1)"/>
      <w:numFmt w:val="lowerLetter"/>
      <w:start w:val="2"/>
    </w:lvl>
    <w:lvl w:ilvl="1">
      <w:lvlJc w:val="left"/>
      <w:lvlText w:val="%2"/>
      <w:numFmt w:val="lowerRoman"/>
      <w:start w:val="1"/>
    </w:lvl>
  </w:abstractNum>
  <w:abstractNum w:abstractNumId="328">
    <w:nsid w:val="C600E47"/>
    <w:multiLevelType w:val="hybridMultilevel"/>
    <w:lvl w:ilvl="0">
      <w:lvlJc w:val="left"/>
      <w:lvlText w:val="(%1)"/>
      <w:numFmt w:val="lowerLetter"/>
      <w:start w:val="7"/>
    </w:lvl>
  </w:abstractNum>
  <w:abstractNum w:abstractNumId="329">
    <w:nsid w:val="7D94F75D"/>
    <w:multiLevelType w:val="hybridMultilevel"/>
    <w:lvl w:ilvl="0">
      <w:lvlJc w:val="left"/>
      <w:lvlText w:val="(%1)"/>
      <w:numFmt w:val="lowerLetter"/>
      <w:start w:val="1"/>
    </w:lvl>
    <w:lvl w:ilvl="1">
      <w:lvlJc w:val="left"/>
      <w:lvlText w:val="(%2)"/>
      <w:numFmt w:val="lowerRoman"/>
      <w:start w:val="1"/>
    </w:lvl>
  </w:abstractNum>
  <w:abstractNum w:abstractNumId="330">
    <w:nsid w:val="6C31E7CD"/>
    <w:multiLevelType w:val="hybridMultilevel"/>
    <w:lvl w:ilvl="0">
      <w:lvlJc w:val="left"/>
      <w:lvlText w:val="%1"/>
      <w:numFmt w:val="decimal"/>
      <w:start w:val="1"/>
    </w:lvl>
    <w:lvl w:ilvl="1">
      <w:lvlJc w:val="left"/>
      <w:lvlText w:val="(%2)"/>
      <w:numFmt w:val="lowerRoman"/>
      <w:start w:val="3"/>
    </w:lvl>
  </w:abstractNum>
  <w:abstractNum w:abstractNumId="331">
    <w:nsid w:val="2BB7929B"/>
    <w:multiLevelType w:val="hybridMultilevel"/>
    <w:lvl w:ilvl="0">
      <w:lvlJc w:val="left"/>
      <w:lvlText w:val="(%1)"/>
      <w:numFmt w:val="decimal"/>
      <w:start w:val="30"/>
    </w:lvl>
    <w:lvl w:ilvl="1">
      <w:lvlJc w:val="left"/>
      <w:lvlText w:val="(%2)"/>
      <w:numFmt w:val="lowerRoman"/>
      <w:start w:val="7"/>
    </w:lvl>
  </w:abstractNum>
  <w:abstractNum w:abstractNumId="332">
    <w:nsid w:val="58A2A487"/>
    <w:multiLevelType w:val="hybridMultilevel"/>
    <w:lvl w:ilvl="0">
      <w:lvlJc w:val="left"/>
      <w:lvlText w:val="(%1)"/>
      <w:numFmt w:val="lowerLetter"/>
      <w:start w:val="2"/>
    </w:lvl>
  </w:abstractNum>
  <w:abstractNum w:abstractNumId="333">
    <w:nsid w:val="3A6F0E78"/>
    <w:multiLevelType w:val="hybridMultilevel"/>
    <w:lvl w:ilvl="0">
      <w:lvlJc w:val="left"/>
      <w:lvlText w:val="%1"/>
      <w:numFmt w:val="lowerLetter"/>
      <w:start w:val="1"/>
    </w:lvl>
    <w:lvl w:ilvl="1">
      <w:lvlJc w:val="left"/>
      <w:lvlText w:val="(%2)"/>
      <w:numFmt w:val="lowerLetter"/>
      <w:start w:val="1"/>
    </w:lvl>
  </w:abstractNum>
  <w:abstractNum w:abstractNumId="334">
    <w:nsid w:val="379A5B56"/>
    <w:multiLevelType w:val="hybridMultilevel"/>
    <w:lvl w:ilvl="0">
      <w:lvlJc w:val="left"/>
      <w:lvlText w:val="(%1)"/>
      <w:numFmt w:val="lowerLetter"/>
      <w:start w:val="9"/>
    </w:lvl>
    <w:lvl w:ilvl="1">
      <w:lvlJc w:val="left"/>
      <w:lvlText w:val="%2"/>
      <w:numFmt w:val="lowerLetter"/>
      <w:start w:val="1"/>
    </w:lvl>
  </w:abstractNum>
  <w:abstractNum w:abstractNumId="335">
    <w:nsid w:val="53B735D5"/>
    <w:multiLevelType w:val="hybridMultilevel"/>
    <w:lvl w:ilvl="0">
      <w:lvlJc w:val="left"/>
      <w:lvlText w:val="(%1)"/>
      <w:numFmt w:val="lowerLetter"/>
      <w:start w:val="5"/>
    </w:lvl>
  </w:abstractNum>
  <w:abstractNum w:abstractNumId="336">
    <w:nsid w:val="29784870"/>
    <w:multiLevelType w:val="hybridMultilevel"/>
    <w:lvl w:ilvl="0">
      <w:lvlJc w:val="left"/>
      <w:lvlText w:val="(%1)"/>
      <w:numFmt w:val="lowerLetter"/>
      <w:start w:val="1"/>
    </w:lvl>
  </w:abstractNum>
  <w:abstractNum w:abstractNumId="337">
    <w:nsid w:val="4CDCED4C"/>
    <w:multiLevelType w:val="hybridMultilevel"/>
    <w:lvl w:ilvl="0">
      <w:lvlJc w:val="left"/>
      <w:lvlText w:val="(%1)"/>
      <w:numFmt w:val="lowerLetter"/>
      <w:start w:val="1"/>
    </w:lvl>
    <w:lvl w:ilvl="1">
      <w:lvlJc w:val="left"/>
      <w:lvlText w:val="(%2)"/>
      <w:numFmt w:val="lowerRoman"/>
      <w:start w:val="1"/>
    </w:lvl>
  </w:abstractNum>
  <w:abstractNum w:abstractNumId="338">
    <w:nsid w:val="10A30D9C"/>
    <w:multiLevelType w:val="hybridMultilevel"/>
    <w:lvl w:ilvl="0">
      <w:lvlJc w:val="left"/>
      <w:lvlText w:val="(%1)"/>
      <w:numFmt w:val="lowerLetter"/>
      <w:start w:val="1"/>
    </w:lvl>
  </w:abstractNum>
  <w:abstractNum w:abstractNumId="339">
    <w:nsid w:val="A66E486"/>
    <w:multiLevelType w:val="hybridMultilevel"/>
    <w:lvl w:ilvl="0">
      <w:lvlJc w:val="left"/>
      <w:lvlText w:val="(%1)"/>
      <w:numFmt w:val="lowerLetter"/>
      <w:start w:val="1"/>
    </w:lvl>
  </w:abstractNum>
  <w:abstractNum w:abstractNumId="340">
    <w:nsid w:val="306235EA"/>
    <w:multiLevelType w:val="hybridMultilevel"/>
    <w:lvl w:ilvl="0">
      <w:lvlJc w:val="left"/>
      <w:lvlText w:val="(%1)"/>
      <w:numFmt w:val="lowerLetter"/>
      <w:start w:val="1"/>
    </w:lvl>
  </w:abstractNum>
  <w:abstractNum w:abstractNumId="341">
    <w:nsid w:val="1187C70F"/>
    <w:multiLevelType w:val="hybridMultilevel"/>
    <w:lvl w:ilvl="0">
      <w:lvlJc w:val="left"/>
      <w:lvlText w:val="(%1)"/>
      <w:numFmt w:val="lowerLetter"/>
      <w:start w:val="1"/>
    </w:lvl>
    <w:lvl w:ilvl="1">
      <w:lvlJc w:val="left"/>
      <w:lvlText w:val="(%2)"/>
      <w:numFmt w:val="lowerRoman"/>
      <w:start w:val="1"/>
    </w:lvl>
  </w:abstractNum>
  <w:abstractNum w:abstractNumId="342">
    <w:nsid w:val="5476DE98"/>
    <w:multiLevelType w:val="hybridMultilevel"/>
    <w:lvl w:ilvl="0">
      <w:lvlJc w:val="left"/>
      <w:lvlText w:val="(%1)"/>
      <w:numFmt w:val="lowerRoman"/>
      <w:start w:val="4"/>
    </w:lvl>
  </w:abstractNum>
  <w:abstractNum w:abstractNumId="343">
    <w:nsid w:val="EA697F2"/>
    <w:multiLevelType w:val="hybridMultilevel"/>
    <w:lvl w:ilvl="0">
      <w:lvlJc w:val="left"/>
      <w:lvlText w:val="(%1)"/>
      <w:numFmt w:val="lowerLetter"/>
      <w:start w:val="1"/>
    </w:lvl>
  </w:abstractNum>
  <w:abstractNum w:abstractNumId="344">
    <w:nsid w:val="70BA39EB"/>
    <w:multiLevelType w:val="hybridMultilevel"/>
    <w:lvl w:ilvl="0">
      <w:lvlJc w:val="left"/>
      <w:lvlText w:val="(%1)"/>
      <w:numFmt w:val="lowerLetter"/>
      <w:start w:val="1"/>
    </w:lvl>
  </w:abstractNum>
  <w:abstractNum w:abstractNumId="345">
    <w:nsid w:val="4A8DB59C"/>
    <w:multiLevelType w:val="hybridMultilevel"/>
    <w:lvl w:ilvl="0">
      <w:lvlJc w:val="left"/>
      <w:lvlText w:val="(%1)"/>
      <w:numFmt w:val="lowerLetter"/>
      <w:start w:val="1"/>
    </w:lvl>
    <w:lvl w:ilvl="1">
      <w:lvlJc w:val="left"/>
      <w:lvlText w:val="(%2)"/>
      <w:numFmt w:val="lowerRoman"/>
      <w:start w:val="1"/>
    </w:lvl>
  </w:abstractNum>
  <w:abstractNum w:abstractNumId="346">
    <w:nsid w:val="1AFD9053"/>
    <w:multiLevelType w:val="hybridMultilevel"/>
    <w:lvl w:ilvl="0">
      <w:lvlJc w:val="left"/>
      <w:lvlText w:val="(%1)"/>
      <w:numFmt w:val="lowerLetter"/>
      <w:start w:val="1"/>
    </w:lvl>
  </w:abstractNum>
  <w:abstractNum w:abstractNumId="347">
    <w:nsid w:val="558BB10D"/>
    <w:multiLevelType w:val="hybridMultilevel"/>
    <w:lvl w:ilvl="0">
      <w:lvlJc w:val="left"/>
      <w:lvlText w:val="(%1)"/>
      <w:numFmt w:val="lowerLetter"/>
      <w:start w:val="2"/>
    </w:lvl>
  </w:abstractNum>
  <w:abstractNum w:abstractNumId="348">
    <w:nsid w:val="43B27FA7"/>
    <w:multiLevelType w:val="hybridMultilevel"/>
    <w:lvl w:ilvl="0">
      <w:lvlJc w:val="left"/>
      <w:lvlText w:val="(%1)"/>
      <w:numFmt w:val="decimal"/>
      <w:start w:val="1"/>
    </w:lvl>
  </w:abstractNum>
  <w:abstractNum w:abstractNumId="349">
    <w:nsid w:val="27FADEFA"/>
    <w:multiLevelType w:val="hybridMultilevel"/>
    <w:lvl w:ilvl="0">
      <w:lvlJc w:val="left"/>
      <w:lvlText w:val="(%1)"/>
      <w:numFmt w:val="lowerLetter"/>
      <w:start w:val="1"/>
    </w:lvl>
  </w:abstractNum>
  <w:abstractNum w:abstractNumId="350">
    <w:nsid w:val="78BB805A"/>
    <w:multiLevelType w:val="hybridMultilevel"/>
    <w:lvl w:ilvl="0">
      <w:lvlJc w:val="left"/>
      <w:lvlText w:val="(%1)"/>
      <w:numFmt w:val="lowerLetter"/>
      <w:start w:val="3"/>
    </w:lvl>
  </w:abstractNum>
  <w:abstractNum w:abstractNumId="351">
    <w:nsid w:val="62548FD8"/>
    <w:multiLevelType w:val="hybridMultilevel"/>
    <w:lvl w:ilvl="0">
      <w:lvlJc w:val="left"/>
      <w:lvlText w:val="(%1)"/>
      <w:numFmt w:val="lowerLetter"/>
      <w:start w:val="6"/>
    </w:lvl>
  </w:abstractNum>
  <w:abstractNum w:abstractNumId="352">
    <w:nsid w:val="FA085B0"/>
    <w:multiLevelType w:val="hybridMultilevel"/>
    <w:lvl w:ilvl="0">
      <w:lvlJc w:val="left"/>
      <w:lvlText w:val="(%1)"/>
      <w:numFmt w:val="lowerLetter"/>
      <w:start w:val="1"/>
    </w:lvl>
  </w:abstractNum>
  <w:abstractNum w:abstractNumId="353">
    <w:nsid w:val="4E5DCB5"/>
    <w:multiLevelType w:val="hybridMultilevel"/>
    <w:lvl w:ilvl="0">
      <w:lvlJc w:val="left"/>
      <w:lvlText w:val="(%1)"/>
      <w:numFmt w:val="lowerLetter"/>
      <w:start w:val="1"/>
    </w:lvl>
    <w:lvl w:ilvl="1">
      <w:lvlJc w:val="left"/>
      <w:lvlText w:val="(%2)"/>
      <w:numFmt w:val="lowerLetter"/>
      <w:start w:val="9"/>
    </w:lvl>
  </w:abstractNum>
  <w:abstractNum w:abstractNumId="354">
    <w:nsid w:val="41E96BDB"/>
    <w:multiLevelType w:val="hybridMultilevel"/>
    <w:lvl w:ilvl="0">
      <w:lvlJc w:val="left"/>
      <w:lvlText w:val="(%1)"/>
      <w:numFmt w:val="lowerRoman"/>
      <w:start w:val="2"/>
    </w:lvl>
  </w:abstractNum>
  <w:abstractNum w:abstractNumId="355">
    <w:nsid w:val="331C4250"/>
    <w:multiLevelType w:val="hybridMultilevel"/>
    <w:lvl w:ilvl="0">
      <w:lvlJc w:val="left"/>
      <w:lvlText w:val="(%1)"/>
      <w:numFmt w:val="lowerLetter"/>
      <w:start w:val="1"/>
    </w:lvl>
    <w:lvl w:ilvl="1">
      <w:lvlJc w:val="left"/>
      <w:lvlText w:val="(%2)"/>
      <w:numFmt w:val="lowerRoman"/>
      <w:start w:val="1"/>
    </w:lvl>
  </w:abstractNum>
  <w:abstractNum w:abstractNumId="356">
    <w:nsid w:val="1B1493C2"/>
    <w:multiLevelType w:val="hybridMultilevel"/>
    <w:lvl w:ilvl="0">
      <w:lvlJc w:val="left"/>
      <w:lvlText w:val="%1"/>
      <w:numFmt w:val="lowerLetter"/>
      <w:start w:val="1"/>
    </w:lvl>
    <w:lvl w:ilvl="1">
      <w:lvlJc w:val="left"/>
      <w:lvlText w:val="(%2)"/>
      <w:numFmt w:val="lowerRoman"/>
      <w:start w:val="6"/>
    </w:lvl>
  </w:abstractNum>
  <w:abstractNum w:abstractNumId="357">
    <w:nsid w:val="39F06DFD"/>
    <w:multiLevelType w:val="hybridMultilevel"/>
    <w:lvl w:ilvl="0">
      <w:lvlJc w:val="left"/>
      <w:lvlText w:val="(%1)"/>
      <w:numFmt w:val="lowerLetter"/>
      <w:start w:val="2"/>
    </w:lvl>
    <w:lvl w:ilvl="1">
      <w:lvlJc w:val="left"/>
      <w:lvlText w:val="(%2)"/>
      <w:numFmt w:val="lowerRoman"/>
      <w:start w:val="1"/>
    </w:lvl>
  </w:abstractNum>
  <w:abstractNum w:abstractNumId="358">
    <w:nsid w:val="14802F5D"/>
    <w:multiLevelType w:val="hybridMultilevel"/>
    <w:lvl w:ilvl="0">
      <w:lvlJc w:val="left"/>
      <w:lvlText w:val="(%1)"/>
      <w:numFmt w:val="lowerLetter"/>
      <w:start w:val="1"/>
    </w:lvl>
    <w:lvl w:ilvl="1">
      <w:lvlJc w:val="left"/>
      <w:lvlText w:val="(%2)"/>
      <w:numFmt w:val="lowerRoman"/>
      <w:start w:val="1"/>
    </w:lvl>
  </w:abstractNum>
  <w:abstractNum w:abstractNumId="359">
    <w:nsid w:val="2774A209"/>
    <w:multiLevelType w:val="hybridMultilevel"/>
    <w:lvl w:ilvl="0">
      <w:lvlJc w:val="left"/>
      <w:lvlText w:val="(%1)"/>
      <w:numFmt w:val="lowerLetter"/>
      <w:start w:val="3"/>
    </w:lvl>
  </w:abstractNum>
  <w:abstractNum w:abstractNumId="360">
    <w:nsid w:val="3785655A"/>
    <w:multiLevelType w:val="hybridMultilevel"/>
    <w:lvl w:ilvl="0">
      <w:lvlJc w:val="left"/>
      <w:lvlText w:val="(%1)"/>
      <w:numFmt w:val="lowerLetter"/>
      <w:start w:val="1"/>
    </w:lvl>
  </w:abstractNum>
  <w:abstractNum w:abstractNumId="361">
    <w:nsid w:val="B2172A"/>
    <w:multiLevelType w:val="hybridMultilevel"/>
    <w:lvl w:ilvl="0">
      <w:lvlJc w:val="left"/>
      <w:lvlText w:val="(%1)"/>
      <w:numFmt w:val="lowerLetter"/>
      <w:start w:val="1"/>
    </w:lvl>
    <w:lvl w:ilvl="1">
      <w:lvlJc w:val="left"/>
      <w:lvlText w:val="(%2)"/>
      <w:numFmt w:val="lowerRoman"/>
      <w:start w:val="1"/>
    </w:lvl>
  </w:abstractNum>
  <w:abstractNum w:abstractNumId="362">
    <w:nsid w:val="532C34A5"/>
    <w:multiLevelType w:val="hybridMultilevel"/>
    <w:lvl w:ilvl="0">
      <w:lvlJc w:val="left"/>
      <w:lvlText w:val="(%1)"/>
      <w:numFmt w:val="lowerLetter"/>
      <w:start w:val="1"/>
    </w:lvl>
  </w:abstractNum>
  <w:abstractNum w:abstractNumId="363">
    <w:nsid w:val="102809E2"/>
    <w:multiLevelType w:val="hybridMultilevel"/>
    <w:lvl w:ilvl="0">
      <w:lvlJc w:val="left"/>
      <w:lvlText w:val="%1"/>
      <w:numFmt w:val="lowerLetter"/>
      <w:start w:val="1"/>
    </w:lvl>
    <w:lvl w:ilvl="1">
      <w:lvlJc w:val="left"/>
      <w:lvlText w:val="(%2)"/>
      <w:numFmt w:val="lowerLetter"/>
      <w:start w:val="1"/>
    </w:lvl>
  </w:abstractNum>
  <w:abstractNum w:abstractNumId="364">
    <w:nsid w:val="3B2125A3"/>
    <w:multiLevelType w:val="hybridMultilevel"/>
    <w:lvl w:ilvl="0">
      <w:lvlJc w:val="left"/>
      <w:lvlText w:val="(%1)"/>
      <w:numFmt w:val="lowerLetter"/>
      <w:start w:val="1"/>
    </w:lvl>
    <w:lvl w:ilvl="1">
      <w:lvlJc w:val="left"/>
      <w:lvlText w:val="%2"/>
      <w:numFmt w:val="lowerLetter"/>
      <w:start w:val="1"/>
    </w:lvl>
  </w:abstractNum>
  <w:abstractNum w:abstractNumId="365">
    <w:nsid w:val="AC68FFB"/>
    <w:multiLevelType w:val="hybridMultilevel"/>
    <w:lvl w:ilvl="0">
      <w:lvlJc w:val="left"/>
      <w:lvlText w:val="(%1)"/>
      <w:numFmt w:val="lowerLetter"/>
      <w:start w:val="2"/>
    </w:lvl>
  </w:abstractNum>
  <w:abstractNum w:abstractNumId="366">
    <w:nsid w:val="63DF3FB7"/>
    <w:multiLevelType w:val="hybridMultilevel"/>
    <w:lvl w:ilvl="0">
      <w:lvlJc w:val="left"/>
      <w:lvlText w:val="(%1)"/>
      <w:numFmt w:val="decimal"/>
      <w:start w:val="1"/>
    </w:lvl>
  </w:abstractNum>
  <w:abstractNum w:abstractNumId="367">
    <w:nsid w:val="64996E13"/>
    <w:multiLevelType w:val="hybridMultilevel"/>
    <w:lvl w:ilvl="0">
      <w:lvlJc w:val="left"/>
      <w:lvlText w:val="(%1)"/>
      <w:numFmt w:val="decimal"/>
      <w:start w:val="4"/>
    </w:lvl>
  </w:abstractNum>
  <w:abstractNum w:abstractNumId="368">
    <w:nsid w:val="57A37D47"/>
    <w:multiLevelType w:val="hybridMultilevel"/>
    <w:lvl w:ilvl="0">
      <w:lvlJc w:val="left"/>
      <w:lvlText w:val="(%1)"/>
      <w:numFmt w:val="decimal"/>
      <w:start w:val="10"/>
    </w:lvl>
  </w:abstractNum>
  <w:abstractNum w:abstractNumId="369">
    <w:nsid w:val="74824D54"/>
    <w:multiLevelType w:val="hybridMultilevel"/>
    <w:lvl w:ilvl="0">
      <w:lvlJc w:val="left"/>
      <w:lvlText w:val="(%1)"/>
      <w:numFmt w:val="decimal"/>
      <w:start w:val="15"/>
    </w:lvl>
  </w:abstractNum>
  <w:abstractNum w:abstractNumId="370">
    <w:nsid w:val="6F00529A"/>
    <w:multiLevelType w:val="hybridMultilevel"/>
    <w:lvl w:ilvl="0">
      <w:lvlJc w:val="left"/>
      <w:lvlText w:val="(%1)"/>
      <w:numFmt w:val="decimal"/>
      <w:start w:val="19"/>
    </w:lvl>
  </w:abstractNum>
  <w:abstractNum w:abstractNumId="371">
    <w:nsid w:val="805B331"/>
    <w:multiLevelType w:val="hybridMultilevel"/>
    <w:lvl w:ilvl="0">
      <w:lvlJc w:val="left"/>
      <w:lvlText w:val="(%1)"/>
      <w:numFmt w:val="lowerLetter"/>
      <w:start w:val="1"/>
    </w:lvl>
  </w:abstractNum>
  <w:abstractNum w:abstractNumId="372">
    <w:nsid w:val="60A1463"/>
    <w:multiLevelType w:val="hybridMultilevel"/>
    <w:lvl w:ilvl="0">
      <w:lvlJc w:val="left"/>
      <w:lvlText w:val="(%1)"/>
      <w:numFmt w:val="lowerLetter"/>
      <w:start w:val="2"/>
    </w:lvl>
  </w:abstractNum>
  <w:abstractNum w:abstractNumId="373">
    <w:nsid w:val="43773132"/>
    <w:multiLevelType w:val="hybridMultilevel"/>
    <w:lvl w:ilvl="0">
      <w:lvlJc w:val="left"/>
      <w:lvlText w:val="(%1)"/>
      <w:numFmt w:val="lowerLetter"/>
      <w:start w:val="6"/>
    </w:lvl>
    <w:lvl w:ilvl="1">
      <w:lvlJc w:val="left"/>
      <w:lvlText w:val="(%2)"/>
      <w:numFmt w:val="lowerLetter"/>
      <w:start w:val="9"/>
    </w:lvl>
  </w:abstractNum>
  <w:abstractNum w:abstractNumId="374">
    <w:nsid w:val="16AC4B23"/>
    <w:multiLevelType w:val="hybridMultilevel"/>
    <w:lvl w:ilvl="0">
      <w:lvlJc w:val="left"/>
      <w:lvlText w:val="%1"/>
      <w:numFmt w:val="lowerLetter"/>
      <w:start w:val="1"/>
    </w:lvl>
    <w:lvl w:ilvl="1">
      <w:lvlJc w:val="left"/>
      <w:lvlText w:val="(%2)"/>
      <w:numFmt w:val="lowerRoman"/>
      <w:start w:val="2"/>
    </w:lvl>
  </w:abstractNum>
  <w:abstractNum w:abstractNumId="375">
    <w:nsid w:val="76C44E4E"/>
    <w:multiLevelType w:val="hybridMultilevel"/>
    <w:lvl w:ilvl="0">
      <w:lvlJc w:val="left"/>
      <w:lvlText w:val="(%1)"/>
      <w:numFmt w:val="lowerLetter"/>
      <w:start w:val="8"/>
    </w:lvl>
    <w:lvl w:ilvl="1">
      <w:lvlJc w:val="left"/>
      <w:lvlText w:val="(%2)"/>
      <w:numFmt w:val="lowerRoman"/>
      <w:start w:val="1"/>
    </w:lvl>
  </w:abstractNum>
  <w:abstractNum w:abstractNumId="376">
    <w:nsid w:val="E04E6CE"/>
    <w:multiLevelType w:val="hybridMultilevel"/>
    <w:lvl w:ilvl="0">
      <w:lvlJc w:val="left"/>
      <w:lvlText w:val="(%1)"/>
      <w:numFmt w:val="lowerLetter"/>
      <w:start w:val="9"/>
    </w:lvl>
    <w:lvl w:ilvl="1">
      <w:lvlJc w:val="left"/>
      <w:lvlText w:val="(%2)"/>
      <w:numFmt w:val="lowerRoman"/>
      <w:start w:val="1"/>
    </w:lvl>
  </w:abstractNum>
  <w:abstractNum w:abstractNumId="377">
    <w:nsid w:val="31A9DB76"/>
    <w:multiLevelType w:val="hybridMultilevel"/>
    <w:lvl w:ilvl="0">
      <w:lvlJc w:val="left"/>
      <w:lvlText w:val="(%1)"/>
      <w:numFmt w:val="lowerLetter"/>
      <w:start w:val="14"/>
    </w:lvl>
  </w:abstractNum>
  <w:abstractNum w:abstractNumId="378">
    <w:nsid w:val="4C4FFF5B"/>
    <w:multiLevelType w:val="hybridMultilevel"/>
    <w:lvl w:ilvl="0">
      <w:lvlJc w:val="left"/>
      <w:lvlText w:val="(%1)"/>
      <w:numFmt w:val="lowerLetter"/>
      <w:start w:val="1"/>
    </w:lvl>
  </w:abstractNum>
  <w:abstractNum w:abstractNumId="379">
    <w:nsid w:val="51B76675"/>
    <w:multiLevelType w:val="hybridMultilevel"/>
    <w:lvl w:ilvl="0">
      <w:lvlJc w:val="left"/>
      <w:lvlText w:val="(%1)"/>
      <w:numFmt w:val="lowerLetter"/>
      <w:start w:val="4"/>
    </w:lvl>
  </w:abstractNum>
  <w:abstractNum w:abstractNumId="380">
    <w:nsid w:val="59A4BA71"/>
    <w:multiLevelType w:val="hybridMultilevel"/>
    <w:lvl w:ilvl="0">
      <w:lvlJc w:val="left"/>
      <w:lvlText w:val="(%1)"/>
      <w:numFmt w:val="lowerLetter"/>
      <w:start w:val="8"/>
    </w:lvl>
  </w:abstractNum>
  <w:abstractNum w:abstractNumId="381">
    <w:nsid w:val="450B7FB6"/>
    <w:multiLevelType w:val="hybridMultilevel"/>
    <w:lvl w:ilvl="0">
      <w:lvlJc w:val="left"/>
      <w:lvlText w:val="(%1)"/>
      <w:numFmt w:val="lowerLetter"/>
      <w:start w:val="12"/>
    </w:lvl>
  </w:abstractNum>
  <w:abstractNum w:abstractNumId="382">
    <w:nsid w:val="340BF64D"/>
    <w:multiLevelType w:val="hybridMultilevel"/>
    <w:lvl w:ilvl="0">
      <w:lvlJc w:val="left"/>
      <w:lvlText w:val="(%1)"/>
      <w:numFmt w:val="lowerLetter"/>
      <w:start w:val="18"/>
    </w:lvl>
  </w:abstractNum>
  <w:abstractNum w:abstractNumId="383">
    <w:nsid w:val="69454021"/>
    <w:multiLevelType w:val="hybridMultilevel"/>
    <w:lvl w:ilvl="0">
      <w:lvlJc w:val="left"/>
      <w:lvlText w:val="(%1)"/>
      <w:numFmt w:val="lowerLetter"/>
      <w:start w:val="27"/>
    </w:lvl>
  </w:abstractNum>
  <w:abstractNum w:abstractNumId="384">
    <w:nsid w:val="49F15C6B"/>
    <w:multiLevelType w:val="hybridMultilevel"/>
    <w:lvl w:ilvl="0">
      <w:lvlJc w:val="left"/>
      <w:lvlText w:val="(%1)"/>
      <w:numFmt w:val="lowerLetter"/>
      <w:start w:val="36"/>
    </w:lvl>
  </w:abstractNum>
  <w:abstractNum w:abstractNumId="385">
    <w:nsid w:val="75F56228"/>
    <w:multiLevelType w:val="hybridMultilevel"/>
    <w:lvl w:ilvl="0">
      <w:lvlJc w:val="left"/>
      <w:lvlText w:val="(%1)"/>
      <w:numFmt w:val="lowerLetter"/>
      <w:start w:val="1"/>
    </w:lvl>
  </w:abstractNum>
  <w:abstractNum w:abstractNumId="386">
    <w:nsid w:val="1C61827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87">
    <w:nsid w:val="6505F02E"/>
    <w:multiLevelType w:val="hybridMultilevel"/>
    <w:lvl w:ilvl="0">
      <w:lvlJc w:val="left"/>
      <w:lvlText w:val="(%1)"/>
      <w:numFmt w:val="lowerLetter"/>
      <w:start w:val="18"/>
    </w:lvl>
    <w:lvl w:ilvl="1">
      <w:lvlJc w:val="left"/>
      <w:lvlText w:val="(%2)"/>
      <w:numFmt w:val="lowerLetter"/>
      <w:start w:val="7"/>
    </w:lvl>
    <w:lvl w:ilvl="2">
      <w:lvlJc w:val="left"/>
      <w:lvlText w:val="(%3)"/>
      <w:numFmt w:val="lowerRoman"/>
      <w:start w:val="1"/>
    </w:lvl>
  </w:abstractNum>
  <w:abstractNum w:abstractNumId="388">
    <w:nsid w:val="2FE5D025"/>
    <w:multiLevelType w:val="hybridMultilevel"/>
    <w:lvl w:ilvl="0">
      <w:lvlJc w:val="left"/>
      <w:lvlText w:val="%1"/>
      <w:numFmt w:val="lowerLetter"/>
      <w:start w:val="1"/>
    </w:lvl>
    <w:lvl w:ilvl="1">
      <w:lvlJc w:val="left"/>
      <w:lvlText w:val="(%2)"/>
      <w:numFmt w:val="lowerLetter"/>
      <w:start w:val="35"/>
    </w:lvl>
  </w:abstractNum>
  <w:abstractNum w:abstractNumId="389">
    <w:nsid w:val="30E1B1CF"/>
    <w:multiLevelType w:val="hybridMultilevel"/>
    <w:lvl w:ilvl="0">
      <w:lvlJc w:val="left"/>
      <w:lvlText w:val="(%1)"/>
      <w:numFmt w:val="lowerLetter"/>
      <w:start w:val="8"/>
    </w:lvl>
    <w:lvl w:ilvl="1">
      <w:lvlJc w:val="left"/>
      <w:lvlText w:val="%2"/>
      <w:numFmt w:val="lowerLetter"/>
      <w:start w:val="1"/>
    </w:lvl>
  </w:abstractNum>
  <w:abstractNum w:abstractNumId="390">
    <w:nsid w:val="C7A9237"/>
    <w:multiLevelType w:val="hybridMultilevel"/>
    <w:lvl w:ilvl="0">
      <w:lvlJc w:val="left"/>
      <w:lvlText w:val="(%1)"/>
      <w:numFmt w:val="lowerLetter"/>
      <w:start w:val="12"/>
    </w:lvl>
    <w:lvl w:ilvl="1">
      <w:lvlJc w:val="left"/>
      <w:lvlText w:val="(%2)"/>
      <w:numFmt w:val="lowerLetter"/>
      <w:start w:val="13"/>
    </w:lvl>
  </w:abstractNum>
  <w:abstractNum w:abstractNumId="391">
    <w:nsid w:val="676B3580"/>
    <w:multiLevelType w:val="hybridMultilevel"/>
    <w:lvl w:ilvl="0">
      <w:lvlJc w:val="left"/>
      <w:lvlText w:val="(%1)"/>
      <w:numFmt w:val="lowerLetter"/>
      <w:start w:val="19"/>
    </w:lvl>
  </w:abstractNum>
  <w:abstractNum w:abstractNumId="392">
    <w:nsid w:val="3193C8F9"/>
    <w:multiLevelType w:val="hybridMultilevel"/>
    <w:lvl w:ilvl="0">
      <w:lvlJc w:val="left"/>
      <w:lvlText w:val="(%1)"/>
      <w:numFmt w:val="decimal"/>
      <w:start w:val="1"/>
    </w:lvl>
  </w:abstractNum>
  <w:abstractNum w:abstractNumId="393">
    <w:nsid w:val="5FA6C6DC"/>
    <w:multiLevelType w:val="hybridMultilevel"/>
    <w:lvl w:ilvl="0">
      <w:lvlJc w:val="left"/>
      <w:lvlText w:val="(%1)"/>
      <w:numFmt w:val="decimal"/>
      <w:start w:val="6"/>
    </w:lvl>
  </w:abstractNum>
  <w:abstractNum w:abstractNumId="394">
    <w:nsid w:val="77933F62"/>
    <w:multiLevelType w:val="hybridMultilevel"/>
    <w:lvl w:ilvl="0">
      <w:lvlJc w:val="left"/>
      <w:lvlText w:val="(%1)"/>
      <w:numFmt w:val="decimal"/>
      <w:start w:val="12"/>
    </w:lvl>
  </w:abstractNum>
  <w:abstractNum w:abstractNumId="395">
    <w:nsid w:val="6CB4EE9C"/>
    <w:multiLevelType w:val="hybridMultilevel"/>
    <w:lvl w:ilvl="0">
      <w:lvlJc w:val="left"/>
      <w:lvlText w:val="%1"/>
      <w:numFmt w:val="lowerRoman"/>
      <w:start w:val="1"/>
    </w:lvl>
    <w:lvl w:ilvl="1">
      <w:lvlJc w:val="left"/>
      <w:lvlText w:val="(%2)"/>
      <w:numFmt w:val="upperLetter"/>
      <w:start w:val="1"/>
    </w:lvl>
  </w:abstractNum>
  <w:abstractNum w:abstractNumId="396">
    <w:nsid w:val="6A6D56D7"/>
    <w:multiLevelType w:val="hybridMultilevel"/>
    <w:lvl w:ilvl="0">
      <w:lvlJc w:val="left"/>
      <w:lvlText w:val="(%1)"/>
      <w:numFmt w:val="lowerRoman"/>
      <w:start w:val="5"/>
    </w:lvl>
    <w:lvl w:ilvl="1">
      <w:lvlJc w:val="left"/>
      <w:lvlText w:val="(%2)"/>
      <w:numFmt w:val="upperLetter"/>
      <w:start w:val="2"/>
    </w:lvl>
  </w:abstractNum>
  <w:abstractNum w:abstractNumId="397">
    <w:nsid w:val="5B727F19"/>
    <w:multiLevelType w:val="hybridMultilevel"/>
    <w:lvl w:ilvl="0">
      <w:lvlJc w:val="left"/>
      <w:lvlText w:val="(%1)"/>
      <w:numFmt w:val="upperLetter"/>
      <w:start w:val="3"/>
    </w:lvl>
  </w:abstractNum>
  <w:abstractNum w:abstractNumId="398">
    <w:nsid w:val="514E5CB0"/>
    <w:multiLevelType w:val="hybridMultilevel"/>
    <w:lvl w:ilvl="0">
      <w:lvlJc w:val="left"/>
      <w:lvlText w:val="(%1)"/>
      <w:numFmt w:val="lowerLetter"/>
      <w:start w:val="1"/>
    </w:lvl>
    <w:lvl w:ilvl="1">
      <w:lvlJc w:val="left"/>
      <w:lvlText w:val="(%2)"/>
      <w:numFmt w:val="lowerRoman"/>
      <w:start w:val="1"/>
    </w:lvl>
  </w:abstractNum>
  <w:abstractNum w:abstractNumId="399">
    <w:nsid w:val="4210D41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0">
    <w:nsid w:val="4FF4CC6D"/>
    <w:multiLevelType w:val="hybridMultilevel"/>
    <w:lvl w:ilvl="0">
      <w:lvlJc w:val="left"/>
      <w:lvlText w:val="%1"/>
      <w:numFmt w:val="lowerRoman"/>
      <w:start w:val="1"/>
    </w:lvl>
    <w:lvl w:ilvl="1">
      <w:lvlJc w:val="left"/>
      <w:lvlText w:val="(%2)"/>
      <w:numFmt w:val="upperLetter"/>
      <w:start w:val="3"/>
    </w:lvl>
  </w:abstractNum>
  <w:abstractNum w:abstractNumId="401">
    <w:nsid w:val="404EAF4A"/>
    <w:multiLevelType w:val="hybridMultilevel"/>
    <w:lvl w:ilvl="0">
      <w:lvlJc w:val="left"/>
      <w:lvlText w:val="(%1)"/>
      <w:numFmt w:val="lowerRoman"/>
      <w:start w:val="2"/>
    </w:lvl>
    <w:lvl w:ilvl="1">
      <w:lvlJc w:val="left"/>
      <w:lvlText w:val="%2"/>
      <w:numFmt w:val="upperLetter"/>
      <w:start w:val="1"/>
    </w:lvl>
  </w:abstractNum>
  <w:abstractNum w:abstractNumId="402">
    <w:nsid w:val="4A16874F"/>
    <w:multiLevelType w:val="hybridMultilevel"/>
    <w:lvl w:ilvl="0">
      <w:lvlJc w:val="left"/>
      <w:lvlText w:val="(%1)"/>
      <w:numFmt w:val="lowerLetter"/>
      <w:start w:val="1"/>
    </w:lvl>
  </w:abstractNum>
  <w:abstractNum w:abstractNumId="403">
    <w:nsid w:val="55FEE0D1"/>
    <w:multiLevelType w:val="hybridMultilevel"/>
    <w:lvl w:ilvl="0">
      <w:lvlJc w:val="left"/>
      <w:lvlText w:val="(%1)"/>
      <w:numFmt w:val="lowerLetter"/>
      <w:start w:val="2"/>
    </w:lvl>
  </w:abstractNum>
  <w:abstractNum w:abstractNumId="404">
    <w:nsid w:val="3C5E07C"/>
    <w:multiLevelType w:val="hybridMultilevel"/>
    <w:lvl w:ilvl="0">
      <w:lvlJc w:val="left"/>
      <w:lvlText w:val="(%1)"/>
      <w:numFmt w:val="decimal"/>
      <w:start w:val="1"/>
    </w:lvl>
  </w:abstractNum>
  <w:abstractNum w:abstractNumId="405">
    <w:nsid w:val="60C2D273"/>
    <w:multiLevelType w:val="hybridMultilevel"/>
    <w:lvl w:ilvl="0">
      <w:lvlJc w:val="left"/>
      <w:lvlText w:val="(%1)"/>
      <w:numFmt w:val="lowerLetter"/>
      <w:start w:val="1"/>
    </w:lvl>
    <w:lvl w:ilvl="1">
      <w:lvlJc w:val="left"/>
      <w:lvlText w:val="(%2)"/>
      <w:numFmt w:val="lowerRoman"/>
      <w:start w:val="1"/>
    </w:lvl>
  </w:abstractNum>
  <w:abstractNum w:abstractNumId="406">
    <w:nsid w:val="4CC32F1F"/>
    <w:multiLevelType w:val="hybridMultilevel"/>
    <w:lvl w:ilvl="0">
      <w:lvlJc w:val="left"/>
      <w:lvlText w:val="(%1)"/>
      <w:numFmt w:val="lowerRoman"/>
      <w:start w:val="1"/>
    </w:lvl>
  </w:abstractNum>
  <w:abstractNum w:abstractNumId="407">
    <w:nsid w:val="11CAC74A"/>
    <w:multiLevelType w:val="hybridMultilevel"/>
    <w:lvl w:ilvl="0">
      <w:lvlJc w:val="left"/>
      <w:lvlText w:val="(%1)"/>
      <w:numFmt w:val="lowerRoman"/>
      <w:start w:val="4"/>
    </w:lvl>
    <w:lvl w:ilvl="1">
      <w:lvlJc w:val="left"/>
      <w:lvlText w:val="(%2)"/>
      <w:numFmt w:val="lowerLetter"/>
      <w:start w:val="24"/>
    </w:lvl>
    <w:lvl w:ilvl="2">
      <w:lvlJc w:val="left"/>
      <w:lvlText w:val="(%3)"/>
      <w:numFmt w:val="upperLetter"/>
      <w:start w:val="1"/>
    </w:lvl>
  </w:abstractNum>
  <w:abstractNum w:abstractNumId="408">
    <w:nsid w:val="126CADE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409">
    <w:nsid w:val="19132E7B"/>
    <w:multiLevelType w:val="hybridMultilevel"/>
    <w:lvl w:ilvl="0">
      <w:lvlJc w:val="left"/>
      <w:lvlText w:val="(%1)"/>
      <w:numFmt w:val="upperLetter"/>
      <w:start w:val="4"/>
    </w:lvl>
  </w:abstractNum>
  <w:abstractNum w:abstractNumId="410">
    <w:nsid w:val="63822DC0"/>
    <w:multiLevelType w:val="hybridMultilevel"/>
    <w:lvl w:ilvl="0">
      <w:lvlJc w:val="left"/>
      <w:lvlText w:val="(%1)"/>
      <w:numFmt w:val="lowerLetter"/>
      <w:start w:val="1"/>
    </w:lvl>
  </w:abstractNum>
  <w:abstractNum w:abstractNumId="411">
    <w:nsid w:val="6C11685A"/>
    <w:multiLevelType w:val="hybridMultilevel"/>
    <w:lvl w:ilvl="0">
      <w:lvlJc w:val="left"/>
      <w:lvlText w:val="(%1)"/>
      <w:numFmt w:val="lowerRoman"/>
      <w:start w:val="1"/>
    </w:lvl>
    <w:lvl w:ilvl="1">
      <w:lvlJc w:val="left"/>
      <w:lvlText w:val="(%2)"/>
      <w:numFmt w:val="upperLetter"/>
      <w:start w:val="1"/>
    </w:lvl>
  </w:abstractNum>
  <w:abstractNum w:abstractNumId="412">
    <w:nsid w:val="5E1EAE31"/>
    <w:multiLevelType w:val="hybridMultilevel"/>
    <w:lvl w:ilvl="0">
      <w:lvlJc w:val="left"/>
      <w:lvlText w:val="%1"/>
      <w:numFmt w:val="lowerRoman"/>
      <w:start w:val="1"/>
    </w:lvl>
    <w:lvl w:ilvl="1">
      <w:lvlJc w:val="left"/>
      <w:lvlText w:val="(%2)"/>
      <w:numFmt w:val="upperLetter"/>
      <w:start w:val="3"/>
    </w:lvl>
  </w:abstractNum>
  <w:abstractNum w:abstractNumId="413">
    <w:nsid w:val="178E240D"/>
    <w:multiLevelType w:val="hybridMultilevel"/>
    <w:lvl w:ilvl="0">
      <w:lvlJc w:val="left"/>
      <w:lvlText w:val="(%1)"/>
      <w:numFmt w:val="lowerRoman"/>
      <w:start w:val="6"/>
    </w:lvl>
    <w:lvl w:ilvl="1">
      <w:lvlJc w:val="left"/>
      <w:lvlText w:val="%2"/>
      <w:numFmt w:val="upperLetter"/>
      <w:start w:val="1"/>
    </w:lvl>
  </w:abstractNum>
  <w:abstractNum w:abstractNumId="414">
    <w:nsid w:val="5556A87B"/>
    <w:multiLevelType w:val="hybridMultilevel"/>
    <w:lvl w:ilvl="0">
      <w:lvlJc w:val="left"/>
      <w:lvlText w:val="%1"/>
      <w:numFmt w:val="lowerRoman"/>
      <w:start w:val="1"/>
    </w:lvl>
    <w:lvl w:ilvl="1">
      <w:lvlJc w:val="left"/>
      <w:lvlText w:val="(%2)"/>
      <w:numFmt w:val="lowerRoman"/>
      <w:start w:val="14"/>
    </w:lvl>
  </w:abstractNum>
  <w:abstractNum w:abstractNumId="415">
    <w:nsid w:val="28100A9C"/>
    <w:multiLevelType w:val="hybridMultilevel"/>
    <w:lvl w:ilvl="0">
      <w:lvlJc w:val="left"/>
      <w:lvlText w:val="(%1)"/>
      <w:numFmt w:val="lowerRoman"/>
      <w:start w:val="1"/>
    </w:lvl>
    <w:lvl w:ilvl="1">
      <w:lvlJc w:val="left"/>
      <w:lvlText w:val="(%2)"/>
      <w:numFmt w:val="lowerRoman"/>
      <w:start w:val="15"/>
    </w:lvl>
  </w:abstractNum>
  <w:abstractNum w:abstractNumId="416">
    <w:nsid w:val="D838636"/>
    <w:multiLevelType w:val="hybridMultilevel"/>
    <w:lvl w:ilvl="0">
      <w:lvlJc w:val="left"/>
      <w:lvlText w:val="(%1)"/>
      <w:numFmt w:val="lowerLetter"/>
      <w:start w:val="1"/>
    </w:lvl>
    <w:lvl w:ilvl="1">
      <w:lvlJc w:val="left"/>
      <w:lvlText w:val="(%2)"/>
      <w:numFmt w:val="lowerRoman"/>
      <w:start w:val="1"/>
    </w:lvl>
  </w:abstractNum>
  <w:abstractNum w:abstractNumId="417">
    <w:nsid w:val="71B82AED"/>
    <w:multiLevelType w:val="hybridMultilevel"/>
    <w:lvl w:ilvl="0">
      <w:lvlJc w:val="left"/>
      <w:lvlText w:val="(%1)"/>
      <w:numFmt w:val="lowerRoman"/>
      <w:start w:val="3"/>
    </w:lvl>
    <w:lvl w:ilvl="1">
      <w:lvlJc w:val="left"/>
      <w:lvlText w:val="(%2)"/>
      <w:numFmt w:val="upperLetter"/>
      <w:start w:val="1"/>
    </w:lvl>
  </w:abstractNum>
  <w:abstractNum w:abstractNumId="418">
    <w:nsid w:val="D15FACA"/>
    <w:multiLevelType w:val="hybridMultilevel"/>
    <w:lvl w:ilvl="0">
      <w:lvlJc w:val="left"/>
      <w:lvlText w:val="(%1)"/>
      <w:numFmt w:val="lowerRoman"/>
      <w:start w:val="14"/>
    </w:lvl>
  </w:abstractNum>
  <w:abstractNum w:abstractNumId="419">
    <w:nsid w:val="3D69565B"/>
    <w:multiLevelType w:val="hybridMultilevel"/>
    <w:lvl w:ilvl="0">
      <w:lvlJc w:val="left"/>
      <w:lvlText w:val="(%1)"/>
      <w:numFmt w:val="lowerLetter"/>
      <w:start w:val="2"/>
    </w:lvl>
  </w:abstractNum>
  <w:abstractNum w:abstractNumId="420">
    <w:nsid w:val="2299DCBC"/>
    <w:multiLevelType w:val="hybridMultilevel"/>
    <w:lvl w:ilvl="0">
      <w:lvlJc w:val="left"/>
      <w:lvlText w:val="(%1)"/>
      <w:numFmt w:val="lowerLetter"/>
      <w:start w:val="1"/>
    </w:lvl>
  </w:abstractNum>
  <w:abstractNum w:abstractNumId="421">
    <w:nsid w:val="19908D02"/>
    <w:multiLevelType w:val="hybridMultilevel"/>
    <w:lvl w:ilvl="0">
      <w:lvlJc w:val="left"/>
      <w:lvlText w:val="(%1)"/>
      <w:numFmt w:val="lowerLetter"/>
      <w:start w:val="2"/>
    </w:lvl>
  </w:abstractNum>
  <w:abstractNum w:abstractNumId="422">
    <w:nsid w:val="24D48BDB"/>
    <w:multiLevelType w:val="hybridMultilevel"/>
    <w:lvl w:ilvl="0">
      <w:lvlJc w:val="left"/>
      <w:lvlText w:val="(%1)"/>
      <w:numFmt w:val="lowerLetter"/>
      <w:start w:val="1"/>
    </w:lvl>
    <w:lvl w:ilvl="1">
      <w:lvlJc w:val="left"/>
      <w:lvlText w:val="(%2)"/>
      <w:numFmt w:val="lowerLetter"/>
      <w:start w:val="9"/>
    </w:lvl>
  </w:abstractNum>
  <w:abstractNum w:abstractNumId="423">
    <w:nsid w:val="542DA5B5"/>
    <w:multiLevelType w:val="hybridMultilevel"/>
    <w:lvl w:ilvl="0">
      <w:lvlJc w:val="left"/>
      <w:lvlText w:val="%1"/>
      <w:numFmt w:val="lowerLetter"/>
      <w:start w:val="1"/>
    </w:lvl>
    <w:lvl w:ilvl="1">
      <w:lvlJc w:val="left"/>
      <w:lvlText w:val="(%2)"/>
      <w:numFmt w:val="lowerLetter"/>
      <w:start w:val="35"/>
    </w:lvl>
  </w:abstractNum>
  <w:abstractNum w:abstractNumId="424">
    <w:nsid w:val="793753DE"/>
    <w:multiLevelType w:val="hybridMultilevel"/>
    <w:lvl w:ilvl="0">
      <w:lvlJc w:val="left"/>
      <w:lvlText w:val="(%1)"/>
      <w:numFmt w:val="lowerLetter"/>
      <w:start w:val="3"/>
    </w:lvl>
    <w:lvl w:ilvl="1">
      <w:lvlJc w:val="left"/>
      <w:lvlText w:val="(%2)"/>
      <w:numFmt w:val="lowerLetter"/>
      <w:start w:val="9"/>
    </w:lvl>
  </w:abstractNum>
  <w:abstractNum w:abstractNumId="425">
    <w:nsid w:val="1C67CB3D"/>
    <w:multiLevelType w:val="hybridMultilevel"/>
    <w:lvl w:ilvl="0">
      <w:lvlJc w:val="left"/>
      <w:lvlText w:val="(%1)"/>
      <w:numFmt w:val="lowerRoman"/>
      <w:start w:val="2"/>
    </w:lvl>
  </w:abstractNum>
  <w:abstractNum w:abstractNumId="426">
    <w:nsid w:val="40E29452"/>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427">
    <w:nsid w:val="63A4AAB6"/>
    <w:multiLevelType w:val="hybridMultilevel"/>
    <w:lvl w:ilvl="0">
      <w:lvlJc w:val="left"/>
      <w:lvlText w:val="(%1)"/>
      <w:numFmt w:val="upperLetter"/>
      <w:start w:val="2"/>
    </w:lvl>
    <w:lvl w:ilvl="1">
      <w:lvlJc w:val="left"/>
      <w:lvlText w:val="(%2)"/>
      <w:numFmt w:val="lowerLetter"/>
      <w:start w:val="7"/>
    </w:lvl>
    <w:lvl w:ilvl="2">
      <w:lvlJc w:val="left"/>
      <w:lvlText w:val="(%3)"/>
      <w:numFmt w:val="lowerLetter"/>
      <w:start w:val="9"/>
    </w:lvl>
  </w:abstractNum>
  <w:abstractNum w:abstractNumId="428">
    <w:nsid w:val="77DA4A57"/>
    <w:multiLevelType w:val="hybridMultilevel"/>
    <w:lvl w:ilvl="0">
      <w:lvlJc w:val="left"/>
      <w:lvlText w:val="%1"/>
      <w:numFmt w:val="lowerLetter"/>
      <w:start w:val="1"/>
    </w:lvl>
    <w:lvl w:ilvl="1">
      <w:lvlJc w:val="left"/>
      <w:lvlText w:val="(%2)"/>
      <w:numFmt w:val="lowerLetter"/>
      <w:start w:val="35"/>
    </w:lvl>
  </w:abstractNum>
  <w:abstractNum w:abstractNumId="429">
    <w:nsid w:val="1230F102"/>
    <w:multiLevelType w:val="hybridMultilevel"/>
    <w:lvl w:ilvl="0">
      <w:lvlJc w:val="left"/>
      <w:lvlText w:val="(%1)"/>
      <w:numFmt w:val="lowerLetter"/>
      <w:start w:val="10"/>
    </w:lvl>
    <w:lvl w:ilvl="1">
      <w:lvlJc w:val="left"/>
      <w:lvlText w:val="%2"/>
      <w:numFmt w:val="lowerLetter"/>
      <w:start w:val="1"/>
    </w:lvl>
  </w:abstractNum>
  <w:abstractNum w:abstractNumId="430">
    <w:nsid w:val="25B57ED4"/>
    <w:multiLevelType w:val="hybridMultilevel"/>
    <w:lvl w:ilvl="0">
      <w:lvlJc w:val="left"/>
      <w:lvlText w:val="(%1)"/>
      <w:numFmt w:val="lowerLetter"/>
      <w:start w:val="1"/>
    </w:lvl>
    <w:lvl w:ilvl="1">
      <w:lvlJc w:val="left"/>
      <w:lvlText w:val="(%2)"/>
      <w:numFmt w:val="lowerLetter"/>
      <w:start w:val="9"/>
    </w:lvl>
  </w:abstractNum>
  <w:abstractNum w:abstractNumId="431">
    <w:nsid w:val="47CF16C4"/>
    <w:multiLevelType w:val="hybridMultilevel"/>
    <w:lvl w:ilvl="0">
      <w:lvlJc w:val="left"/>
      <w:lvlText w:val="(%1)"/>
      <w:numFmt w:val="lowerRoman"/>
      <w:start w:val="2"/>
    </w:lvl>
  </w:abstractNum>
  <w:abstractNum w:abstractNumId="432">
    <w:nsid w:val="527FA04C"/>
    <w:multiLevelType w:val="hybridMultilevel"/>
    <w:lvl w:ilvl="0">
      <w:lvlJc w:val="left"/>
      <w:lvlText w:val="(%1)"/>
      <w:numFmt w:val="lowerLetter"/>
      <w:start w:val="2"/>
    </w:lvl>
    <w:lvl w:ilvl="1">
      <w:lvlJc w:val="left"/>
      <w:lvlText w:val="(%2)"/>
      <w:numFmt w:val="lowerRoman"/>
      <w:start w:val="1"/>
    </w:lvl>
  </w:abstractNum>
  <w:abstractNum w:abstractNumId="433">
    <w:nsid w:val="6FCC0624"/>
    <w:multiLevelType w:val="hybridMultilevel"/>
    <w:lvl w:ilvl="0">
      <w:lvlJc w:val="left"/>
      <w:lvlText w:val="(%1)"/>
      <w:numFmt w:val="lowerLetter"/>
      <w:start w:val="1"/>
    </w:lvl>
  </w:abstractNum>
  <w:abstractNum w:abstractNumId="434">
    <w:nsid w:val="1DCDF795"/>
    <w:multiLevelType w:val="hybridMultilevel"/>
    <w:lvl w:ilvl="0">
      <w:lvlJc w:val="left"/>
      <w:lvlText w:val="(%1)"/>
      <w:numFmt w:val="lowerLetter"/>
      <w:start w:val="2"/>
    </w:lvl>
  </w:abstractNum>
  <w:abstractNum w:abstractNumId="435">
    <w:nsid w:val="564580C8"/>
    <w:multiLevelType w:val="hybridMultilevel"/>
    <w:lvl w:ilvl="0">
      <w:lvlJc w:val="left"/>
      <w:lvlText w:val="(%1)"/>
      <w:numFmt w:val="lowerLetter"/>
      <w:start w:val="1"/>
    </w:lvl>
  </w:abstractNum>
  <w:abstractNum w:abstractNumId="436">
    <w:nsid w:val="508ED897"/>
    <w:multiLevelType w:val="hybridMultilevel"/>
    <w:lvl w:ilvl="0">
      <w:lvlJc w:val="left"/>
      <w:lvlText w:val="(%1)"/>
      <w:numFmt w:val="lowerLetter"/>
      <w:start w:val="5"/>
    </w:lvl>
  </w:abstractNum>
  <w:abstractNum w:abstractNumId="437">
    <w:nsid w:val="6A9126B5"/>
    <w:multiLevelType w:val="hybridMultilevel"/>
    <w:lvl w:ilvl="0">
      <w:lvlJc w:val="left"/>
      <w:lvlText w:val="(%1)"/>
      <w:numFmt w:val="lowerLetter"/>
      <w:start w:val="1"/>
    </w:lvl>
  </w:abstractNum>
  <w:abstractNum w:abstractNumId="438">
    <w:nsid w:val="68104812"/>
    <w:multiLevelType w:val="hybridMultilevel"/>
    <w:lvl w:ilvl="0">
      <w:lvlJc w:val="left"/>
      <w:lvlText w:val="(%1)"/>
      <w:numFmt w:val="lowerLetter"/>
      <w:start w:val="1"/>
    </w:lvl>
  </w:abstractNum>
  <w:abstractNum w:abstractNumId="439">
    <w:nsid w:val="62FB8680"/>
    <w:multiLevelType w:val="hybridMultilevel"/>
    <w:lvl w:ilvl="0">
      <w:lvlJc w:val="left"/>
      <w:lvlText w:val="(%1)"/>
      <w:numFmt w:val="lowerLetter"/>
      <w:start w:val="1"/>
    </w:lvl>
  </w:abstractNum>
  <w:abstractNum w:abstractNumId="440">
    <w:nsid w:val="3A45530"/>
    <w:multiLevelType w:val="hybridMultilevel"/>
    <w:lvl w:ilvl="0">
      <w:lvlJc w:val="left"/>
      <w:lvlText w:val="(%1)"/>
      <w:numFmt w:val="lowerRoman"/>
      <w:start w:val="1"/>
    </w:lvl>
    <w:lvl w:ilvl="1">
      <w:lvlJc w:val="left"/>
      <w:lvlText w:val="(%2)"/>
      <w:numFmt w:val="upperLetter"/>
      <w:start w:val="1"/>
    </w:lvl>
  </w:abstractNum>
  <w:abstractNum w:abstractNumId="441">
    <w:nsid w:val="4B9275D2"/>
    <w:multiLevelType w:val="hybridMultilevel"/>
    <w:lvl w:ilvl="0">
      <w:lvlJc w:val="left"/>
      <w:lvlText w:val="(%1)"/>
      <w:numFmt w:val="lowerRoman"/>
      <w:start w:val="3"/>
    </w:lvl>
  </w:abstractNum>
  <w:abstractNum w:abstractNumId="442">
    <w:nsid w:val="4F0CEEDB"/>
    <w:multiLevelType w:val="hybridMultilevel"/>
    <w:lvl w:ilvl="0">
      <w:lvlJc w:val="left"/>
      <w:lvlText w:val="(%1)"/>
      <w:numFmt w:val="lowerLetter"/>
      <w:start w:val="2"/>
    </w:lvl>
    <w:lvl w:ilvl="1">
      <w:lvlJc w:val="left"/>
      <w:lvlText w:val="(%2)"/>
      <w:numFmt w:val="lowerLetter"/>
      <w:start w:val="9"/>
    </w:lvl>
  </w:abstractNum>
  <w:abstractNum w:abstractNumId="443">
    <w:nsid w:val="61C30361"/>
    <w:multiLevelType w:val="hybridMultilevel"/>
    <w:lvl w:ilvl="0">
      <w:lvlJc w:val="left"/>
      <w:lvlText w:val="(%1)"/>
      <w:numFmt w:val="lowerRoman"/>
      <w:start w:val="2"/>
    </w:lvl>
  </w:abstractNum>
  <w:abstractNum w:abstractNumId="444">
    <w:nsid w:val="632099E0"/>
    <w:multiLevelType w:val="hybridMultilevel"/>
    <w:lvl w:ilvl="0">
      <w:lvlJc w:val="left"/>
      <w:lvlText w:val="(%1)"/>
      <w:numFmt w:val="lowerLetter"/>
      <w:start w:val="1"/>
    </w:lvl>
  </w:abstractNum>
  <w:abstractNum w:abstractNumId="445">
    <w:nsid w:val="24639756"/>
    <w:multiLevelType w:val="hybridMultilevel"/>
    <w:lvl w:ilvl="0">
      <w:lvlJc w:val="left"/>
      <w:lvlText w:val="(%1)"/>
      <w:numFmt w:val="lowerLetter"/>
      <w:start w:val="2"/>
    </w:lvl>
  </w:abstractNum>
  <w:abstractNum w:abstractNumId="446">
    <w:nsid w:val="9D30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7">
    <w:nsid w:val="70A420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8">
    <w:nsid w:val="161BC243"/>
    <w:multiLevelType w:val="hybridMultilevel"/>
    <w:lvl w:ilvl="0">
      <w:lvlJc w:val="left"/>
      <w:lvlText w:val="(%1)"/>
      <w:numFmt w:val="lowerLetter"/>
      <w:start w:val="1"/>
    </w:lvl>
    <w:lvl w:ilvl="1">
      <w:lvlJc w:val="left"/>
      <w:lvlText w:val="(%2)"/>
      <w:numFmt w:val="lowerRoman"/>
      <w:start w:val="1"/>
    </w:lvl>
  </w:abstractNum>
  <w:abstractNum w:abstractNumId="449">
    <w:nsid w:val="16E908C8"/>
    <w:multiLevelType w:val="hybridMultilevel"/>
    <w:lvl w:ilvl="0">
      <w:lvlJc w:val="left"/>
      <w:lvlText w:val="(%1)"/>
      <w:numFmt w:val="lowerLetter"/>
      <w:start w:val="3"/>
    </w:lvl>
  </w:abstractNum>
  <w:abstractNum w:abstractNumId="450">
    <w:nsid w:val="2E0D7671"/>
    <w:multiLevelType w:val="hybridMultilevel"/>
    <w:lvl w:ilvl="0">
      <w:lvlJc w:val="left"/>
      <w:lvlText w:val="(%1)"/>
      <w:numFmt w:val="lowerLetter"/>
      <w:start w:val="5"/>
    </w:lvl>
  </w:abstractNum>
  <w:abstractNum w:abstractNumId="451">
    <w:nsid w:val="38B59EFF"/>
    <w:multiLevelType w:val="hybridMultilevel"/>
    <w:lvl w:ilvl="0">
      <w:lvlJc w:val="left"/>
      <w:lvlText w:val="(%1)"/>
      <w:numFmt w:val="lowerLetter"/>
      <w:start w:val="1"/>
    </w:lvl>
    <w:lvl w:ilvl="1">
      <w:lvlJc w:val="left"/>
      <w:lvlText w:val="(%2)"/>
      <w:numFmt w:val="lowerLetter"/>
      <w:start w:val="9"/>
    </w:lvl>
  </w:abstractNum>
  <w:abstractNum w:abstractNumId="452">
    <w:nsid w:val="307995CA"/>
    <w:multiLevelType w:val="hybridMultilevel"/>
    <w:lvl w:ilvl="0">
      <w:lvlJc w:val="left"/>
      <w:lvlText w:val="(%1)"/>
      <w:numFmt w:val="lowerRoman"/>
      <w:start w:val="2"/>
    </w:lvl>
  </w:abstractNum>
  <w:abstractNum w:abstractNumId="453">
    <w:nsid w:val="52E2024D"/>
    <w:multiLevelType w:val="hybridMultilevel"/>
    <w:lvl w:ilvl="0">
      <w:lvlJc w:val="left"/>
      <w:lvlText w:val="%1"/>
      <w:numFmt w:val="lowerLetter"/>
      <w:start w:val="1"/>
    </w:lvl>
    <w:lvl w:ilvl="1">
      <w:lvlJc w:val="left"/>
      <w:lvlText w:val="(%2)"/>
      <w:numFmt w:val="lowerLetter"/>
      <w:start w:val="24"/>
    </w:lvl>
  </w:abstractNum>
  <w:abstractNum w:abstractNumId="454">
    <w:nsid w:val="CE344B5"/>
    <w:multiLevelType w:val="hybridMultilevel"/>
    <w:lvl w:ilvl="0">
      <w:lvlJc w:val="left"/>
      <w:lvlText w:val="(%1)"/>
      <w:numFmt w:val="lowerLetter"/>
      <w:start w:val="3"/>
    </w:lvl>
    <w:lvl w:ilvl="1">
      <w:lvlJc w:val="left"/>
      <w:lvlText w:val="(%2)"/>
      <w:numFmt w:val="lowerLetter"/>
      <w:start w:val="9"/>
    </w:lvl>
  </w:abstractNum>
  <w:abstractNum w:abstractNumId="455">
    <w:nsid w:val="29B0E9A8"/>
    <w:multiLevelType w:val="hybridMultilevel"/>
    <w:lvl w:ilvl="0">
      <w:lvlJc w:val="left"/>
      <w:lvlText w:val="(%1)"/>
      <w:numFmt w:val="lowerRoman"/>
      <w:start w:val="2"/>
    </w:lvl>
  </w:abstractNum>
  <w:abstractNum w:abstractNumId="456">
    <w:nsid w:val="6F49CD8A"/>
    <w:multiLevelType w:val="hybridMultilevel"/>
    <w:lvl w:ilvl="0">
      <w:lvlJc w:val="left"/>
      <w:lvlText w:val="%1"/>
      <w:numFmt w:val="lowerLetter"/>
      <w:start w:val="1"/>
    </w:lvl>
    <w:lvl w:ilvl="1">
      <w:lvlJc w:val="left"/>
      <w:lvlText w:val="(%2)"/>
      <w:numFmt w:val="lowerLetter"/>
      <w:start w:val="22"/>
    </w:lvl>
  </w:abstractNum>
  <w:abstractNum w:abstractNumId="457">
    <w:nsid w:val="4DC5D907"/>
    <w:multiLevelType w:val="hybridMultilevel"/>
    <w:lvl w:ilvl="0">
      <w:lvlJc w:val="left"/>
      <w:lvlText w:val="(%1)"/>
      <w:numFmt w:val="lowerLetter"/>
      <w:start w:val="4"/>
    </w:lvl>
    <w:lvl w:ilvl="1">
      <w:lvlJc w:val="left"/>
      <w:lvlText w:val="(%2)"/>
      <w:numFmt w:val="lowerLetter"/>
      <w:start w:val="9"/>
    </w:lvl>
  </w:abstractNum>
  <w:abstractNum w:abstractNumId="458">
    <w:nsid w:val="D55945E"/>
    <w:multiLevelType w:val="hybridMultilevel"/>
    <w:lvl w:ilvl="0">
      <w:lvlJc w:val="left"/>
      <w:lvlText w:val="(%1)"/>
      <w:numFmt w:val="lowerRoman"/>
      <w:start w:val="2"/>
    </w:lvl>
  </w:abstractNum>
  <w:abstractNum w:abstractNumId="459">
    <w:nsid w:val="672417E1"/>
    <w:multiLevelType w:val="hybridMultilevel"/>
    <w:lvl w:ilvl="0">
      <w:lvlJc w:val="left"/>
      <w:lvlText w:val="(%1)"/>
      <w:numFmt w:val="lowerLetter"/>
      <w:start w:val="1"/>
    </w:lvl>
    <w:lvl w:ilvl="1">
      <w:lvlJc w:val="left"/>
      <w:lvlText w:val="(%2)"/>
      <w:numFmt w:val="lowerRoman"/>
      <w:start w:val="1"/>
    </w:lvl>
  </w:abstractNum>
  <w:abstractNum w:abstractNumId="460">
    <w:nsid w:val="5FF6CA09"/>
    <w:multiLevelType w:val="hybridMultilevel"/>
    <w:lvl w:ilvl="0">
      <w:lvlJc w:val="left"/>
      <w:lvlText w:val="(%1)"/>
      <w:numFmt w:val="lowerLetter"/>
      <w:start w:val="2"/>
    </w:lvl>
  </w:abstractNum>
  <w:abstractNum w:abstractNumId="461">
    <w:nsid w:val="330B1333"/>
    <w:multiLevelType w:val="hybridMultilevel"/>
    <w:lvl w:ilvl="0">
      <w:lvlJc w:val="left"/>
      <w:lvlText w:val="%1"/>
      <w:numFmt w:val="lowerLetter"/>
      <w:start w:val="1"/>
    </w:lvl>
    <w:lvl w:ilvl="1">
      <w:lvlJc w:val="left"/>
      <w:lvlText w:val="(%2)"/>
      <w:numFmt w:val="lowerLetter"/>
      <w:start w:val="3"/>
    </w:lvl>
  </w:abstractNum>
  <w:abstractNum w:abstractNumId="462">
    <w:nsid w:val="2EF32EA6"/>
    <w:multiLevelType w:val="hybridMultilevel"/>
    <w:lvl w:ilvl="0">
      <w:lvlJc w:val="left"/>
      <w:lvlText w:val="(%1)"/>
      <w:numFmt w:val="lowerLetter"/>
      <w:start w:val="35"/>
    </w:lvl>
    <w:lvl w:ilvl="1">
      <w:lvlJc w:val="left"/>
      <w:lvlText w:val="(%2)"/>
      <w:numFmt w:val="lowerLetter"/>
      <w:start w:val="4"/>
    </w:lvl>
  </w:abstractNum>
  <w:abstractNum w:abstractNumId="463">
    <w:nsid w:val="32766A55"/>
    <w:multiLevelType w:val="hybridMultilevel"/>
    <w:lvl w:ilvl="0">
      <w:lvlJc w:val="left"/>
      <w:lvlText w:val="(%1)"/>
      <w:numFmt w:val="lowerLetter"/>
      <w:start w:val="7"/>
    </w:lvl>
  </w:abstractNum>
  <w:abstractNum w:abstractNumId="464">
    <w:nsid w:val="22D71957"/>
    <w:multiLevelType w:val="hybridMultilevel"/>
    <w:lvl w:ilvl="0">
      <w:lvlJc w:val="left"/>
      <w:lvlText w:val="(%1)"/>
      <w:numFmt w:val="lowerLetter"/>
      <w:start w:val="1"/>
    </w:lvl>
  </w:abstractNum>
  <w:abstractNum w:abstractNumId="465">
    <w:nsid w:val="4CC1263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66">
    <w:nsid w:val="8BBEB1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7">
    <w:nsid w:val="7365F1E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68">
    <w:nsid w:val="37524CF0"/>
    <w:multiLevelType w:val="hybridMultilevel"/>
    <w:lvl w:ilvl="0">
      <w:lvlJc w:val="left"/>
      <w:lvlText w:val="(%1)"/>
      <w:numFmt w:val="lowerRoman"/>
      <w:start w:val="2"/>
    </w:lvl>
    <w:lvl w:ilvl="1">
      <w:lvlJc w:val="left"/>
      <w:lvlText w:val="(%2)"/>
      <w:numFmt w:val="decimal"/>
      <w:start w:val="2"/>
    </w:lvl>
    <w:lvl w:ilvl="2">
      <w:lvlJc w:val="left"/>
      <w:lvlText w:val="(%3)"/>
      <w:numFmt w:val="upperLetter"/>
      <w:start w:val="1"/>
    </w:lvl>
  </w:abstractNum>
  <w:abstractNum w:abstractNumId="469">
    <w:nsid w:val="70CC332F"/>
    <w:multiLevelType w:val="hybridMultilevel"/>
    <w:lvl w:ilvl="0">
      <w:lvlJc w:val="left"/>
      <w:lvlText w:val="%1"/>
      <w:numFmt w:val="lowerRoman"/>
      <w:start w:val="1"/>
    </w:lvl>
    <w:lvl w:ilvl="1">
      <w:lvlJc w:val="left"/>
      <w:lvlText w:val="(%2)"/>
      <w:numFmt w:val="upperLetter"/>
      <w:start w:val="2"/>
    </w:lvl>
  </w:abstractNum>
  <w:abstractNum w:abstractNumId="470">
    <w:nsid w:val="5661786E"/>
    <w:multiLevelType w:val="hybridMultilevel"/>
    <w:lvl w:ilvl="0">
      <w:lvlJc w:val="left"/>
      <w:lvlText w:val="(%1)"/>
      <w:numFmt w:val="lowerRoman"/>
      <w:start w:val="4"/>
    </w:lvl>
    <w:lvl w:ilvl="1">
      <w:lvlJc w:val="left"/>
      <w:lvlText w:val="%2"/>
      <w:numFmt w:val="upperLetter"/>
      <w:start w:val="1"/>
    </w:lvl>
  </w:abstractNum>
  <w:abstractNum w:abstractNumId="471">
    <w:nsid w:val="3AF6A220"/>
    <w:multiLevelType w:val="hybridMultilevel"/>
    <w:lvl w:ilvl="0">
      <w:lvlJc w:val="left"/>
      <w:lvlText w:val="(%1)"/>
      <w:numFmt w:val="lowerRoman"/>
      <w:start w:val="5"/>
    </w:lvl>
    <w:lvl w:ilvl="1">
      <w:lvlJc w:val="left"/>
      <w:lvlText w:val="(%2)"/>
      <w:numFmt w:val="upperLetter"/>
      <w:start w:val="1"/>
    </w:lvl>
  </w:abstractNum>
  <w:abstractNum w:abstractNumId="472">
    <w:nsid w:val="3C5EA902"/>
    <w:multiLevelType w:val="hybridMultilevel"/>
    <w:lvl w:ilvl="0">
      <w:lvlJc w:val="left"/>
      <w:lvlText w:val="(%1)"/>
      <w:numFmt w:val="lowerRoman"/>
      <w:start w:val="6"/>
    </w:lvl>
  </w:abstractNum>
  <w:abstractNum w:abstractNumId="473">
    <w:nsid w:val="256E6749"/>
    <w:multiLevelType w:val="hybridMultilevel"/>
    <w:lvl w:ilvl="0">
      <w:lvlJc w:val="left"/>
      <w:lvlText w:val="(%1)"/>
      <w:numFmt w:val="lowerLetter"/>
      <w:start w:val="3"/>
    </w:lvl>
  </w:abstractNum>
  <w:abstractNum w:abstractNumId="474">
    <w:nsid w:val="1CB9A581"/>
    <w:multiLevelType w:val="hybridMultilevel"/>
    <w:lvl w:ilvl="0">
      <w:lvlJc w:val="left"/>
      <w:lvlText w:val="(%1)"/>
      <w:numFmt w:val="lowerLetter"/>
      <w:start w:val="61"/>
    </w:lvl>
    <w:lvl w:ilvl="1">
      <w:lvlJc w:val="left"/>
      <w:lvlText w:val="(%2)"/>
      <w:numFmt w:val="lowerLetter"/>
      <w:start w:val="5"/>
    </w:lvl>
  </w:abstractNum>
  <w:abstractNum w:abstractNumId="475">
    <w:nsid w:val="1F7F42E2"/>
    <w:multiLevelType w:val="hybridMultilevel"/>
    <w:lvl w:ilvl="0">
      <w:lvlJc w:val="left"/>
      <w:lvlText w:val="(%1)"/>
      <w:numFmt w:val="lowerLetter"/>
      <w:start w:val="6"/>
    </w:lvl>
  </w:abstractNum>
  <w:abstractNum w:abstractNumId="476">
    <w:nsid w:val="49D1FEA0"/>
    <w:multiLevelType w:val="hybridMultilevel"/>
    <w:lvl w:ilvl="0">
      <w:lvlJc w:val="left"/>
      <w:lvlText w:val="(%1)"/>
      <w:numFmt w:val="lowerLetter"/>
      <w:start w:val="11"/>
    </w:lvl>
  </w:abstractNum>
  <w:abstractNum w:abstractNumId="477">
    <w:nsid w:val="268CB37F"/>
    <w:multiLevelType w:val="hybridMultilevel"/>
    <w:lvl w:ilvl="0">
      <w:lvlJc w:val="left"/>
      <w:lvlText w:val="(%1)"/>
      <w:numFmt w:val="lowerLetter"/>
      <w:start w:val="1"/>
    </w:lvl>
  </w:abstractNum>
  <w:abstractNum w:abstractNumId="478">
    <w:nsid w:val="102362F8"/>
    <w:multiLevelType w:val="hybridMultilevel"/>
    <w:lvl w:ilvl="0">
      <w:lvlJc w:val="left"/>
      <w:lvlText w:val="(%1)"/>
      <w:numFmt w:val="lowerLetter"/>
      <w:start w:val="4"/>
    </w:lvl>
  </w:abstractNum>
  <w:abstractNum w:abstractNumId="479">
    <w:nsid w:val="5FEDC0E3"/>
    <w:multiLevelType w:val="hybridMultilevel"/>
    <w:lvl w:ilvl="0">
      <w:lvlJc w:val="left"/>
      <w:lvlText w:val="(%1)"/>
      <w:numFmt w:val="lowerLetter"/>
      <w:start w:val="1"/>
    </w:lvl>
  </w:abstractNum>
  <w:abstractNum w:abstractNumId="480">
    <w:nsid w:val="3D75BC47"/>
    <w:multiLevelType w:val="hybridMultilevel"/>
    <w:lvl w:ilvl="0">
      <w:lvlJc w:val="left"/>
      <w:lvlText w:val="(%1)"/>
      <w:numFmt w:val="lowerLetter"/>
      <w:start w:val="1"/>
    </w:lvl>
    <w:lvl w:ilvl="1">
      <w:lvlJc w:val="left"/>
      <w:lvlText w:val="(%2)"/>
      <w:numFmt w:val="lowerRoman"/>
      <w:start w:val="1"/>
    </w:lvl>
  </w:abstractNum>
  <w:abstractNum w:abstractNumId="481">
    <w:nsid w:val="3E30D9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2">
    <w:nsid w:val="18A35FE3"/>
    <w:multiLevelType w:val="hybridMultilevel"/>
    <w:lvl w:ilvl="0">
      <w:lvlJc w:val="left"/>
      <w:lvlText w:val="%1"/>
      <w:numFmt w:val="lowerLetter"/>
      <w:start w:val="1"/>
    </w:lvl>
    <w:lvl w:ilvl="1">
      <w:lvlJc w:val="left"/>
      <w:lvlText w:val="(%2)"/>
      <w:numFmt w:val="lowerRoman"/>
      <w:start w:val="2"/>
    </w:lvl>
  </w:abstractNum>
  <w:abstractNum w:abstractNumId="483">
    <w:nsid w:val="6DEF5211"/>
    <w:multiLevelType w:val="hybridMultilevel"/>
    <w:lvl w:ilvl="0">
      <w:lvlJc w:val="left"/>
      <w:lvlText w:val="(%1)"/>
      <w:numFmt w:val="lowerLetter"/>
      <w:start w:val="2"/>
    </w:lvl>
    <w:lvl w:ilvl="1">
      <w:lvlJc w:val="left"/>
      <w:lvlText w:val="(%2)"/>
      <w:numFmt w:val="lowerRoman"/>
      <w:start w:val="1"/>
    </w:lvl>
  </w:abstractNum>
  <w:abstractNum w:abstractNumId="484">
    <w:nsid w:val="1112DBB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6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634" Type="http://schemas.openxmlformats.org/officeDocument/2006/relationships/image" Target="media/image602.png"/><Relationship Id="rId635" Type="http://schemas.openxmlformats.org/officeDocument/2006/relationships/image" Target="media/image603.png"/><Relationship Id="rId636" Type="http://schemas.openxmlformats.org/officeDocument/2006/relationships/image" Target="media/image604.png"/><Relationship Id="rId637" Type="http://schemas.openxmlformats.org/officeDocument/2006/relationships/image" Target="media/image605.png"/><Relationship Id="rId638" Type="http://schemas.openxmlformats.org/officeDocument/2006/relationships/image" Target="media/image606.png"/><Relationship Id="rId639" Type="http://schemas.openxmlformats.org/officeDocument/2006/relationships/image" Target="media/image607.png"/><Relationship Id="rId640" Type="http://schemas.openxmlformats.org/officeDocument/2006/relationships/image" Target="media/image608.png"/><Relationship Id="rId641" Type="http://schemas.openxmlformats.org/officeDocument/2006/relationships/image" Target="media/image609.png"/><Relationship Id="rId642" Type="http://schemas.openxmlformats.org/officeDocument/2006/relationships/image" Target="media/image610.png"/><Relationship Id="rId643" Type="http://schemas.openxmlformats.org/officeDocument/2006/relationships/image" Target="media/image611.png"/><Relationship Id="rId644" Type="http://schemas.openxmlformats.org/officeDocument/2006/relationships/image" Target="media/image612.png"/><Relationship Id="rId645" Type="http://schemas.openxmlformats.org/officeDocument/2006/relationships/image" Target="media/image613.png"/><Relationship Id="rId646" Type="http://schemas.openxmlformats.org/officeDocument/2006/relationships/image" Target="media/image614.png"/><Relationship Id="rId647" Type="http://schemas.openxmlformats.org/officeDocument/2006/relationships/image" Target="media/image615.png"/><Relationship Id="rId648" Type="http://schemas.openxmlformats.org/officeDocument/2006/relationships/image" Target="media/image616.png"/><Relationship Id="rId649" Type="http://schemas.openxmlformats.org/officeDocument/2006/relationships/image" Target="media/image617.png"/><Relationship Id="rId650" Type="http://schemas.openxmlformats.org/officeDocument/2006/relationships/image" Target="media/image618.png"/><Relationship Id="rId651"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6" Type="http://schemas.openxmlformats.org/officeDocument/2006/relationships/image" Target="media/image624.png"/><Relationship Id="rId657" Type="http://schemas.openxmlformats.org/officeDocument/2006/relationships/image" Target="media/image625.png"/><Relationship Id="rId658" Type="http://schemas.openxmlformats.org/officeDocument/2006/relationships/image" Target="media/image626.png"/><Relationship Id="rId659" Type="http://schemas.openxmlformats.org/officeDocument/2006/relationships/image" Target="media/image627.png"/><Relationship Id="rId660" Type="http://schemas.openxmlformats.org/officeDocument/2006/relationships/image" Target="media/image628.png"/><Relationship Id="rId661" Type="http://schemas.openxmlformats.org/officeDocument/2006/relationships/image" Target="media/image629.png"/><Relationship Id="rId662" Type="http://schemas.openxmlformats.org/officeDocument/2006/relationships/image" Target="media/image630.png"/><Relationship Id="rId663" Type="http://schemas.openxmlformats.org/officeDocument/2006/relationships/image" Target="media/image631.png"/><Relationship Id="rId664" Type="http://schemas.openxmlformats.org/officeDocument/2006/relationships/image" Target="media/image632.png"/><Relationship Id="rId665" Type="http://schemas.openxmlformats.org/officeDocument/2006/relationships/image" Target="media/image633.png"/><Relationship Id="rId666" Type="http://schemas.openxmlformats.org/officeDocument/2006/relationships/image" Target="media/image634.png"/><Relationship Id="rId667" Type="http://schemas.openxmlformats.org/officeDocument/2006/relationships/image" Target="media/image635.png"/><Relationship Id="rId668" Type="http://schemas.openxmlformats.org/officeDocument/2006/relationships/image" Target="media/image636.png"/><Relationship Id="rId669" Type="http://schemas.openxmlformats.org/officeDocument/2006/relationships/image" Target="media/image637.png"/><Relationship Id="rId670" Type="http://schemas.openxmlformats.org/officeDocument/2006/relationships/image" Target="media/image638.png"/><Relationship Id="rId671" Type="http://schemas.openxmlformats.org/officeDocument/2006/relationships/image" Target="media/image639.png"/><Relationship Id="rId672" Type="http://schemas.openxmlformats.org/officeDocument/2006/relationships/image" Target="media/image640.png"/><Relationship Id="rId673" Type="http://schemas.openxmlformats.org/officeDocument/2006/relationships/image" Target="media/image641.png"/><Relationship Id="rId674" Type="http://schemas.openxmlformats.org/officeDocument/2006/relationships/image" Target="media/image642.png"/><Relationship Id="rId675" Type="http://schemas.openxmlformats.org/officeDocument/2006/relationships/image" Target="media/image643.png"/><Relationship Id="rId676" Type="http://schemas.openxmlformats.org/officeDocument/2006/relationships/image" Target="media/image644.png"/><Relationship Id="rId677" Type="http://schemas.openxmlformats.org/officeDocument/2006/relationships/image" Target="media/image645.png"/><Relationship Id="rId678" Type="http://schemas.openxmlformats.org/officeDocument/2006/relationships/image" Target="media/image646.png"/><Relationship Id="rId354" Type="http://schemas.openxmlformats.org/officeDocument/2006/relationships/hyperlink" Target="http://www.sec.gov/Archives/edgar/data/1131227/000119312523290782/d365366dex21.htm" TargetMode="External"/><Relationship Id="rId355" Type="http://schemas.openxmlformats.org/officeDocument/2006/relationships/hyperlink" Target="http://www.sec.gov/Archives/edgar/data/1131227/000119312523290782/d365366dex31.htm" TargetMode="External"/><Relationship Id="rId356" Type="http://schemas.openxmlformats.org/officeDocument/2006/relationships/hyperlink" Target="http://www.sec.gov/Archives/edgar/data/1131227/000119312523290782/d365366dex32.htm" TargetMode="External"/><Relationship Id="rId357" Type="http://schemas.openxmlformats.org/officeDocument/2006/relationships/hyperlink" Target="http://www.sec.gov/Archives/edgar/data/1131227/000119312523290782/d365366dex42.htm" TargetMode="External"/><Relationship Id="rId358" Type="http://schemas.openxmlformats.org/officeDocument/2006/relationships/hyperlink" Target="http://www.sec.gov/Archives/edgar/data/1131227/000119312523290782/d365366dex43.htm" TargetMode="External"/><Relationship Id="rId359" Type="http://schemas.openxmlformats.org/officeDocument/2006/relationships/hyperlink" Target="http://www.sec.gov/Archives/edgar/data/1131227/000119312523290782/d365366dex44.htm" TargetMode="External"/><Relationship Id="rId360" Type="http://schemas.openxmlformats.org/officeDocument/2006/relationships/hyperlink" Target="http://www.sec.gov/Archives/edgar/data/1131227/000119312523290782/d365366dex45.htm" TargetMode="External"/><Relationship Id="rId361" Type="http://schemas.openxmlformats.org/officeDocument/2006/relationships/hyperlink" Target="http://www.sec.gov/Archives/edgar/data/1131227/000119312523290782/d365366dex46.htm" TargetMode="External"/><Relationship Id="rId362" Type="http://schemas.openxmlformats.org/officeDocument/2006/relationships/hyperlink" Target="http://www.sec.gov/Archives/edgar/data/1131227/000119312523290782/d365366dex47.htm" TargetMode="External"/><Relationship Id="rId363" Type="http://schemas.openxmlformats.org/officeDocument/2006/relationships/hyperlink" Target="http://www.sec.gov/Archives/edgar/data/1131227/000119312523290782/d365366dex48.htm" TargetMode="External"/><Relationship Id="rId364" Type="http://schemas.openxmlformats.org/officeDocument/2006/relationships/hyperlink" Target="http://www.sec.gov/Archives/edgar/data/1131227/000119312523290782/d365366dex102.htm" TargetMode="External"/><Relationship Id="rId365" Type="http://schemas.openxmlformats.org/officeDocument/2006/relationships/hyperlink" Target="http://www.sec.gov/Archives/edgar/data/1131227/000119312523290782/d365366dex103.htm" TargetMode="External"/><Relationship Id="rId366" Type="http://schemas.openxmlformats.org/officeDocument/2006/relationships/hyperlink" Target="http://www.sec.gov/Archives/edgar/data/1131227/000119312523290782/d365366dex106.htm" TargetMode="External"/><Relationship Id="rId367" Type="http://schemas.openxmlformats.org/officeDocument/2006/relationships/hyperlink" Target="http://www.sec.gov/Archives/edgar/data/1131227/000119312523290782/d365366dex107.htm" TargetMode="External"/><Relationship Id="rId368" Type="http://schemas.openxmlformats.org/officeDocument/2006/relationships/hyperlink" Target="http://www.sec.gov/Archives/edgar/data/1131227/000119312523290782/d365366dex108.htm" TargetMode="External"/><Relationship Id="rId370" Type="http://schemas.openxmlformats.org/officeDocument/2006/relationships/hyperlink" Target="http://www.sec.gov/Archives/edgar/data/1131227/000119312523290782/d365366dex109.htm" TargetMode="External"/><Relationship Id="rId371" Type="http://schemas.openxmlformats.org/officeDocument/2006/relationships/hyperlink" Target="http://www.sec.gov/Archives/edgar/data/1131227/000119312523290782/d365366dex1010.htm" TargetMode="External"/><Relationship Id="rId372" Type="http://schemas.openxmlformats.org/officeDocument/2006/relationships/hyperlink" Target="http://www.sec.gov/Archives/edgar/data/1131227/000119312523290782/d365366dex1015.htm" TargetMode="External"/><Relationship Id="rId373" Type="http://schemas.openxmlformats.org/officeDocument/2006/relationships/hyperlink" Target="http://www.sec.gov/Archives/edgar/data/1131227/000119312523290782/d365366dex1016.htm" TargetMode="External"/><Relationship Id="rId374" Type="http://schemas.openxmlformats.org/officeDocument/2006/relationships/hyperlink" Target="http://www.sec.gov/Archives/edgar/data/1131227/000119312523290782/d365366dex1017.htm" TargetMode="External"/><Relationship Id="rId375" Type="http://schemas.openxmlformats.org/officeDocument/2006/relationships/hyperlink" Target="http://www.sec.gov/Archives/edgar/data/1131227/000119312523290782/d365366dex1018.htm" TargetMode="External"/><Relationship Id="rId376" Type="http://schemas.openxmlformats.org/officeDocument/2006/relationships/hyperlink" Target="http://www.sec.gov/Archives/edgar/data/1131227/000119312523290782/d365366dex1019.htm" TargetMode="External"/><Relationship Id="rId377" Type="http://schemas.openxmlformats.org/officeDocument/2006/relationships/hyperlink" Target="http://www.sec.gov/Archives/edgar/data/1131227/000119312523290782/d365366dex1020.htm" TargetMode="External"/><Relationship Id="rId378" Type="http://schemas.openxmlformats.org/officeDocument/2006/relationships/hyperlink" Target="http://www.sec.gov/Archives/edgar/data/1131227/000119312523290782/d365366ds1.htm#sig" TargetMode="External"/><Relationship Id="rId379" Type="http://schemas.openxmlformats.org/officeDocument/2006/relationships/hyperlink" Target="http://www.sec.gov/Archives/edgar/data/1131227/000119312523290782/d36536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2024-08-16T17:15:29Z</dcterms:created>
  <dcterms:modified xsi:type="dcterms:W3CDTF">2024-08-16T17:15:29Z</dcterms:modified>
</cp:coreProperties>
</file>