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810125ds3asr.htm"/>
        <w:bookmarkStart w:id="1" w:name="ksd810125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September 15,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0"/>
        </w:rPr>
      </w:pPr>
      <w:r>
        <w:rPr>
          <w:rFonts w:ascii="Times New Roman" w:hAnsi="Times New Roman"/>
          <w:b/>
          <w:sz w:val="20"/>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0"/>
        </w:rPr>
      </w:pPr>
      <w:r>
        <w:rPr>
          <w:rFonts w:ascii="Times New Roman" w:hAnsi="Times New Roman"/>
          <w:b/>
          <w:i/>
          <w:sz w:val="20"/>
        </w:rPr>
        <w:t xml:space="preserve">UNDER </w:t>
      </w:r>
    </w:p>
    <w:p>
      <w:pPr>
        <w:pStyle w:val="TextBody"/>
        <w:bidi w:val="0"/>
        <w:spacing w:before="0" w:after="0"/>
        <w:jc w:val="center"/>
        <w:rPr>
          <w:rFonts w:ascii="Times New Roman" w:hAnsi="Times New Roman"/>
          <w:b/>
          <w:i/>
          <w:sz w:val="20"/>
        </w:rPr>
      </w:pPr>
      <w:r>
        <w:rPr>
          <w:rFonts w:ascii="Times New Roman" w:hAnsi="Times New Roman"/>
          <w:b/>
          <w:i/>
          <w:sz w:val="20"/>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40"/>
        </w:rPr>
      </w:pPr>
      <w:r>
        <w:rPr>
          <w:rFonts w:ascii="Times New Roman" w:hAnsi="Times New Roman"/>
          <w:b/>
          <w:sz w:val="40"/>
        </w:rPr>
        <w:t xml:space="preserve">Hornbeck Offshore Services,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95-3409686</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No.)</w:t>
            </w:r>
          </w:p>
        </w:tc>
      </w:tr>
    </w:tbl>
    <w:p>
      <w:pPr>
        <w:pStyle w:val="TextBody"/>
        <w:bidi w:val="0"/>
        <w:spacing w:before="80" w:after="0"/>
        <w:jc w:val="center"/>
        <w:rPr>
          <w:rFonts w:ascii="Times New Roman" w:hAnsi="Times New Roman"/>
          <w:b/>
          <w:sz w:val="18"/>
        </w:rPr>
      </w:pPr>
      <w:r>
        <w:rPr>
          <w:rFonts w:ascii="Times New Roman" w:hAnsi="Times New Roman"/>
          <w:b/>
          <w:sz w:val="18"/>
        </w:rPr>
        <w:t xml:space="preserve">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sz w:val="18"/>
        </w:rPr>
      </w:pPr>
      <w:r>
        <w:rPr>
          <w:rFonts w:ascii="Times New Roman" w:hAnsi="Times New Roman"/>
          <w:b/>
          <w:sz w:val="18"/>
        </w:rPr>
        <w:t xml:space="preserve">Todd M. Hornbeck </w:t>
      </w:r>
    </w:p>
    <w:p>
      <w:pPr>
        <w:pStyle w:val="TextBody"/>
        <w:bidi w:val="0"/>
        <w:spacing w:before="0" w:after="0"/>
        <w:jc w:val="center"/>
        <w:rPr>
          <w:rFonts w:ascii="Times New Roman" w:hAnsi="Times New Roman"/>
          <w:b/>
          <w:sz w:val="18"/>
        </w:rPr>
      </w:pPr>
      <w:r>
        <w:rPr>
          <w:rFonts w:ascii="Times New Roman" w:hAnsi="Times New Roman"/>
          <w:b/>
          <w:sz w:val="18"/>
        </w:rPr>
        <w:t xml:space="preserve">President and Chief Executive Officer </w:t>
      </w:r>
    </w:p>
    <w:p>
      <w:pPr>
        <w:pStyle w:val="TextBody"/>
        <w:bidi w:val="0"/>
        <w:spacing w:before="0" w:after="0"/>
        <w:jc w:val="center"/>
        <w:rPr>
          <w:rFonts w:ascii="Times New Roman" w:hAnsi="Times New Roman"/>
          <w:b/>
          <w:sz w:val="18"/>
        </w:rPr>
      </w:pPr>
      <w:r>
        <w:rPr>
          <w:rFonts w:ascii="Times New Roman" w:hAnsi="Times New Roman"/>
          <w:b/>
          <w:sz w:val="18"/>
        </w:rPr>
        <w:t xml:space="preserve">103 Northpark Boulevard, Suite 300 </w:t>
      </w:r>
    </w:p>
    <w:p>
      <w:pPr>
        <w:pStyle w:val="TextBody"/>
        <w:bidi w:val="0"/>
        <w:spacing w:before="0" w:after="0"/>
        <w:jc w:val="center"/>
        <w:rPr>
          <w:rFonts w:ascii="Times New Roman" w:hAnsi="Times New Roman"/>
          <w:b/>
          <w:sz w:val="18"/>
        </w:rPr>
      </w:pPr>
      <w:r>
        <w:rPr>
          <w:rFonts w:ascii="Times New Roman" w:hAnsi="Times New Roman"/>
          <w:b/>
          <w:sz w:val="18"/>
        </w:rPr>
        <w:t xml:space="preserve">Covington, Louisiana 70433 </w:t>
      </w:r>
    </w:p>
    <w:p>
      <w:pPr>
        <w:pStyle w:val="TextBody"/>
        <w:bidi w:val="0"/>
        <w:spacing w:before="0" w:after="0"/>
        <w:jc w:val="center"/>
        <w:rPr>
          <w:rFonts w:ascii="Times New Roman" w:hAnsi="Times New Roman"/>
          <w:b/>
          <w:sz w:val="18"/>
        </w:rPr>
      </w:pPr>
      <w:r>
        <w:rPr>
          <w:rFonts w:ascii="Times New Roman" w:hAnsi="Times New Roman"/>
          <w:b/>
          <w:sz w:val="18"/>
        </w:rPr>
        <w:t xml:space="preserve">(985) 727-2000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0" w:after="0"/>
        <w:jc w:val="center"/>
        <w:rPr>
          <w:rFonts w:ascii="Times New Roman" w:hAnsi="Times New Roman"/>
          <w:b/>
          <w:sz w:val="18"/>
        </w:rPr>
      </w:pPr>
      <w:r>
        <w:rPr>
          <w:rFonts w:ascii="Times New Roman" w:hAnsi="Times New Roman"/>
          <w:b/>
          <w:sz w:val="18"/>
        </w:rPr>
        <w:t xml:space="preserve">Matthew R. Pacey, P.C. </w:t>
      </w:r>
    </w:p>
    <w:p>
      <w:pPr>
        <w:pStyle w:val="TextBody"/>
        <w:bidi w:val="0"/>
        <w:spacing w:before="0" w:after="0"/>
        <w:jc w:val="center"/>
        <w:rPr>
          <w:rFonts w:ascii="Times New Roman" w:hAnsi="Times New Roman"/>
          <w:b/>
          <w:sz w:val="18"/>
        </w:rPr>
      </w:pPr>
      <w:r>
        <w:rPr>
          <w:rFonts w:ascii="Times New Roman" w:hAnsi="Times New Roman"/>
          <w:b/>
          <w:sz w:val="18"/>
        </w:rPr>
        <w:t xml:space="preserve">Ieuan A. List </w:t>
      </w:r>
    </w:p>
    <w:p>
      <w:pPr>
        <w:pStyle w:val="TextBody"/>
        <w:bidi w:val="0"/>
        <w:spacing w:before="0" w:after="0"/>
        <w:jc w:val="center"/>
        <w:rPr>
          <w:rFonts w:ascii="Times New Roman" w:hAnsi="Times New Roman"/>
          <w:b/>
          <w:sz w:val="18"/>
        </w:rPr>
      </w:pPr>
      <w:r>
        <w:rPr>
          <w:rFonts w:ascii="Times New Roman" w:hAnsi="Times New Roman"/>
          <w:b/>
          <w:sz w:val="18"/>
        </w:rPr>
        <w:t xml:space="preserve">Erin E. Meziere </w:t>
      </w:r>
    </w:p>
    <w:p>
      <w:pPr>
        <w:pStyle w:val="TextBody"/>
        <w:bidi w:val="0"/>
        <w:spacing w:before="0" w:after="0"/>
        <w:jc w:val="center"/>
        <w:rPr>
          <w:rFonts w:ascii="Times New Roman" w:hAnsi="Times New Roman"/>
          <w:b/>
          <w:sz w:val="18"/>
        </w:rPr>
      </w:pPr>
      <w:r>
        <w:rPr>
          <w:rFonts w:ascii="Times New Roman" w:hAnsi="Times New Roman"/>
          <w:b/>
          <w:sz w:val="18"/>
        </w:rPr>
        <w:t xml:space="preserve">Kirkland &amp; Ellis LLP </w:t>
      </w:r>
    </w:p>
    <w:p>
      <w:pPr>
        <w:pStyle w:val="TextBody"/>
        <w:bidi w:val="0"/>
        <w:spacing w:before="0" w:after="0"/>
        <w:jc w:val="center"/>
        <w:rPr>
          <w:rFonts w:ascii="Times New Roman" w:hAnsi="Times New Roman"/>
          <w:b/>
          <w:sz w:val="18"/>
        </w:rPr>
      </w:pPr>
      <w:r>
        <w:rPr>
          <w:rFonts w:ascii="Times New Roman" w:hAnsi="Times New Roman"/>
          <w:b/>
          <w:sz w:val="18"/>
        </w:rPr>
        <w:t xml:space="preserve">609 Main Street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Texas 77002 </w:t>
      </w:r>
    </w:p>
    <w:p>
      <w:pPr>
        <w:pStyle w:val="TextBody"/>
        <w:bidi w:val="0"/>
        <w:spacing w:before="0" w:after="0"/>
        <w:jc w:val="center"/>
        <w:rPr>
          <w:rFonts w:ascii="Times New Roman" w:hAnsi="Times New Roman"/>
          <w:b/>
          <w:sz w:val="18"/>
        </w:rPr>
      </w:pPr>
      <w:r>
        <w:rPr>
          <w:rFonts w:ascii="Times New Roman" w:hAnsi="Times New Roman"/>
          <w:b/>
          <w:sz w:val="18"/>
        </w:rPr>
        <w:t>(713) 836-3600</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80" w:after="0"/>
        <w:jc w:val="left"/>
        <w:rPr>
          <w:rFonts w:ascii="Times New Roman" w:hAnsi="Times New Roman"/>
          <w:sz w:val="18"/>
        </w:rPr>
      </w:pPr>
      <w:r>
        <w:rPr>
          <w:rFonts w:ascii="Times New Roman" w:hAnsi="Times New Roman"/>
          <w:b/>
          <w:sz w:val="18"/>
        </w:rPr>
        <w:t xml:space="preserve">Approximate date of commencement of proposed sale to the public: </w:t>
      </w:r>
      <w:r>
        <w:rPr>
          <w:rFonts w:ascii="Times New Roman" w:hAnsi="Times New Roman"/>
          <w:sz w:val="18"/>
        </w:rPr>
        <w:t xml:space="preserve">From time to time after the effective date of this registration statement. </w:t>
      </w:r>
    </w:p>
    <w:p>
      <w:pPr>
        <w:pStyle w:val="TextBody"/>
        <w:bidi w:val="0"/>
        <w:spacing w:before="8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8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37"/>
        <w:gridCol w:w="103"/>
        <w:gridCol w:w="4849"/>
        <w:gridCol w:w="123"/>
        <w:gridCol w:w="2640"/>
        <w:gridCol w:w="103"/>
        <w:gridCol w:w="250"/>
      </w:tblGrid>
      <w:tr>
        <w:trPr/>
        <w:tc>
          <w:tcPr>
            <w:tcW w:w="2137"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4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640"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6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pPr>
            <w:r>
              <w:rPr/>
              <w:t>☐</w:t>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r>
        <w:trPr>
          <w:trHeight w:val="60" w:hRule="atLeast"/>
        </w:trPr>
        <w:tc>
          <w:tcPr>
            <w:tcW w:w="2137" w:type="dxa"/>
            <w:tcBorders/>
            <w:vAlign w:val="center"/>
          </w:tcPr>
          <w:p>
            <w:pPr>
              <w:pStyle w:val="TableContents"/>
              <w:bidi w:val="0"/>
              <w:spacing w:before="0" w:after="283"/>
              <w:jc w:val="left"/>
              <w:rPr>
                <w:sz w:val="4"/>
                <w:szCs w:val="4"/>
              </w:rPr>
            </w:pPr>
            <w:r>
              <w:rPr>
                <w:sz w:val="4"/>
                <w:szCs w:val="4"/>
              </w:rPr>
            </w:r>
          </w:p>
        </w:tc>
        <w:tc>
          <w:tcPr>
            <w:tcW w:w="4952" w:type="dxa"/>
            <w:gridSpan w:val="2"/>
            <w:tcBorders/>
            <w:vAlign w:val="center"/>
          </w:tcPr>
          <w:p>
            <w:pPr>
              <w:pStyle w:val="TableContents"/>
              <w:bidi w:val="0"/>
              <w:spacing w:before="0" w:after="283"/>
              <w:jc w:val="left"/>
              <w:rPr>
                <w:sz w:val="4"/>
                <w:szCs w:val="4"/>
              </w:rPr>
            </w:pPr>
            <w:r>
              <w:rPr>
                <w:sz w:val="4"/>
                <w:szCs w:val="4"/>
              </w:rPr>
            </w:r>
          </w:p>
        </w:tc>
        <w:tc>
          <w:tcPr>
            <w:tcW w:w="2763" w:type="dxa"/>
            <w:gridSpan w:val="2"/>
            <w:tcBorders/>
            <w:vAlign w:val="center"/>
          </w:tcPr>
          <w:p>
            <w:pPr>
              <w:pStyle w:val="TableContents"/>
              <w:bidi w:val="0"/>
              <w:spacing w:before="0" w:after="283"/>
              <w:jc w:val="left"/>
              <w:rPr>
                <w:sz w:val="4"/>
                <w:szCs w:val="4"/>
              </w:rPr>
            </w:pPr>
            <w:r>
              <w:rPr>
                <w:sz w:val="4"/>
                <w:szCs w:val="4"/>
              </w:rPr>
            </w:r>
          </w:p>
        </w:tc>
        <w:tc>
          <w:tcPr>
            <w:tcW w:w="353" w:type="dxa"/>
            <w:gridSpan w:val="2"/>
            <w:tcBorders/>
            <w:vAlign w:val="center"/>
          </w:tcPr>
          <w:p>
            <w:pPr>
              <w:pStyle w:val="TableContents"/>
              <w:bidi w:val="0"/>
              <w:spacing w:before="0" w:after="283"/>
              <w:jc w:val="left"/>
              <w:rPr>
                <w:sz w:val="4"/>
                <w:szCs w:val="4"/>
              </w:rPr>
            </w:pPr>
            <w:r>
              <w:rPr>
                <w:sz w:val="4"/>
                <w:szCs w:val="4"/>
              </w:rPr>
            </w:r>
          </w:p>
        </w:tc>
      </w:tr>
      <w:tr>
        <w:trPr/>
        <w:tc>
          <w:tcPr>
            <w:tcW w:w="2137"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49"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2640"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r>
    </w:tbl>
    <w:p>
      <w:pPr>
        <w:pStyle w:val="TextBody"/>
        <w:bidi w:val="0"/>
        <w:spacing w:before="8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1236980" cy="123698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6980" cy="123698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48"/>
        </w:rPr>
      </w:pPr>
      <w:r>
        <w:rPr>
          <w:rFonts w:ascii="Times New Roman" w:hAnsi="Times New Roman"/>
          <w:b/>
          <w:sz w:val="48"/>
        </w:rPr>
        <w:t xml:space="preserve">HORNBECK OFFSHORE SERVICES, INC.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240" w:after="0"/>
        <w:jc w:val="center"/>
        <w:rPr>
          <w:rFonts w:ascii="Times New Roman" w:hAnsi="Times New Roman"/>
          <w:b/>
          <w:sz w:val="28"/>
        </w:rPr>
      </w:pPr>
      <w:r>
        <w:rPr>
          <w:rFonts w:ascii="Times New Roman" w:hAnsi="Times New Roman"/>
          <w:b/>
          <w:sz w:val="28"/>
        </w:rPr>
        <w:t xml:space="preserve">Up to 154,998,859 Shares of Common Stock Offered by the Selling Stockholders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Common Stock, Preferred Stock, Warrants and Units (each as defined herein) that we may offer and sell at prices and on terms to be set forth in one or more supplements to this prospectus. We may offer and sell the securities listed above from time to time in one or more classes or series and in amounts, at prices and on terms that we will determine at the time of the offering. Each time we sell securities, we will provide a prospectus supplement that will contain specific information about the terms of that offering. Additionally, this prospectus provides you with a general description of the Common Stock that the selling stockholders identified in the “Selling Stockholders” section of this prospectus (the “selling stockholders”) may offer and sell. Each time a selling stockholder sells any Common Stock offered by this prospectus, the selling stockholder is required to provide this prospectus and any related prospectus supplement containing specific information about the selling stockholder and the terms of the Common Stock being offered in the manner required by the Securities Act of 1933, as amended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may offer and sell the securities described in this prospectus and any prospectus supplement to or through one or more underwriters, dealers and agents, or directly to purchasers or through a combination of these methods or any other method permitted by law.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by us without delivery of this prospectus and any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up to 154,998,859 shares of our common stock, par value $0.00001 per share (“Common Stock”), from time to time, in amounts, at prices and on terms that will be determined at the time of the applicable offering. As of September 14, 2026, such shares of Common Stock that may be offered and sold by the selling stockholders consist of (i) 55,487,170 outstanding shares of Common Stock and (ii) 99,511,689 shares of Common Stock issuable upon the exercise of an aggregate of 9,687,977 outstanding warrants (“Jones Act Warrants”) pursuant to that certain Amended and Restated Jones Act Warrant Agreement, dated as of September 1, 2026 (“Jones Act Warrant Agreement”), by and among Hornbeck Offshore Services, Inc.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(f/k/a Helix Energy Solutions Group, Inc.), Hercules Sub LLC (as successor by merger to Legacy Hornbeck (as defined herein)), and Equiniti Trust Company, LLC, at an exercise price of $0.00001 per share. The Jones Act Warrants do not have voting rights and were originally issued in lieu of common stock to certain non-U.S. citizens, as defined in the Jones Act (as defined herein), by Legacy Hornbeck in order to comply with applicable limitations on foreign ownership under the Jones Act. The Jones Act Warrants were assumed by us, and the outstanding shares of Common Stock covered by this prospectus were received by the selling stockholders in exchange for their shares of common stock of Legacy Hornbeck, in each case on September 1, 2026 in connection with consummation of the Mergers (as defined herein).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such shares to or through one or more underwriters, dealers and agents, or directly to purchasers, or through a combination of these methods or any other method permitted by law. See “Plan of Distribution” for more information about how the selling stockholders may sell or otherwise dispose of such shares. Our registration of these shares does not mean that the selling stockholders will offer or sell any shares of our Common Stock. We will not receive any proceeds from the sale or other disposition of Common Stock by the selling stockholders, but we will incur expenses in connection with any offering. </w:t>
      </w:r>
    </w:p>
    <w:p>
      <w:pPr>
        <w:pStyle w:val="TextBody"/>
        <w:bidi w:val="0"/>
        <w:spacing w:before="240" w:after="0"/>
        <w:jc w:val="left"/>
        <w:rPr>
          <w:rFonts w:ascii="Times New Roman" w:hAnsi="Times New Roman"/>
          <w:sz w:val="20"/>
        </w:rPr>
      </w:pPr>
      <w:r>
        <w:rPr>
          <w:rFonts w:ascii="Times New Roman" w:hAnsi="Times New Roman"/>
          <w:sz w:val="20"/>
        </w:rPr>
        <w:t xml:space="preserve">We are registering the offer and sale of the shares of Common Stock by the selling stockholders to satisfy registration rights we have granted to the selling stockholders pursuant to a registration rights agreement, dated as of April 22, 2026 (the “Registration Rights Agreement”), entered into in connection with the Mergers. We have agreed to bear all of the expenses incurred in connection with the registration of such shares of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describes some of the general terms that may apply to these securities and the general manner in which they may be offered. We may provide more specific terms of the securities to be sold and the methods by which we or the selling stockholders will sell them in one or more supplements to this prospectus. A prospectus supplement may also add, update or change information contained in this prospectus. You should carefully read this prospectus and any applicable prospectus supplement together with the additional information described under the heading “Where You Can Find More Information” carefully before you invest in any of our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Jones Act, which applies to companies that engage in U.S. coastwise trade, requires that, among other things, the aggregate ownership of Common Stock by non-U.S. citizens be not more than 25% of the Company’s outstanding Common Stock. Failure to comply with the Jones Act could cause us to lose the privilege of owning and operating vessels in the U.S. coastwise trade. </w:t>
      </w:r>
      <w:r>
        <w:rPr>
          <w:rFonts w:ascii="Times New Roman" w:hAnsi="Times New Roman"/>
          <w:b/>
          <w:sz w:val="20"/>
        </w:rPr>
        <w:t>Accordingly, our Common Stock is subject to limitations on foreign ownership and possible required divestiture by non-U.S. citizen stockholders. See “Description of Capital Stock—Limitations on Ownership by Non-U.S. Citizens.”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The New York Stock Exchange (“NYSE”) under the symbol “HOS.” Each prospectus supplement, if any, will contain information, where applicable, as to any other listing on the NYSE or any securities market or other exchange of the securities, if any, covered by the applicable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risks. You should carefully review the risks and uncertainties described under the heading “</w:t>
      </w:r>
      <w:hyperlink w:anchor="tx810125_4">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contained on page 1 of this prospectus, as well as any risk factors contained in any applicable prospectus supplement hereto and the documents incorporated by reference herein and therein.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September 15,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83"/>
        <w:gridCol w:w="339"/>
        <w:gridCol w:w="96"/>
        <w:gridCol w:w="425"/>
        <w:gridCol w:w="62"/>
      </w:tblGrid>
      <w:tr>
        <w:trPr/>
        <w:tc>
          <w:tcPr>
            <w:tcW w:w="9283"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28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521" w:type="dxa"/>
            <w:gridSpan w:val="2"/>
            <w:tcBorders/>
            <w:vAlign w:val="bottom"/>
          </w:tcPr>
          <w:p>
            <w:pPr>
              <w:pStyle w:val="TableContents"/>
              <w:bidi w:val="0"/>
              <w:spacing w:before="0" w:after="283"/>
              <w:jc w:val="center"/>
              <w:rPr>
                <w:b/>
              </w:rPr>
            </w:pPr>
            <w:r>
              <w:rPr>
                <w:b/>
              </w:rPr>
              <w:t>Page</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1">
              <w:r>
                <w:rPr>
                  <w:rStyle w:val="InternetLink"/>
                  <w:rFonts w:ascii="Times New Roman" w:hAnsi="Times New Roman"/>
                  <w:b/>
                  <w:sz w:val="20"/>
                </w:rPr>
                <w:t>ABOUT THIS PROSPECTUS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ii</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2">
              <w:r>
                <w:rPr>
                  <w:rStyle w:val="InternetLink"/>
                  <w:rFonts w:ascii="Times New Roman" w:hAnsi="Times New Roman"/>
                  <w:b/>
                  <w:sz w:val="20"/>
                </w:rPr>
                <w:t>WHERE YOU CAN FIND MORE INFORMATION</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iii</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3">
              <w:r>
                <w:rPr>
                  <w:rStyle w:val="InternetLink"/>
                  <w:rFonts w:ascii="Times New Roman" w:hAnsi="Times New Roman"/>
                  <w:b/>
                  <w:sz w:val="20"/>
                </w:rPr>
                <w:t>CAUTIONARY NOTE REGARDING FORWARD-LOOKING STATEMENTS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v</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4">
              <w:r>
                <w:rPr>
                  <w:rStyle w:val="InternetLink"/>
                  <w:rFonts w:ascii="Times New Roman" w:hAnsi="Times New Roman"/>
                  <w:b/>
                  <w:sz w:val="20"/>
                </w:rPr>
                <w:t>RISK FACTORS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1</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5">
              <w:r>
                <w:rPr>
                  <w:rStyle w:val="InternetLink"/>
                  <w:rFonts w:ascii="Times New Roman" w:hAnsi="Times New Roman"/>
                  <w:b/>
                  <w:sz w:val="20"/>
                </w:rPr>
                <w:t>OUR COMPANY</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2</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6">
              <w:r>
                <w:rPr>
                  <w:rStyle w:val="InternetLink"/>
                  <w:rFonts w:ascii="Times New Roman" w:hAnsi="Times New Roman"/>
                  <w:b/>
                  <w:sz w:val="20"/>
                </w:rPr>
                <w:t>USE OF PROCEEDS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3</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7">
              <w:r>
                <w:rPr>
                  <w:rStyle w:val="InternetLink"/>
                  <w:rFonts w:ascii="Times New Roman" w:hAnsi="Times New Roman"/>
                  <w:b/>
                  <w:sz w:val="20"/>
                </w:rPr>
                <w:t>SELLING STOCKHOLDERS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4</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8">
              <w:r>
                <w:rPr>
                  <w:rStyle w:val="InternetLink"/>
                  <w:rFonts w:ascii="Times New Roman" w:hAnsi="Times New Roman"/>
                  <w:b/>
                  <w:sz w:val="20"/>
                </w:rPr>
                <w:t>PLAN OF DISTRIBUTION</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9</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9">
              <w:r>
                <w:rPr>
                  <w:rStyle w:val="InternetLink"/>
                  <w:rFonts w:ascii="Times New Roman" w:hAnsi="Times New Roman"/>
                  <w:b/>
                  <w:sz w:val="20"/>
                </w:rPr>
                <w:t>DESCRIPTION OF CAPITAL STOCK</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14</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10">
              <w:r>
                <w:rPr>
                  <w:rStyle w:val="InternetLink"/>
                  <w:rFonts w:ascii="Times New Roman" w:hAnsi="Times New Roman"/>
                  <w:b/>
                  <w:sz w:val="20"/>
                </w:rPr>
                <w:t>DESCRIPTION OF WARRANTS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19</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11">
              <w:r>
                <w:rPr>
                  <w:rStyle w:val="InternetLink"/>
                  <w:rFonts w:ascii="Times New Roman" w:hAnsi="Times New Roman"/>
                  <w:b/>
                  <w:sz w:val="20"/>
                </w:rPr>
                <w:t>DESCRIPTION OF UNITS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20</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12">
              <w:r>
                <w:rPr>
                  <w:rStyle w:val="InternetLink"/>
                  <w:rFonts w:ascii="Times New Roman" w:hAnsi="Times New Roman"/>
                  <w:b/>
                  <w:sz w:val="20"/>
                </w:rPr>
                <w:t>LEGAL MATTERS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21</w:t>
            </w:r>
          </w:p>
        </w:tc>
        <w:tc>
          <w:tcPr>
            <w:tcW w:w="62" w:type="dxa"/>
            <w:tcBorders/>
            <w:vAlign w:val="bottom"/>
          </w:tcPr>
          <w:p>
            <w:pPr>
              <w:pStyle w:val="TableContents"/>
              <w:bidi w:val="0"/>
              <w:spacing w:before="0" w:after="283"/>
              <w:jc w:val="left"/>
              <w:rPr/>
            </w:pPr>
            <w:r>
              <w:rPr/>
              <w:t> </w:t>
            </w:r>
          </w:p>
        </w:tc>
      </w:tr>
      <w:tr>
        <w:trPr>
          <w:trHeight w:val="120" w:hRule="atLeast"/>
        </w:trPr>
        <w:tc>
          <w:tcPr>
            <w:tcW w:w="9283" w:type="dxa"/>
            <w:tcBorders/>
            <w:vAlign w:val="center"/>
          </w:tcPr>
          <w:p>
            <w:pPr>
              <w:pStyle w:val="TableContents"/>
              <w:bidi w:val="0"/>
              <w:spacing w:before="0" w:after="283"/>
              <w:jc w:val="left"/>
              <w:rPr>
                <w:sz w:val="4"/>
                <w:szCs w:val="4"/>
              </w:rPr>
            </w:pPr>
            <w:r>
              <w:rPr>
                <w:sz w:val="4"/>
                <w:szCs w:val="4"/>
              </w:rPr>
            </w:r>
          </w:p>
        </w:tc>
        <w:tc>
          <w:tcPr>
            <w:tcW w:w="922" w:type="dxa"/>
            <w:gridSpan w:val="4"/>
            <w:tcBorders/>
            <w:vAlign w:val="center"/>
          </w:tcPr>
          <w:p>
            <w:pPr>
              <w:pStyle w:val="TableContents"/>
              <w:bidi w:val="0"/>
              <w:spacing w:before="0" w:after="283"/>
              <w:jc w:val="left"/>
              <w:rPr>
                <w:sz w:val="4"/>
                <w:szCs w:val="4"/>
              </w:rPr>
            </w:pPr>
            <w:r>
              <w:rPr>
                <w:sz w:val="4"/>
                <w:szCs w:val="4"/>
              </w:rPr>
            </w:r>
          </w:p>
        </w:tc>
      </w:tr>
      <w:tr>
        <w:trPr/>
        <w:tc>
          <w:tcPr>
            <w:tcW w:w="9283" w:type="dxa"/>
            <w:tcBorders/>
          </w:tcPr>
          <w:p>
            <w:pPr>
              <w:pStyle w:val="TableContents"/>
              <w:bidi w:val="0"/>
              <w:spacing w:before="0" w:after="0"/>
              <w:jc w:val="left"/>
              <w:rPr/>
            </w:pPr>
            <w:hyperlink w:anchor="tx810125_13">
              <w:r>
                <w:rPr>
                  <w:rStyle w:val="InternetLink"/>
                  <w:rFonts w:ascii="Times New Roman" w:hAnsi="Times New Roman"/>
                  <w:b/>
                  <w:sz w:val="20"/>
                </w:rPr>
                <w:t>EXPERTS</w:t>
              </w:r>
            </w:hyperlink>
          </w:p>
        </w:tc>
        <w:tc>
          <w:tcPr>
            <w:tcW w:w="339"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right"/>
              <w:rPr>
                <w:b/>
              </w:rPr>
            </w:pPr>
            <w:r>
              <w:rPr>
                <w:b/>
              </w:rPr>
              <w:t>21</w:t>
            </w:r>
          </w:p>
        </w:tc>
        <w:tc>
          <w:tcPr>
            <w:tcW w:w="62"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distribution of this prospectus and any applicable prospectus supplement and the offering of these securities in certain jurisdictions may be restricted by law. Persons into whose possession this prospectus and any applicable prospectus supplement come should inform themselves about and observe any such restrictions. This prospectus and any applicable prospectus supplement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We are not, and the selling stockholders are not, making an offer to sell these securities in any jurisdiction where an offer or sale is not permitted.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810125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utilizing a “shelf” registration process. Under this shelf registration process, we may offer and sell from time to time, together or separately, in one or more offerings, any combination of the securities described in this prospectus, and the selling stockholders named herein may offer and sell from time to time, in one or more offerings, shares of Common Stock as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we or the selling stockholders may offer and sell. Each time we sell securities, we will provide a prospectus supplement that will contain specific information about the terms of those securities and that offering. Each time a selling stockholder sells any Common Stock offered by this prospectus, the selling stockholder is required to provide this prospectus and any related prospectus supplement containing specific information about the selling stockholder and the terms of the Common Stock being offered in the manner required by the Securities Act. Any prospectus supplement may also add, update or change information contained in this prospectus. You should carefully read this prospectus and any applicable prospectus supplement as well as additional information incorporated by reference herein and described under the heading “Where You Can Find More Information” before you invest in our securities. We may also prepare free writing prospectuses that describe particular securities. Any free writing prospectus should also be read in connection with this prospectus and with any prospectus supplement referred to therein. For purposes of this prospectus, any reference to an applicable prospectus supplement may also refer to a free writing prospectus, unless the context otherwise requires. If there is any inconsistency between the information in this prospectus and any prospectus supplement, you should rely on the information in the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registration statement that contains this prospectus, including the exhibits to the registration statement, contains additional information about us and the securities offered under this prospectus. That registration statement can be read at the SEC website mentioned under the headings “Where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contained or incorporated by reference in this prospectus and any prospectus supplement. We have not, and the selling stockholders have not, authorized anyone to provide you with different information. Neither we nor the selling stockholders take any responsibility for, or provide any assurance as to the reliability of, any other information that others may give you. You should not assume that the information included in this prospectus, any applicable prospectus supplement, or the documents incorporated by reference herein or therein, are accurate as of any date other than their respective dates. Our business, financial condition, results of operations and prospects may have changed since those dates.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carefully the entire prospectus and any applicable prospectus supplement, as well as the documents incorporated by reference in this prospectus, before making an investment decision. </w:t>
      </w:r>
    </w:p>
    <w:p>
      <w:pPr>
        <w:pStyle w:val="TextBody"/>
        <w:bidi w:val="0"/>
        <w:spacing w:before="240" w:after="0"/>
        <w:jc w:val="left"/>
        <w:rPr>
          <w:rFonts w:ascii="Times New Roman" w:hAnsi="Times New Roman"/>
          <w:sz w:val="20"/>
        </w:rPr>
      </w:pPr>
      <w:r>
        <w:rPr>
          <w:rFonts w:ascii="Times New Roman" w:hAnsi="Times New Roman"/>
          <w:sz w:val="20"/>
        </w:rPr>
        <w:t xml:space="preserve">Because we are a well-known seasoned issuer, as defined in Rule 405 under the Securities Act, we may add to and offer additional securities, including secondary securities, by filing a prospectus supplement or term sheet with the SEC at the time of the offer. </w:t>
      </w:r>
    </w:p>
    <w:p>
      <w:pPr>
        <w:pStyle w:val="TextBody"/>
        <w:bidi w:val="0"/>
        <w:spacing w:before="240" w:after="0"/>
        <w:jc w:val="left"/>
        <w:rPr>
          <w:rFonts w:ascii="Times New Roman" w:hAnsi="Times New Roman"/>
          <w:sz w:val="20"/>
        </w:rPr>
      </w:pPr>
      <w:r>
        <w:rPr>
          <w:rFonts w:ascii="Times New Roman" w:hAnsi="Times New Roman"/>
          <w:sz w:val="20"/>
        </w:rPr>
        <w:t xml:space="preserve">When used in this prospectus, except where the context otherwise requires, references to “Hornbeck,” “we,” “us,” “our” and the “Company” refer to Hornbeck Offshore Services,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810125_2"/>
      <w:bookmarkEnd w:id="4"/>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subject to the information and periodic reporting requirements of the Securities Exchange Act of 1934, as amended (the “Exchange Act”), and, in accordance therewith, file periodic reports, proxy statements and other information with the SEC. Such periodic reports, proxy statements and other information are available at the website of the SEC at http://www.sec.gov. We also furnish our stockholders with annual reports containing our financial statements audited by an independent registered public accounting firm and quarterly reports containing our unaudited financial information. We maintain a website at www.hornbeckoffshore.com. You may access our Annual Report on Form 10-K, Quarterly Reports on Form 10-Q, Current Reports on Form 8-K and amendments to those reports, filed or furnished pursuant to Section 13(a) or 15(d) of the Exchange Act with the SEC free of charge at our website as soon as reasonably practicable after this material is electronically filed with, or furnished to, the SEC. We may use the “Investors” section of our website to communicate with investors. It is possible that the financial and other information posted there could be deemed to be material information. Information contained on, or that is or becomes accessible through, our website does not constitute a part of this prospectus. The reference to our website or web address does not constitute incorporation by reference of the information contained at that site.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any future filings made with the SEC under Sections 13(a), 13(c), 14 or 15(d) of the Exchange Act on or after the date of the prospectus until we have terminated the offerings of all of the securities to which this prospectus relates (in each case, other than any portions of any such documents that are not deemed “filed” under the Exchange Act in accordance with the Exchange Act and applicable SEC rules):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February 26,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information specifically incorporated by reference into our Annual Report on </w:t>
            </w:r>
            <w:hyperlink r:id="rId4">
              <w:r>
                <w:rPr>
                  <w:rStyle w:val="InternetLink"/>
                  <w:rFonts w:ascii="Times New Roman" w:hAnsi="Times New Roman"/>
                  <w:sz w:val="20"/>
                </w:rPr>
                <w:t>Form 10-K</w:t>
              </w:r>
            </w:hyperlink>
            <w:r>
              <w:rPr>
                <w:rFonts w:ascii="Times New Roman" w:hAnsi="Times New Roman"/>
                <w:sz w:val="20"/>
              </w:rPr>
              <w:t xml:space="preserve"> for the fiscal year ended December 31, 2025 from 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filed with the SEC on April 1,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capital stock contained in </w:t>
            </w:r>
            <w:hyperlink r:id="rId6">
              <w:r>
                <w:rPr>
                  <w:rStyle w:val="InternetLink"/>
                  <w:rFonts w:ascii="Times New Roman" w:hAnsi="Times New Roman"/>
                  <w:sz w:val="20"/>
                </w:rPr>
                <w:t>Amendment No. 2 to our Registration Statement on Form 8-A</w:t>
              </w:r>
            </w:hyperlink>
            <w:r>
              <w:rPr>
                <w:rFonts w:ascii="Times New Roman" w:hAnsi="Times New Roman"/>
                <w:sz w:val="20"/>
              </w:rPr>
              <w:t xml:space="preserve">, filed with the SEC on September 1, 2026, including any amendments or reports filed for the purpose of updating the description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7">
              <w:r>
                <w:rPr>
                  <w:rStyle w:val="InternetLink"/>
                  <w:rFonts w:ascii="Times New Roman" w:hAnsi="Times New Roman"/>
                  <w:sz w:val="20"/>
                </w:rPr>
                <w:t>April  24, 2026</w:t>
              </w:r>
            </w:hyperlink>
            <w:r>
              <w:rPr>
                <w:rFonts w:ascii="Times New Roman" w:hAnsi="Times New Roman"/>
                <w:sz w:val="20"/>
              </w:rPr>
              <w:t xml:space="preserve"> and </w:t>
            </w:r>
            <w:hyperlink r:id="rId8">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9">
              <w:r>
                <w:rPr>
                  <w:rStyle w:val="InternetLink"/>
                  <w:rFonts w:ascii="Times New Roman" w:hAnsi="Times New Roman"/>
                  <w:sz w:val="20"/>
                </w:rPr>
                <w:t>February 13, 2026</w:t>
              </w:r>
            </w:hyperlink>
            <w:r>
              <w:rPr>
                <w:rFonts w:ascii="Times New Roman" w:hAnsi="Times New Roman"/>
                <w:sz w:val="20"/>
              </w:rPr>
              <w:t xml:space="preserve">, </w:t>
            </w:r>
            <w:hyperlink r:id="rId10">
              <w:r>
                <w:rPr>
                  <w:rStyle w:val="InternetLink"/>
                  <w:rFonts w:ascii="Times New Roman" w:hAnsi="Times New Roman"/>
                  <w:sz w:val="20"/>
                </w:rPr>
                <w:t>April 24, 2026</w:t>
              </w:r>
            </w:hyperlink>
            <w:r>
              <w:rPr>
                <w:rFonts w:ascii="Times New Roman" w:hAnsi="Times New Roman"/>
                <w:sz w:val="20"/>
              </w:rPr>
              <w:t xml:space="preserve">, </w:t>
            </w:r>
            <w:hyperlink r:id="rId11">
              <w:r>
                <w:rPr>
                  <w:rStyle w:val="InternetLink"/>
                  <w:rFonts w:ascii="Times New Roman" w:hAnsi="Times New Roman"/>
                  <w:sz w:val="20"/>
                </w:rPr>
                <w:t>May  5, 2026</w:t>
              </w:r>
            </w:hyperlink>
            <w:r>
              <w:rPr>
                <w:rFonts w:ascii="Times New Roman" w:hAnsi="Times New Roman"/>
                <w:sz w:val="20"/>
              </w:rPr>
              <w:t xml:space="preserve">, </w:t>
            </w:r>
            <w:hyperlink r:id="rId12">
              <w:r>
                <w:rPr>
                  <w:rStyle w:val="InternetLink"/>
                  <w:rFonts w:ascii="Times New Roman" w:hAnsi="Times New Roman"/>
                  <w:sz w:val="20"/>
                </w:rPr>
                <w:t>May  13, 2026</w:t>
              </w:r>
            </w:hyperlink>
            <w:r>
              <w:rPr>
                <w:rFonts w:ascii="Times New Roman" w:hAnsi="Times New Roman"/>
                <w:sz w:val="20"/>
              </w:rPr>
              <w:t xml:space="preserve">, </w:t>
            </w:r>
            <w:hyperlink r:id="rId13">
              <w:r>
                <w:rPr>
                  <w:rStyle w:val="InternetLink"/>
                  <w:rFonts w:ascii="Times New Roman" w:hAnsi="Times New Roman"/>
                  <w:sz w:val="20"/>
                </w:rPr>
                <w:t>June 12, 2026</w:t>
              </w:r>
            </w:hyperlink>
            <w:r>
              <w:rPr>
                <w:rFonts w:ascii="Times New Roman" w:hAnsi="Times New Roman"/>
                <w:sz w:val="20"/>
              </w:rPr>
              <w:t xml:space="preserve">, </w:t>
            </w:r>
            <w:hyperlink r:id="rId14">
              <w:r>
                <w:rPr>
                  <w:rStyle w:val="InternetLink"/>
                  <w:rFonts w:ascii="Times New Roman" w:hAnsi="Times New Roman"/>
                  <w:sz w:val="20"/>
                </w:rPr>
                <w:t>August 11, 2026</w:t>
              </w:r>
            </w:hyperlink>
            <w:r>
              <w:rPr>
                <w:rFonts w:ascii="Times New Roman" w:hAnsi="Times New Roman"/>
                <w:sz w:val="20"/>
              </w:rPr>
              <w:t xml:space="preserve">, </w:t>
            </w:r>
            <w:hyperlink r:id="rId15">
              <w:r>
                <w:rPr>
                  <w:rStyle w:val="InternetLink"/>
                  <w:rFonts w:ascii="Times New Roman" w:hAnsi="Times New Roman"/>
                  <w:sz w:val="20"/>
                </w:rPr>
                <w:t>August  31, 2026</w:t>
              </w:r>
            </w:hyperlink>
            <w:r>
              <w:rPr>
                <w:rFonts w:ascii="Times New Roman" w:hAnsi="Times New Roman"/>
                <w:sz w:val="20"/>
              </w:rPr>
              <w:t xml:space="preserve">, </w:t>
            </w:r>
            <w:hyperlink r:id="rId16">
              <w:r>
                <w:rPr>
                  <w:rStyle w:val="InternetLink"/>
                  <w:rFonts w:ascii="Times New Roman" w:hAnsi="Times New Roman"/>
                  <w:sz w:val="20"/>
                </w:rPr>
                <w:t>September  1, 2026</w:t>
              </w:r>
            </w:hyperlink>
            <w:r>
              <w:rPr>
                <w:rFonts w:ascii="Times New Roman" w:hAnsi="Times New Roman"/>
                <w:sz w:val="20"/>
              </w:rPr>
              <w:t xml:space="preserve">, </w:t>
            </w:r>
            <w:hyperlink r:id="rId17">
              <w:r>
                <w:rPr>
                  <w:rStyle w:val="InternetLink"/>
                  <w:rFonts w:ascii="Times New Roman" w:hAnsi="Times New Roman"/>
                  <w:sz w:val="20"/>
                </w:rPr>
                <w:t>September  2, 2026</w:t>
              </w:r>
            </w:hyperlink>
            <w:r>
              <w:rPr>
                <w:rFonts w:ascii="Times New Roman" w:hAnsi="Times New Roman"/>
                <w:sz w:val="20"/>
              </w:rPr>
              <w:t xml:space="preserve">, and </w:t>
            </w:r>
            <w:hyperlink r:id="rId18">
              <w:r>
                <w:rPr>
                  <w:rStyle w:val="InternetLink"/>
                  <w:rFonts w:ascii="Times New Roman" w:hAnsi="Times New Roman"/>
                  <w:sz w:val="20"/>
                </w:rPr>
                <w:t>September 4, 2026</w:t>
              </w:r>
            </w:hyperlink>
            <w:r>
              <w:rPr>
                <w:rFonts w:ascii="Times New Roman" w:hAnsi="Times New Roman"/>
                <w:sz w:val="20"/>
              </w:rPr>
              <w:t xml:space="preserve"> and on Form 8-K/A filed with the SEC on </w:t>
            </w:r>
            <w:hyperlink r:id="rId19">
              <w:r>
                <w:rPr>
                  <w:rStyle w:val="InternetLink"/>
                  <w:rFonts w:ascii="Times New Roman" w:hAnsi="Times New Roman"/>
                  <w:sz w:val="20"/>
                </w:rPr>
                <w:t>September 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pPr>
            <w:r>
              <w:rPr>
                <w:rFonts w:ascii="Times New Roman" w:hAnsi="Times New Roman"/>
                <w:sz w:val="20"/>
              </w:rPr>
              <w:t xml:space="preserve">the following sections in our Registration Statement on Form S-4 (File No. 333-296508) filed with the SEC on </w:t>
            </w:r>
            <w:hyperlink r:id="rId20">
              <w:r>
                <w:rPr>
                  <w:rStyle w:val="InternetLink"/>
                  <w:rFonts w:ascii="Times New Roman" w:hAnsi="Times New Roman"/>
                  <w:sz w:val="20"/>
                </w:rPr>
                <w:t>June  4, 2026</w:t>
              </w:r>
            </w:hyperlink>
            <w:r>
              <w:rPr>
                <w:rFonts w:ascii="Times New Roman" w:hAnsi="Times New Roman"/>
                <w:sz w:val="20"/>
              </w:rPr>
              <w:t xml:space="preserve">, as amended on </w:t>
            </w:r>
            <w:hyperlink r:id="rId21">
              <w:r>
                <w:rPr>
                  <w:rStyle w:val="InternetLink"/>
                  <w:rFonts w:ascii="Times New Roman" w:hAnsi="Times New Roman"/>
                  <w:sz w:val="20"/>
                </w:rPr>
                <w:t>July  13, 2026</w:t>
              </w:r>
            </w:hyperlink>
            <w:r>
              <w:rPr>
                <w:rFonts w:ascii="Times New Roman" w:hAnsi="Times New Roman"/>
                <w:sz w:val="20"/>
              </w:rPr>
              <w:t xml:space="preserve"> and on </w:t>
            </w:r>
            <w:hyperlink r:id="rId22">
              <w:r>
                <w:rPr>
                  <w:rStyle w:val="InternetLink"/>
                  <w:rFonts w:ascii="Times New Roman" w:hAnsi="Times New Roman"/>
                  <w:sz w:val="20"/>
                </w:rPr>
                <w:t>July 30, 2026</w:t>
              </w:r>
            </w:hyperlink>
            <w:r>
              <w:rPr>
                <w:rFonts w:ascii="Times New Roman" w:hAnsi="Times New Roman"/>
                <w:sz w:val="20"/>
              </w:rPr>
              <w:t xml:space="preserve"> (the “Form S-4”): Risk Factors—Risks Relating to the Combined Company, Risk Factors—Other Risks Relating to Hornbeck, Risk Factors—Risks Relating to Legal, Regulatory, Accounting and Tax Matters, Risk Factors—Risks Relating to Hornbeck’s Indebtedness, Hornbeck’s Business, and Executive Compensation of the Combined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You may request a copy of these filings, at no cost, by writing or telephoning us at the following address: </w:t>
      </w:r>
    </w:p>
    <w:p>
      <w:pPr>
        <w:pStyle w:val="TextBody"/>
        <w:bidi w:val="0"/>
        <w:spacing w:before="120" w:after="0"/>
        <w:jc w:val="center"/>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center"/>
        <w:rPr>
          <w:rFonts w:ascii="Times New Roman" w:hAnsi="Times New Roman"/>
          <w:sz w:val="20"/>
        </w:rPr>
      </w:pPr>
      <w:r>
        <w:rPr>
          <w:rFonts w:ascii="Times New Roman" w:hAnsi="Times New Roman"/>
          <w:sz w:val="20"/>
        </w:rPr>
        <w:t xml:space="preserve">103 Northpark Boulevard, Suite 300 </w:t>
      </w:r>
    </w:p>
    <w:p>
      <w:pPr>
        <w:pStyle w:val="TextBody"/>
        <w:bidi w:val="0"/>
        <w:spacing w:before="0" w:after="0"/>
        <w:jc w:val="center"/>
        <w:rPr>
          <w:rFonts w:ascii="Times New Roman" w:hAnsi="Times New Roman"/>
          <w:sz w:val="20"/>
        </w:rPr>
      </w:pPr>
      <w:r>
        <w:rPr>
          <w:rFonts w:ascii="Times New Roman" w:hAnsi="Times New Roman"/>
          <w:sz w:val="20"/>
        </w:rPr>
        <w:t xml:space="preserve">Covington, Louisiana 70433 </w:t>
      </w:r>
    </w:p>
    <w:p>
      <w:pPr>
        <w:pStyle w:val="TextBody"/>
        <w:bidi w:val="0"/>
        <w:spacing w:before="0" w:after="0"/>
        <w:jc w:val="center"/>
        <w:rPr>
          <w:rFonts w:ascii="Times New Roman" w:hAnsi="Times New Roman"/>
          <w:sz w:val="20"/>
        </w:rPr>
      </w:pPr>
      <w:r>
        <w:rPr>
          <w:rFonts w:ascii="Times New Roman" w:hAnsi="Times New Roman"/>
          <w:sz w:val="20"/>
        </w:rPr>
        <w:t xml:space="preserve">(985) 727-2000 </w:t>
      </w:r>
    </w:p>
    <w:p>
      <w:pPr>
        <w:pStyle w:val="TextBody"/>
        <w:bidi w:val="0"/>
        <w:spacing w:before="0" w:after="0"/>
        <w:jc w:val="center"/>
        <w:rPr>
          <w:rFonts w:ascii="Times New Roman" w:hAnsi="Times New Roman"/>
          <w:sz w:val="20"/>
        </w:rPr>
      </w:pPr>
      <w:r>
        <w:rPr>
          <w:rFonts w:ascii="Times New Roman" w:hAnsi="Times New Roman"/>
          <w:sz w:val="20"/>
        </w:rPr>
        <w:t xml:space="preserve">Attention: Samuel A. Giberga, Executive Vice President, General Counsel and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You should rely only on the information incorporated by reference or provided in this prospectus or any accompanying prospectus supplement. Neither we nor the selling stockholders have authorized anyone else to provide you with different information.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assume that the information in this prospectus or any accompanying prospectus supplement is accurate as of any date other than the date on the front of those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x810125_3"/>
      <w:bookmarkEnd w:id="5"/>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accompanying prospectus supplement and the documents incorporated by reference herein or therein may contain “forward-looking statements” within the meaning of the safe harbor provisions of the U.S. Private Securities Litigation Reform Act of 1995.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Forward-looking statements can be identified by words such as: “anticipate,” “intend,” “plan,” “goal,” “seek,” “believe,” “project,” “estimate,” “expect,” “strategy,” “future,” “likely,” “may,” “should,” “will” and similar references to future periods. </w:t>
      </w:r>
    </w:p>
    <w:p>
      <w:pPr>
        <w:pStyle w:val="TextBody"/>
        <w:bidi w:val="0"/>
        <w:spacing w:before="240" w:after="0"/>
        <w:jc w:val="left"/>
        <w:rPr>
          <w:rFonts w:ascii="Times New Roman" w:hAnsi="Times New Roman"/>
          <w:sz w:val="20"/>
        </w:rPr>
      </w:pPr>
      <w:r>
        <w:rPr>
          <w:rFonts w:ascii="Times New Roman" w:hAnsi="Times New Roman"/>
          <w:sz w:val="20"/>
        </w:rPr>
        <w:t xml:space="preserve">Forward-looking statements involve known and unknown risks, uncertainties and other important factors, many of which are beyond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potential litigation relating to the Mergers, including the effects of any outcomes related thereto; the ability of the Company to retain and hire key personnel, to retain customers or maintain relationships with the Company’s or Legacy Hornbeck’s respective suppliers and customers; the diversion of management’s time and attention from ordinary course of business operations to the integration of the Company’s and Legacy Hornbeck’s businesses and the ability to achieve the anticipated synergies and value-creation contemplated by the Mergers; potential adverse reactions or changes to business relationships resulting from the completion of the Mergers; legislative, regulatory and economic developments; and potential business uncertainty, including changes to existing business relationships, following the completion of the Mergers that could affect the Company’s financial performance as well as unforeseen liabilities, future capital expenditures, revenues, expenses, earnings, losses, synergies, economic performance, indebtedness, financial condition, future prospects, business and management strategies, expansion and growth of the Company’s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governments, regulatory authorities, customers, suppliers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decisions and capital spending by customers in the energy industry and the industry expectations for offshore exploration, field development and production across our various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market conditions and competitive dynamics in the offshore energy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demand for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global financial market conditions and potential constraints in accessing capital or credit if and when needed with favorable terms, if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tariff regimes by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customer suspensions, cancellations, rate reductions or non-renewals of vessel charters or vessel management contracts, or failures to finalize commitments to charter or manage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performance of contracts by suppliers, customers and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operating hazards and delays, which includes delays in delivery, chartering or customer acceptance of assets or terms of their acceptance;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complexities of global political and economic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general economic conditions, including inflation, on economic activity and on the Company’s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geologic risks, and the general volatility of oil and natural gas prices and cyclicality of the oil and gas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repeal or administrative weakening of the Jones Act or adverse changes in the interpretation of the Jones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emergence of new cabotage restrictions that impact our ability to operate in other foreign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industry over-supply resulting from reactivating currently-stacked vessels or from constructing new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inability to accurately predict vessel utilization levels and dayrates;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vessel accidents, pollution incidents or other events resulting in lost revenue, fines, penalties or other expenses that are unrecoverable from insurance policies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changing customer demands for vessel specifications, which may make some of our older vessels technologically obsolete for certain customer projects or in certain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inflation, interest rate, foreign exchange and macroeconomic volatility;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 outcomes in pending or future legal or administrative proceedings, and any unexpected litigation and insurance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supply-chain constraints and availability and cost of equipment, vessels and labor;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health, safety, environmental and other regulations and compliance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cybersecurity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foreign operations, such as non-compliance with, the unanticipated effect of, or unexpected assessments/enforcement actions taken in connection with, tax laws, customs laws, immigration laws, importation laws or other legislation that result in higher than anticipated tax rates or other costs, especially in higher political risk countries where we operate;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political risks in countries outside of the United States, including unlawful detentions, arrests, confiscation or nationalization of our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lower than planned utilization or dayrates for services utilizing in-chartered vessels;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delays or cost over-runs for vessels under construction and/or vessels undergoing planned conversions or modifications;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unplanned downtime for vessels and 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financial, operational and legal risks and uncertainties described from time to time in the Company’s filings with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other factors as discussed in our Annual Report on Form 10-K for the fiscal year ended December 31, 2025 and the risks and uncertainties discussed in any subsequent reports that we file or furnish with the SEC.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in this prospectus and any prospectus supplement are made as of the date on its cover page, and any forward-looking statements incorporated by reference herein or therein are made as of the date of the document incorporated by reference. Except as may be required by applicable law, we undertake no obligation to publicly update any forward-looking statement whether as a result of new information, future developments or otherwise.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expressed or implied, included in this prospectus are expressly qualified in their entirety by this cautionary statement. This cautionary statement should also be considered in connection with any subsequent written or oral forward-looking statements that we or persons acting on our behalf may issue.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810125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described herein involves risk. We urge you to carefully consider the risk factors described in our most recent Annual Report on Form 10-K and any updates in our subsequent Quarterly Reports on Form 10-Q, as well as in the Form S-4 to the extent incorporated by reference herein, together with any other SEC filings that are incorporated by reference in this prospectus and, if applicable, in any prospectus supplement used in connection with an offering of our securities, as well as the information relating to us identified herein in “Cautionary Note Regarding Forward-Looking Statements,” before making an investment decision. Although we discuss key risks in our discussion of risk factors, new risks may emerge in the future, which may prove to be significant. Our subsequent filings with the SEC may contain amended and updated discussions of significant risks. We cannot predict future risks or estimate the extent to which they may affect our financial performance. See the section entitled “Where You Can Find More Information”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810125_5"/>
      <w:bookmarkEnd w:id="7"/>
      <w:r>
        <w:rPr>
          <w:rFonts w:ascii="Times New Roman" w:hAnsi="Times New Roman"/>
          <w:b/>
          <w:sz w:val="20"/>
        </w:rPr>
        <w:t xml:space="preserve">OUR COMPANY </w:t>
      </w:r>
    </w:p>
    <w:p>
      <w:pPr>
        <w:pStyle w:val="TextBody"/>
        <w:bidi w:val="0"/>
        <w:spacing w:before="240" w:after="0"/>
        <w:jc w:val="left"/>
        <w:rPr>
          <w:rFonts w:ascii="Times New Roman" w:hAnsi="Times New Roman"/>
          <w:sz w:val="20"/>
        </w:rPr>
      </w:pPr>
      <w:r>
        <w:rPr>
          <w:rFonts w:ascii="Times New Roman" w:hAnsi="Times New Roman"/>
          <w:sz w:val="20"/>
        </w:rPr>
        <w:t xml:space="preserve">Hornbeck is a premier global offshore services company, providing innovative and integrated marine and subsea solutions to customers across the deepwater oilfield, defense and renewables industries. </w:t>
      </w:r>
    </w:p>
    <w:p>
      <w:pPr>
        <w:pStyle w:val="TextBody"/>
        <w:bidi w:val="0"/>
        <w:spacing w:before="240" w:after="0"/>
        <w:jc w:val="left"/>
        <w:rPr>
          <w:rFonts w:ascii="Times New Roman" w:hAnsi="Times New Roman"/>
          <w:sz w:val="20"/>
        </w:rPr>
      </w:pPr>
      <w:r>
        <w:rPr>
          <w:rFonts w:ascii="Times New Roman" w:hAnsi="Times New Roman"/>
          <w:sz w:val="20"/>
        </w:rPr>
        <w:t xml:space="preserve">On September 1, 2026, pursuant to the transactions contemplated by that certain Agreement and Plan of Merger, dated as of April 22, 2026 (the “Merger Agreement”), by and among Hornbeck Offshore Services, Inc. (f/k/a Helix Energy Solutions Group, Inc.), Hornbeck Offshore Services, Inc. (n/k/a Hercules Sub LLC) (“Legacy Hornbeck”), Odyssey Sub, Inc., a direct, wholly owned subsidiary of the Company (“Parent Sub”), and Hercules Sub LLC, a direct, wholly owned subsidiary of the Company (“LLC Sub”), (i) the Company converted from a Minnesota corporation to a Delaware corporation (the “Conversion”); (ii) following the Conversion, Parent Sub merged with and into Legacy Hornbeck (the “First Company Merger” and the effective time of such merger, the “Effective Time”), with Legacy Hornbeck surviving the First Company Merger as a wholly owned subsidiary of the Company (Legacy Hornbeck, as the surviving corporation in the First Company Merger, the “Surviving Corporation”); and (iii) one minute after the Effective Time, the Surviving Corporation merged with and into LLC Sub (the “Second Company Merger” and, together with the First Company Merger, the “Mergers”), with LLC Sub surviving the Second Company Merger as a wholly owned subsidiary of the Company. Following the Conversion and the Mergers, the Company was renamed “Hornbeck Offshore Services, Inc.” </w:t>
      </w:r>
    </w:p>
    <w:p>
      <w:pPr>
        <w:pStyle w:val="TextBody"/>
        <w:bidi w:val="0"/>
        <w:spacing w:before="240" w:after="0"/>
        <w:jc w:val="left"/>
        <w:rPr>
          <w:rFonts w:ascii="Times New Roman" w:hAnsi="Times New Roman"/>
          <w:sz w:val="20"/>
        </w:rPr>
      </w:pPr>
      <w:r>
        <w:rPr>
          <w:rFonts w:ascii="Times New Roman" w:hAnsi="Times New Roman"/>
          <w:sz w:val="20"/>
        </w:rPr>
        <w:t xml:space="preserve">Shares of our Common Stock trade on the NYSE under the ticker symbol “HOS.” Our principal executive offices are located at 103 Northpark Boulevard, Suite 300, Covington, Louisiana 70433, and our telephone number is (985) 727-2000. We maintain a website at www.hornbeckoffshore.com. Information contained on, or accessible through, our website is not incorporated by reference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810125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we inform you otherwise in a prospectus supplement or free writing prospectus, we intend to use the net proceeds from the sale of the securities we are offering pursuant to this prospectus for general corporate purposes. This may include, among other things, additions to working capital, repayment or refinancing of existing indebtedness or other corporate obligations, financing of capital expenditures and acquisitions and investment in existing and future projects. Any specific allocation of the net proceeds of an offering of securities to a specific purpose will be determined at the time of the offering and will be described in an accompanying prospectus supplement or free writing prospectus. Pending any specific application, we may initially invest funds in short-term marketable securities or money-market investments, as well as apply them to the reduction of short-term indebtedness.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stockholders may offer and sell up to an aggregate of 154,998,859 shares of Common Stock under this prospectus. See the section entitled “Selling Stockholders.” Accordingly, we will not receive any proceeds from the sales of Common Stock sold by the selling stockholders. We will bear the costs associated with the registration and the sale of any shares of Common Stock under this prospectus by the selling stockholders, other than underwriting fees, discounts and commissions.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810125_7"/>
      <w:bookmarkEnd w:id="9"/>
      <w:r>
        <w:rPr>
          <w:rFonts w:ascii="Times New Roman" w:hAnsi="Times New Roman"/>
          <w:b/>
          <w:sz w:val="20"/>
        </w:rPr>
        <w:t xml:space="preserve">SELLING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covers the offering for resale of up to an aggregate of 154,998,859 shares of Common Stock, consisting, as of September 14, 2026, of (i) 55,487,170 outstanding shares of Common Stock and (ii) 99,511,689 shares of Common Stock issuable upon the exercise of outstanding Jones Act Warrants, that may be offered and sold from time to time under this prospectus by the selling stockholders identified below, subject to any appropriate adjustment as a result of any stock dividend, stock split or distribution, or in connection with a combination of shares, and any security into which such shares of Common Stock shall have been converted or exchanged in connection with a recapitalization, reorganization, reclassification, merger, consolidation, exchange, distribution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On April 22, 2026, we entered into the Registration Rights Agreement with the selling stockholders pursuant to which we were obligated to prepare and file a registration statement to permit the resale of certain shares of Common Stock held by the selling stockholders, or issuable upon the exercise of the Jones Act Warrants held by the selling stockholders, from time to time as permitted by Rule 415 promulgated under the Securities Act. Under the Registration Rights Agreement, the selling stockholders are subject to a lock-up which, subject to certain exceptions or earlier termination by the Company, prohibits the transfer of the shares of Common Stock covered by this prospectus (as well as the Jones Act Warrants held by the selling stockholders) prior to February 28, 2027. </w:t>
      </w:r>
    </w:p>
    <w:p>
      <w:pPr>
        <w:pStyle w:val="TextBody"/>
        <w:bidi w:val="0"/>
        <w:spacing w:before="240" w:after="0"/>
        <w:jc w:val="left"/>
        <w:rPr>
          <w:rFonts w:ascii="Times New Roman" w:hAnsi="Times New Roman"/>
          <w:sz w:val="20"/>
        </w:rPr>
      </w:pPr>
      <w:r>
        <w:rPr>
          <w:rFonts w:ascii="Times New Roman" w:hAnsi="Times New Roman"/>
          <w:sz w:val="20"/>
        </w:rPr>
        <w:t xml:space="preserve">The Charter (as defined herein) prohibits the acquisition of shares by a non-U.S. citizen where (“Citizenship Restrictions”) (i) such acquisition would cause the aggregate number of shares held by all non-U.S. citizens to exceed 21% of the Company’s issued and outstanding Common Stock, with certain limited grandfathered circumstances allowing up to 24% of the outstanding shares of Common Stock to be owned by non-U.S. citizens on and after the date on which the Charter was filed with the Secretary of State of the State of Delaware (the “Effective Date”) or (ii) such acquisition would cause the aggregate number of shares held by any individual non-U.S. citizen to exceed 4.9% of the Company’s issued and outstanding Common Stock. See “Description of Capital Stock—Limitations on Ownership by Non-U.S. Citizens.” Each selling stockholder, and any prospective stockholder of the Company that is a non-U.S. citizen, is or will be subject to these restrictions on foreign ownership of the Company’s Common Stock. The table below assumes that all of the Jones Act Warrants held by the selling stockholder could be exercised for shares of the Company’s Common Stock, notwithstanding these restrictions. The percentages of shares reflected as owned by a selling stockholder assume that all of the Jones Act Warrants held by such selling stockholder have been exercised for shares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have prepared the table below and the related footnotes based on information supplied to us by the selling stockholders and such information is as of September 14, 2026 (except as otherwise noted). We have not sought to verify such information. We believe, based on information supplied by the selling stockholders, that except as may otherwise be indicated in the footnotes to the table below, the selling stockholders have sole voting and dispositive power with respect to the shares of Common Stock reported as beneficially owned by them.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stockholders identified in the table may sell some or all of the shares of Common Stock which are included in this prospectus (including shares issuable upon the exercise of the Jones Act Warrants held by the selling stockholders), and because there are currently no agreements, arrangements or understandings with respect to the sale of any of the shares of Common Stock, no estimate can be given as to the number of the shares of Common Stock available for resale hereby that will be beneficially held by the selling stockholders upon termination of this offering. In addition, the selling stockholders may have sold, transferred or otherwise disposed of, or may sell, transfer or otherwise dispose of, at any time and from time to time, the shares of Common Stock they hold (including shares issuable upon the exercise of the Jones Act Warrants held by the selling stockholders) in transactions exempt from the registration requirements of the Securities Act after the date on which the selling stockholders provided the information set forth on the table below. We have, therefore, assumed for the purposes of the following table, that the selling stockholders will sell all of the shares of Common Stock beneficially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owned by them that are covered by this prospectus. The selling stockholders are not obligated to sell any of the shares of Common Stock offered by this prospectus. The percent of beneficial ownership for the selling stockholders is based on 222,166,587 shares of Common Stock outstanding as of September 14, 2026.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67"/>
        <w:gridCol w:w="159"/>
        <w:gridCol w:w="92"/>
        <w:gridCol w:w="1707"/>
        <w:gridCol w:w="92"/>
        <w:gridCol w:w="222"/>
        <w:gridCol w:w="136"/>
        <w:gridCol w:w="1009"/>
        <w:gridCol w:w="277"/>
        <w:gridCol w:w="101"/>
        <w:gridCol w:w="86"/>
        <w:gridCol w:w="1611"/>
        <w:gridCol w:w="60"/>
        <w:gridCol w:w="159"/>
        <w:gridCol w:w="60"/>
        <w:gridCol w:w="1014"/>
        <w:gridCol w:w="60"/>
        <w:gridCol w:w="159"/>
        <w:gridCol w:w="214"/>
        <w:gridCol w:w="933"/>
        <w:gridCol w:w="287"/>
      </w:tblGrid>
      <w:tr>
        <w:trPr/>
        <w:tc>
          <w:tcPr>
            <w:tcW w:w="1767"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92" w:type="dxa"/>
            <w:tcBorders/>
            <w:vAlign w:val="center"/>
          </w:tcPr>
          <w:p>
            <w:pPr>
              <w:pStyle w:val="TableContents"/>
              <w:bidi w:val="0"/>
              <w:spacing w:before="0" w:after="283"/>
              <w:jc w:val="left"/>
              <w:rPr>
                <w:sz w:val="4"/>
                <w:szCs w:val="4"/>
              </w:rPr>
            </w:pPr>
            <w:r>
              <w:rPr>
                <w:sz w:val="4"/>
                <w:szCs w:val="4"/>
              </w:rPr>
            </w:r>
          </w:p>
        </w:tc>
        <w:tc>
          <w:tcPr>
            <w:tcW w:w="222"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r>
      <w:tr>
        <w:trPr/>
        <w:tc>
          <w:tcPr>
            <w:tcW w:w="1767"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3258"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Beneficially Owned Prior to</w:t>
              <w:br/>
              <w:t>the Offering(1)(2)</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Shares of</w:t>
              <w:br/>
              <w:t>Common Stock</w:t>
              <w:br/>
              <w:t>Offered Hereby(2)</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Shares of Common Stock</w:t>
              <w:br/>
              <w:t>Beneficially Owned After</w:t>
              <w:br/>
              <w:t>Completion of the</w:t>
              <w:br/>
              <w:t>Offering</w:t>
            </w:r>
          </w:p>
        </w:tc>
        <w:tc>
          <w:tcPr>
            <w:tcW w:w="287" w:type="dxa"/>
            <w:tcBorders/>
            <w:vAlign w:val="bottom"/>
          </w:tcPr>
          <w:p>
            <w:pPr>
              <w:pStyle w:val="TableContents"/>
              <w:bidi w:val="0"/>
              <w:spacing w:before="0" w:after="283"/>
              <w:jc w:val="left"/>
              <w:rPr/>
            </w:pPr>
            <w:r>
              <w:rPr/>
              <w:t> </w:t>
            </w:r>
          </w:p>
        </w:tc>
      </w:tr>
      <w:tr>
        <w:trPr/>
        <w:tc>
          <w:tcPr>
            <w:tcW w:w="1767" w:type="dxa"/>
            <w:tcBorders/>
            <w:vAlign w:val="bottom"/>
          </w:tcPr>
          <w:p>
            <w:pPr>
              <w:pStyle w:val="TableContents"/>
              <w:bidi w:val="0"/>
              <w:spacing w:before="0" w:after="283"/>
              <w:jc w:val="left"/>
              <w:rPr>
                <w:b/>
              </w:rPr>
            </w:pPr>
            <w:r>
              <w:rPr>
                <w:b/>
              </w:rPr>
              <w:t>Selling stockholders:</w:t>
            </w:r>
          </w:p>
        </w:tc>
        <w:tc>
          <w:tcPr>
            <w:tcW w:w="159" w:type="dxa"/>
            <w:tcBorders/>
            <w:vAlign w:val="bottom"/>
          </w:tcPr>
          <w:p>
            <w:pPr>
              <w:pStyle w:val="TableContents"/>
              <w:bidi w:val="0"/>
              <w:spacing w:before="0" w:after="283"/>
              <w:jc w:val="left"/>
              <w:rPr/>
            </w:pPr>
            <w:r>
              <w:rPr/>
              <w:t>  </w:t>
            </w:r>
          </w:p>
        </w:tc>
        <w:tc>
          <w:tcPr>
            <w:tcW w:w="179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1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69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0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114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Percentage</w:t>
            </w:r>
          </w:p>
        </w:tc>
        <w:tc>
          <w:tcPr>
            <w:tcW w:w="287" w:type="dxa"/>
            <w:tcBorders/>
            <w:vAlign w:val="bottom"/>
          </w:tcPr>
          <w:p>
            <w:pPr>
              <w:pStyle w:val="TableContents"/>
              <w:bidi w:val="0"/>
              <w:spacing w:before="0" w:after="283"/>
              <w:jc w:val="left"/>
              <w:rPr/>
            </w:pPr>
            <w:r>
              <w:rPr/>
              <w:t> </w:t>
            </w:r>
          </w:p>
        </w:tc>
      </w:tr>
      <w:tr>
        <w:trPr/>
        <w:tc>
          <w:tcPr>
            <w:tcW w:w="1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Funds, investment vehicles or accounts managed or advised by or related to Ares or its affiliates(3)</w:t>
            </w:r>
          </w:p>
        </w:tc>
        <w:tc>
          <w:tcPr>
            <w:tcW w:w="15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70,355,357</w:t>
            </w:r>
          </w:p>
        </w:tc>
        <w:tc>
          <w:tcPr>
            <w:tcW w:w="9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26.5</w:t>
            </w:r>
          </w:p>
        </w:tc>
        <w:tc>
          <w:tcPr>
            <w:tcW w:w="27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right"/>
              <w:rPr/>
            </w:pPr>
            <w:r>
              <w:rPr/>
              <w:t>70,355,357</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176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Whitebox(4)</w:t>
            </w:r>
          </w:p>
        </w:tc>
        <w:tc>
          <w:tcPr>
            <w:tcW w:w="15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37,873,696</w:t>
            </w:r>
          </w:p>
        </w:tc>
        <w:tc>
          <w:tcPr>
            <w:tcW w:w="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15.2</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11" w:type="dxa"/>
            <w:tcBorders/>
            <w:vAlign w:val="bottom"/>
          </w:tcPr>
          <w:p>
            <w:pPr>
              <w:pStyle w:val="TableContents"/>
              <w:bidi w:val="0"/>
              <w:spacing w:before="0" w:after="283"/>
              <w:jc w:val="right"/>
              <w:rPr/>
            </w:pPr>
            <w:r>
              <w:rPr/>
              <w:t>37,873,696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w:t>
            </w:r>
          </w:p>
        </w:tc>
        <w:tc>
          <w:tcPr>
            <w:tcW w:w="287" w:type="dxa"/>
            <w:tcBorders/>
            <w:vAlign w:val="bottom"/>
          </w:tcPr>
          <w:p>
            <w:pPr>
              <w:pStyle w:val="TableContents"/>
              <w:bidi w:val="0"/>
              <w:spacing w:before="0" w:after="283"/>
              <w:jc w:val="left"/>
              <w:rPr/>
            </w:pPr>
            <w:r>
              <w:rPr/>
              <w:t>% </w:t>
            </w:r>
          </w:p>
        </w:tc>
      </w:tr>
      <w:tr>
        <w:trPr/>
        <w:tc>
          <w:tcPr>
            <w:tcW w:w="1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Highbridge(5)</w:t>
            </w:r>
          </w:p>
        </w:tc>
        <w:tc>
          <w:tcPr>
            <w:tcW w:w="15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18,110,037</w:t>
            </w:r>
          </w:p>
        </w:tc>
        <w:tc>
          <w:tcPr>
            <w:tcW w:w="9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7.6</w:t>
            </w:r>
          </w:p>
        </w:tc>
        <w:tc>
          <w:tcPr>
            <w:tcW w:w="27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right"/>
              <w:rPr/>
            </w:pPr>
            <w:r>
              <w:rPr/>
              <w:t>18,110,037</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176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Merced(6)</w:t>
            </w:r>
          </w:p>
        </w:tc>
        <w:tc>
          <w:tcPr>
            <w:tcW w:w="15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11,733,106</w:t>
            </w:r>
          </w:p>
        </w:tc>
        <w:tc>
          <w:tcPr>
            <w:tcW w:w="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5.3</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11" w:type="dxa"/>
            <w:tcBorders/>
            <w:vAlign w:val="bottom"/>
          </w:tcPr>
          <w:p>
            <w:pPr>
              <w:pStyle w:val="TableContents"/>
              <w:bidi w:val="0"/>
              <w:spacing w:before="0" w:after="283"/>
              <w:jc w:val="right"/>
              <w:rPr/>
            </w:pPr>
            <w:r>
              <w:rPr/>
              <w:t>11,733,106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w:t>
            </w:r>
          </w:p>
        </w:tc>
        <w:tc>
          <w:tcPr>
            <w:tcW w:w="287" w:type="dxa"/>
            <w:tcBorders/>
            <w:vAlign w:val="bottom"/>
          </w:tcPr>
          <w:p>
            <w:pPr>
              <w:pStyle w:val="TableContents"/>
              <w:bidi w:val="0"/>
              <w:spacing w:before="0" w:after="283"/>
              <w:jc w:val="left"/>
              <w:rPr/>
            </w:pPr>
            <w:r>
              <w:rPr/>
              <w:t>% </w:t>
            </w:r>
          </w:p>
        </w:tc>
      </w:tr>
      <w:tr>
        <w:trPr/>
        <w:tc>
          <w:tcPr>
            <w:tcW w:w="1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Morgan Stanley &amp; Co., LLC(7)</w:t>
            </w:r>
          </w:p>
        </w:tc>
        <w:tc>
          <w:tcPr>
            <w:tcW w:w="15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9,376,961</w:t>
            </w:r>
          </w:p>
        </w:tc>
        <w:tc>
          <w:tcPr>
            <w:tcW w:w="9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4.1</w:t>
            </w:r>
          </w:p>
        </w:tc>
        <w:tc>
          <w:tcPr>
            <w:tcW w:w="27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right"/>
              <w:rPr/>
            </w:pPr>
            <w:r>
              <w:rPr/>
              <w:t>7,902,013</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1,474,948</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left"/>
              <w:rPr>
                <w:sz w:val="4"/>
                <w:szCs w:val="4"/>
              </w:rPr>
            </w:pPr>
            <w:r>
              <w:rPr>
                <w:sz w:val="4"/>
                <w:szCs w:val="4"/>
              </w:rPr>
            </w:r>
          </w:p>
        </w:tc>
        <w:tc>
          <w:tcPr>
            <w:tcW w:w="287" w:type="dxa"/>
            <w:tcBorders/>
            <w:shd w:fill="CCEEFF" w:val="clear"/>
            <w:vAlign w:val="bottom"/>
          </w:tcPr>
          <w:p>
            <w:pPr>
              <w:pStyle w:val="TableContents"/>
              <w:bidi w:val="0"/>
              <w:spacing w:before="0" w:after="283"/>
              <w:jc w:val="left"/>
              <w:rPr/>
            </w:pPr>
            <w:r>
              <w:rPr/>
              <w:t>* </w:t>
            </w:r>
          </w:p>
        </w:tc>
      </w:tr>
      <w:tr>
        <w:trPr/>
        <w:tc>
          <w:tcPr>
            <w:tcW w:w="1767" w:type="dxa"/>
            <w:tcBorders/>
          </w:tcPr>
          <w:p>
            <w:pPr>
              <w:pStyle w:val="TableContents"/>
              <w:bidi w:val="0"/>
              <w:spacing w:before="0" w:after="0"/>
              <w:jc w:val="left"/>
              <w:rPr>
                <w:rFonts w:ascii="Times New Roman" w:hAnsi="Times New Roman"/>
                <w:sz w:val="20"/>
              </w:rPr>
            </w:pPr>
            <w:r>
              <w:rPr>
                <w:rFonts w:ascii="Times New Roman" w:hAnsi="Times New Roman"/>
                <w:sz w:val="20"/>
              </w:rPr>
              <w:t>Entities affiliated with Solus(8)</w:t>
            </w:r>
          </w:p>
        </w:tc>
        <w:tc>
          <w:tcPr>
            <w:tcW w:w="15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3,690,386</w:t>
            </w:r>
          </w:p>
        </w:tc>
        <w:tc>
          <w:tcPr>
            <w:tcW w:w="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1.7</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11" w:type="dxa"/>
            <w:tcBorders/>
            <w:vAlign w:val="bottom"/>
          </w:tcPr>
          <w:p>
            <w:pPr>
              <w:pStyle w:val="TableContents"/>
              <w:bidi w:val="0"/>
              <w:spacing w:before="0" w:after="283"/>
              <w:jc w:val="right"/>
              <w:rPr/>
            </w:pPr>
            <w:r>
              <w:rPr/>
              <w:t>3,690,386</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w:t>
            </w:r>
          </w:p>
        </w:tc>
        <w:tc>
          <w:tcPr>
            <w:tcW w:w="287" w:type="dxa"/>
            <w:tcBorders/>
            <w:vAlign w:val="bottom"/>
          </w:tcPr>
          <w:p>
            <w:pPr>
              <w:pStyle w:val="TableContents"/>
              <w:bidi w:val="0"/>
              <w:spacing w:before="0" w:after="283"/>
              <w:jc w:val="left"/>
              <w:rPr/>
            </w:pPr>
            <w:r>
              <w:rPr/>
              <w:t>% </w:t>
            </w:r>
          </w:p>
        </w:tc>
      </w:tr>
      <w:tr>
        <w:trPr/>
        <w:tc>
          <w:tcPr>
            <w:tcW w:w="176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Entities affiliated with Citigroup(9)</w:t>
            </w:r>
          </w:p>
        </w:tc>
        <w:tc>
          <w:tcPr>
            <w:tcW w:w="159" w:type="dxa"/>
            <w:tcBorders/>
            <w:shd w:fill="CCEEFF" w:val="clear"/>
            <w:vAlign w:val="bottom"/>
          </w:tcPr>
          <w:p>
            <w:pPr>
              <w:pStyle w:val="TableContents"/>
              <w:bidi w:val="0"/>
              <w:spacing w:before="0" w:after="283"/>
              <w:jc w:val="left"/>
              <w:rPr/>
            </w:pPr>
            <w:r>
              <w:rPr/>
              <w:t>  </w:t>
            </w:r>
          </w:p>
        </w:tc>
        <w:tc>
          <w:tcPr>
            <w:tcW w:w="92" w:type="dxa"/>
            <w:tcBorders/>
            <w:shd w:fill="CCEEFF" w:val="clear"/>
            <w:vAlign w:val="bottom"/>
          </w:tcPr>
          <w:p>
            <w:pPr>
              <w:pStyle w:val="TableContents"/>
              <w:bidi w:val="0"/>
              <w:spacing w:before="0" w:after="283"/>
              <w:jc w:val="left"/>
              <w:rPr/>
            </w:pPr>
            <w:r>
              <w:rPr/>
              <w:t> </w:t>
            </w:r>
          </w:p>
        </w:tc>
        <w:tc>
          <w:tcPr>
            <w:tcW w:w="1707" w:type="dxa"/>
            <w:tcBorders/>
            <w:shd w:fill="CCEEFF" w:val="clear"/>
            <w:vAlign w:val="bottom"/>
          </w:tcPr>
          <w:p>
            <w:pPr>
              <w:pStyle w:val="TableContents"/>
              <w:bidi w:val="0"/>
              <w:spacing w:before="0" w:after="283"/>
              <w:jc w:val="right"/>
              <w:rPr/>
            </w:pPr>
            <w:r>
              <w:rPr/>
              <w:t>2,974,960</w:t>
            </w:r>
          </w:p>
        </w:tc>
        <w:tc>
          <w:tcPr>
            <w:tcW w:w="92" w:type="dxa"/>
            <w:tcBorders/>
            <w:shd w:fill="CCEEFF" w:val="clear"/>
            <w:vAlign w:val="bottom"/>
          </w:tcPr>
          <w:p>
            <w:pPr>
              <w:pStyle w:val="TableContents"/>
              <w:bidi w:val="0"/>
              <w:spacing w:before="0" w:after="283"/>
              <w:jc w:val="left"/>
              <w:rPr/>
            </w:pPr>
            <w:r>
              <w:rPr/>
              <w:t> </w:t>
            </w:r>
          </w:p>
        </w:tc>
        <w:tc>
          <w:tcPr>
            <w:tcW w:w="222" w:type="dxa"/>
            <w:tcBorders/>
            <w:shd w:fill="CCEEFF" w:val="clear"/>
            <w:vAlign w:val="bottom"/>
          </w:tcPr>
          <w:p>
            <w:pPr>
              <w:pStyle w:val="TableContents"/>
              <w:bidi w:val="0"/>
              <w:spacing w:before="0" w:after="283"/>
              <w:jc w:val="left"/>
              <w:rPr/>
            </w:pPr>
            <w:r>
              <w:rPr/>
              <w:t>  </w:t>
            </w:r>
          </w:p>
        </w:tc>
        <w:tc>
          <w:tcPr>
            <w:tcW w:w="136"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1.3</w:t>
            </w:r>
          </w:p>
        </w:tc>
        <w:tc>
          <w:tcPr>
            <w:tcW w:w="277"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611" w:type="dxa"/>
            <w:tcBorders/>
            <w:shd w:fill="CCEEFF" w:val="clear"/>
            <w:vAlign w:val="bottom"/>
          </w:tcPr>
          <w:p>
            <w:pPr>
              <w:pStyle w:val="TableContents"/>
              <w:bidi w:val="0"/>
              <w:spacing w:before="0" w:after="283"/>
              <w:jc w:val="right"/>
              <w:rPr/>
            </w:pPr>
            <w:r>
              <w:rPr/>
              <w:t>2,974,960</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214" w:type="dxa"/>
            <w:tcBorders/>
            <w:shd w:fill="CCEEFF" w:val="clear"/>
            <w:vAlign w:val="bottom"/>
          </w:tcPr>
          <w:p>
            <w:pPr>
              <w:pStyle w:val="TableContents"/>
              <w:bidi w:val="0"/>
              <w:spacing w:before="0" w:after="283"/>
              <w:jc w:val="left"/>
              <w:rPr/>
            </w:pPr>
            <w:r>
              <w:rPr/>
              <w:t> </w:t>
            </w:r>
          </w:p>
        </w:tc>
        <w:tc>
          <w:tcPr>
            <w:tcW w:w="933" w:type="dxa"/>
            <w:tcBorders/>
            <w:shd w:fill="CCEEFF" w:val="clear"/>
            <w:vAlign w:val="bottom"/>
          </w:tcPr>
          <w:p>
            <w:pPr>
              <w:pStyle w:val="TableContents"/>
              <w:bidi w:val="0"/>
              <w:spacing w:before="0" w:after="283"/>
              <w:jc w:val="right"/>
              <w:rPr/>
            </w:pPr>
            <w:r>
              <w:rPr/>
              <w:t>—</w:t>
            </w:r>
          </w:p>
        </w:tc>
        <w:tc>
          <w:tcPr>
            <w:tcW w:w="287" w:type="dxa"/>
            <w:tcBorders/>
            <w:shd w:fill="CCEEFF" w:val="clear"/>
            <w:vAlign w:val="bottom"/>
          </w:tcPr>
          <w:p>
            <w:pPr>
              <w:pStyle w:val="TableContents"/>
              <w:bidi w:val="0"/>
              <w:spacing w:before="0" w:after="283"/>
              <w:jc w:val="left"/>
              <w:rPr/>
            </w:pPr>
            <w:r>
              <w:rPr/>
              <w:t>% </w:t>
            </w:r>
          </w:p>
        </w:tc>
      </w:tr>
      <w:tr>
        <w:trPr/>
        <w:tc>
          <w:tcPr>
            <w:tcW w:w="1767" w:type="dxa"/>
            <w:tcBorders/>
          </w:tcPr>
          <w:p>
            <w:pPr>
              <w:pStyle w:val="TableContents"/>
              <w:bidi w:val="0"/>
              <w:spacing w:before="0" w:after="0"/>
              <w:jc w:val="left"/>
              <w:rPr>
                <w:rFonts w:ascii="Times New Roman" w:hAnsi="Times New Roman"/>
                <w:sz w:val="20"/>
              </w:rPr>
            </w:pPr>
            <w:r>
              <w:rPr>
                <w:rFonts w:ascii="Times New Roman" w:hAnsi="Times New Roman"/>
                <w:sz w:val="20"/>
              </w:rPr>
              <w:t>BofA Securities, Inc.(10)</w:t>
            </w:r>
          </w:p>
        </w:tc>
        <w:tc>
          <w:tcPr>
            <w:tcW w:w="159"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1707" w:type="dxa"/>
            <w:tcBorders/>
            <w:vAlign w:val="bottom"/>
          </w:tcPr>
          <w:p>
            <w:pPr>
              <w:pStyle w:val="TableContents"/>
              <w:bidi w:val="0"/>
              <w:spacing w:before="0" w:after="283"/>
              <w:jc w:val="right"/>
              <w:rPr/>
            </w:pPr>
            <w:r>
              <w:rPr/>
              <w:t>2,359,304</w:t>
            </w:r>
          </w:p>
        </w:tc>
        <w:tc>
          <w:tcPr>
            <w:tcW w:w="92" w:type="dxa"/>
            <w:tcBorders/>
            <w:vAlign w:val="bottom"/>
          </w:tcPr>
          <w:p>
            <w:pPr>
              <w:pStyle w:val="TableContents"/>
              <w:bidi w:val="0"/>
              <w:spacing w:before="0" w:after="283"/>
              <w:jc w:val="left"/>
              <w:rPr/>
            </w:pPr>
            <w:r>
              <w:rPr/>
              <w:t> </w:t>
            </w:r>
          </w:p>
        </w:tc>
        <w:tc>
          <w:tcPr>
            <w:tcW w:w="222" w:type="dxa"/>
            <w:tcBorders/>
            <w:vAlign w:val="bottom"/>
          </w:tcPr>
          <w:p>
            <w:pPr>
              <w:pStyle w:val="TableContents"/>
              <w:bidi w:val="0"/>
              <w:spacing w:before="0" w:after="283"/>
              <w:jc w:val="left"/>
              <w:rPr/>
            </w:pPr>
            <w:r>
              <w:rPr/>
              <w:t>  </w:t>
            </w:r>
          </w:p>
        </w:tc>
        <w:tc>
          <w:tcPr>
            <w:tcW w:w="136"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1.1</w:t>
            </w:r>
          </w:p>
        </w:tc>
        <w:tc>
          <w:tcPr>
            <w:tcW w:w="277"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611" w:type="dxa"/>
            <w:tcBorders/>
            <w:vAlign w:val="bottom"/>
          </w:tcPr>
          <w:p>
            <w:pPr>
              <w:pStyle w:val="TableContents"/>
              <w:bidi w:val="0"/>
              <w:spacing w:before="0" w:after="283"/>
              <w:jc w:val="right"/>
              <w:rPr/>
            </w:pPr>
            <w:r>
              <w:rPr/>
              <w:t>2,359,304</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214" w:type="dxa"/>
            <w:tcBorders/>
            <w:vAlign w:val="bottom"/>
          </w:tcPr>
          <w:p>
            <w:pPr>
              <w:pStyle w:val="TableContents"/>
              <w:bidi w:val="0"/>
              <w:spacing w:before="0" w:after="283"/>
              <w:jc w:val="left"/>
              <w:rPr/>
            </w:pPr>
            <w:r>
              <w:rPr/>
              <w:t> </w:t>
            </w:r>
          </w:p>
        </w:tc>
        <w:tc>
          <w:tcPr>
            <w:tcW w:w="933" w:type="dxa"/>
            <w:tcBorders/>
            <w:vAlign w:val="bottom"/>
          </w:tcPr>
          <w:p>
            <w:pPr>
              <w:pStyle w:val="TableContents"/>
              <w:bidi w:val="0"/>
              <w:spacing w:before="0" w:after="283"/>
              <w:jc w:val="right"/>
              <w:rPr/>
            </w:pPr>
            <w:r>
              <w:rPr/>
              <w:t>—</w:t>
            </w:r>
          </w:p>
        </w:tc>
        <w:tc>
          <w:tcPr>
            <w:tcW w:w="28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Denotes less than 1%.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Except as noted in footnote 2 below, the amounts and percentages of Common Stock beneficially owned are reported on the basis of regulations of the SEC governing the determination of beneficial ownership of securities. Under the rules of the SEC, a person is deemed to be a “beneficial owner” of a security if that person has or shares voting power, which includes the power to vote or direct the voting of such security, or investment power, which includes the power to dispose of or to direct the disposition of such security. Under these rules, more than one person may be deemed to be a beneficial owner of the same securities, and a person may be deemed to be a beneficial owner of securities as to which such person has no economic interest.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shares of Common Stock underlying all Jones Act Warrants. Each Jones Act Warrant is immediately exercisable for 10.27167 shares of Common Stock for an exercise price of $0.00001 per share, subject to the terms and conditions of the Jones Act Warrant Agreement, including the Citizenship Restrictions. As a result, a selling stockholder may be deemed not to be a beneficial owner of such shares of Common Stock under Rule 13d-3 of the Exchange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Includes: (a) (i) 72,506 shares of Common Stock and 2,208,429 shares of Common Stock issuable upon the exercise of Jones Act Warrants held of record by ASSF IV AIV B, L.P. and (ii) 2,264,402 shares of Common Stock and 79,841 shares of Common Stock issuable upon the exercise of Jones Act Warrants held of record by ASSF IV AIV B Holdings III, L.P. (the entities referred to in clause (a) collectively, the “Ares SSF Holders”); (b) (i) 1,020,227 shares of Common Stock and 1,095,124 shares of Common Stock issuable upon the exercise of Jones Act Warrants held of record by ASOF Holdings I, L.P., (ii) 56,103 shares of Common Stock and 748,260 shares of Common Stock issuable upon the exercise of Jones Act Warrants held of record by ASOF II Holdings I, L.P. and (iii) 10,107 shares of Common Stock and 134,887 shares of Common Stock issuable upon the exercise of Jones Act Warrants held of record by ASOF II A (DE) Holdings I, L.P. (the entities referred to in clause (b) collectively, the “Ares SOF Holders”); (c) 161,656 shares of Common Stock and 765,402 shares of Common Stock issuable upon the exercise of Jones Act Warrants held of record by two accounts managed or subadvised by Ares Management LLC with respect to which the Ares Entities (as defined below) may be deemed to have shared voting or dispositive power with the owners of such accounts (the “Ares Managed Accounts”); (d) (i) 14,314,404 shares of Common Stock held of record by ASSF IV HOS AIV 1, L.P. and (ii) 2,906,183 shares of Common Stock and 21,390,290 shares of Common Stock issuable upon the exercise of Jones Act Warrants held of record by ASSF IV HOS AIV 2, L.P. (the entities referred to in clause (d) collectively, the “Ares SSF HOS Holders”); and (e) (i) 4,749,024 shares of Common Stock held of record by ASOF HOS AIV 1, L.P. and (ii) 1,871,251 shares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vAlign w:val="center"/>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Common Stock and 16,507,261 shares of Common Stock issuable upon the exercise of Jones Act Warrants held of record by ASOF HOS AIV 2, L.P. (the entities referred to in clause (e) collectively, the “Ares SOF HOS Holders”). Ares Partners Holdco LLC (“Ares Partners”) is managed by a board of managers, which is composed of Michael J. Arougheti, R. Kipp deVeer, David B. Kaplan, Antony P. Ressler and Bennett Rosenthal (collectively, the “Ares Partners Board Members”). Mr. Ressler generally has veto authority over Ares Partners Board Members’ decisions. Each of these individuals disclaims beneficial ownership of the securities that may be deemed to be beneficially owned by Ares Partners. Ares Partners is the sole member of each of Ares Management GP LLC and Ares Voting LLC, which are respectively the holders of the Class B and Class C common stock of Ares Management Corporation (“Ares Management”), which common stock allows them, collectively, to generally have the majority of the votes on any matter submitted to the stockholders of Ares Management if certain conditions are met. Ares Management is the sole member of Ares Holdco LLC, which is the general partner of Ares Management Holdings L.P., which is the sole member of Ares Management LLC, which is (x) the general partner of ASSF Operating Manager IV, L.P., which is the manager of each of the Ares SSF Holders, (y) the sole member of ASOF Investment Management LLC, which is the manager of each of the Ares SOF Holders and (z) the investment manager or investment subadvisor of each of the Ares Managed Accounts. Accordingly, each of the foregoing may be deemed to share beneficial ownership of the securities held of record by the Ares SSF Holders, the Ares SOF Holders and the Ares Managed Accounts, but each disclaims any such beneficial ownership of securities not held of record by them. The entities listed in this paragraph are referred to collectively as the “Ares Entities.” The address of the principal office of each of the Ares Entities is c/o Ares Management LLC, 1800 Avenue of the Stars, Suite 1400, Los Angeles, CA 90067. </w:t>
            </w:r>
          </w:p>
        </w:tc>
      </w:tr>
    </w:tbl>
    <w:p>
      <w:pPr>
        <w:pStyle w:val="TextBody"/>
        <w:bidi w:val="0"/>
        <w:spacing w:before="120" w:after="0"/>
        <w:jc w:val="left"/>
        <w:rPr>
          <w:rFonts w:ascii="Times New Roman" w:hAnsi="Times New Roman"/>
          <w:sz w:val="20"/>
        </w:rPr>
      </w:pPr>
      <w:r>
        <w:rPr>
          <w:rFonts w:ascii="Times New Roman" w:hAnsi="Times New Roman"/>
          <w:sz w:val="20"/>
        </w:rPr>
        <w:t xml:space="preserve">ASOF HOS GP, LLC is managed by a board of managers, which is composed of Evan Hoole, Matthew Jill and Naseem Sagati Aghili. Each of these individuals disclaims beneficial ownership of the securities that may be deemed to be beneficially owned by ASOF HOS GP, LLC. ASOF HOS GP, LLC is the general partner of each of the Ares SSF HOS Holders and the Ares SOF HOS Holders. Accordingly, ASOF HOS GP, LLC may be deemed to share beneficial ownership of the securities held of record by the Ares SSF HOS Holders and the Ares SOF HOS Holders, but disclaims any such beneficial ownership. The address of the principal office of each of ASOF HOS GP, LLC, the Ares SSF HOS Holders and the Ares SOF HOS Holders is c/o ASOF HOS GP, LLC, 1800 Avenue of the Stars, Suite 1400, Los Angeles, CA 90067.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(i) 491,982 shares of Common Stock and 3,247,922 shares of Common Stock issuable upon the exercise of Jones Act Warrants held of record by Pandora Select Partners LP, (ii) 3,165,389 shares of Common Stock held of record by Whitebox Caja Blanca Fund LP, (iii) 275,034 shares of Common Stock and 1,846,209 shares of Common Stock issuable upon the exercise of Jones Act Warrants held of record by Whitebox Credit Partners LP, (iv) 167,761 shares of Common Stock and 972,388 shares of Common Stock issuable upon the exercise of Jones Act Warrants held of record by Whitebox GT Fund LP, (v) 3,002,569 shares of Common Stock and 16,489,122 shares issuable upon the exercise of Jones Act Warrants held of record by Whitebox Multi-Strategy Partners LP, and (vi) 1,136,568 shares of Common Stock and 7,078,752 shares issuable upon exercise of Jones Act Warrants held of record by Whitebox Relative Value Partners LP (each such entity, a “Whitebox Fund” and collectively, the “Whitebox Funds”). Whitebox Advisors LLC is the investment manager of the Whitebox Funds that own shares of our Common Stock and Jones Act Warrants and may be deemed to have shared voting and dispositive power over the shares of Common Stock owned by the Whitebox Funds. Whitebox Advisors LLC is managed by a committee of the following members: Robert Vogel, Jacob Mercer, Nick Stukas, Brian Lutz, Paul Roos and Blue Owl GP Stakes II (A), LP, a non-voting member, who may be deemed to share such power, and such individuals and entity disclaim beneficial ownership of the securities held by the Whitebox Funds, except to the extent of such individual or entity’s pecuniary interest therein, if any. The business address of Whitebox Advisors LLC and of each Whitebox Fund is 3033 Excelsior Blvd., Suite 500, Minneapolis, MN 55416.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(5)</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(i) 861,155 shares of Common Stock and 6,071,553 shares issuable upon the exercise of Jones Act Warrants held of record by 1992 Master Fund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Co-Invest SPC Series 1 Segregated Portfolio, (ii) 383,882 shares of Common Stock and 2,982,923 shares issuable upon the exercise of Jones Act Warrants held of record by Highbridge SCF Special Situations SPV, LP, (iii) 184,386 shares of Common Stock and 1,401,148 shares issuable upon the exercise of Jones Act Warrants held of record by Highbridge Tactical Credit Institutional Fund Ltd and (iv) 723,977 shares of Common Stock and 5,501,013 shares issuable upon the exercise of Jones Act Warrants held of record by Highbridge Tactical Credit Master Fund LP (each such entity, a “Highbridge Entity” and collectively, the “Highbridge Entities”). Highbridge Capital Management, LLC is the trading manager of the Highbridge Entities. The Highbridge Entities disclaim beneficial ownership over these shares. The address of Highbridge Capital Management, LLC is 390 Madison Avenue 28th Floor, New York, NY 10017, and the address of the Highbridge Entities is c/o Maples Corporate Services Limited, #309 Ugland House, South Church Street, George Town, Grand Cayman KY1-1104, Cayman Islands.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(i) 4,139,410 shares of Common Stock held of record by Athilon Capital Corp. LLC, (ii) 4,652,163 shares of Common Stock held of record by Merced Partners Limited Partnership and (iii) 2,941,533 shares of Common Stock held of record by Merced Partners V, L.P. (each such entity, a “Merced Entity” and collectively, the “Merced Entities”). Merced Capital, L.P. (“Merced”) is the general partner of and/or investment adviser to the Merced Entities that directly hold shares of our Common Stock. Merced is managed by Series E of Merced Capital Partners, LLC (“Merced Capital Partners”), a series of a Delaware limited liability company. David A. Ericson, Vincent C. Vertin, and Stuart B. Brown collectively have voting control over the interests in Merced Capital Partners. In such capacities, each of Merced, Merced Capital Partners, Mr. Ericson, Mr. Vertin, and Mr. Brown may be deemed to share voting and investment control over the shares of Common Stock reported in the table; however, each of Mr. Ericson, Mr. Vertin, and Mr. Brown disclaim beneficial ownership of the shares of Common Stock reported in the table. The business address for Merced, Merced Capital Partners, Mr. Ericson, Mr. Vertin, Mr. Brown, and each of the Merced Entities is 701 Carlson Parkway, Suite 1110, Minnetonka, MN, 55305.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(7)</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1,251,230 shares of Common Stock and 6,650,783 shares issuable upon the exercise of Jones Act Warrants. Morgan Stanley &amp; Co. LLC may also be deemed to beneficially own an additional 1,474,948 shares of Common Stock through affiliates of Morgan Stanley &amp; Co. LLC, which 1,474,948 shares are not being offered hereby. The principal business address of Morgan Stanley &amp; Co. LLC is 1585 Broadway, New York, New York 10036.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(i) 2,129,515 shares of Common Stock and 64,968 shares of Common Stock issuable upon the exercise of Jones Act Warrants held of record by Sola Ltd, (ii) 733,332 shares of Common Stock and 27,219 shares of Common Stock issuable upon the exercise of Jones Act Warrants held of record by Solus Long-Term Opportunities Fund Master LP, (iii) 382,197 shares of Common Stock and 14,185 shares of Common Stock issuable upon the exercise of Jones Act Warrants held of record by Solus Opportunities Fund 4 LP, (iv) 283,100 shares of Common Stock and 10,518 shares of Common Stock issuable upon the exercise of Jones Act Warrants held of record by Solus Opportunities Fund 5 LP, and (v) 43,719 shares of Common Stock and 1,633 shares issuable upon the exercise of Jones Act Warrants held of record by Ultra NB LLC (such entities, collectively, the “Solus Entities”). The Solus Entities are private funds managed by Solus Alternative Asset Management LP (“Solus”) and/or affiliates thereof. Solus GP LLC (“Solus GP”) is the general partner of Solus. Christopher Pucillo is the managing member of Solus GP. Each of Solus, Solus GP, the Solus Entities and Mr. Pucillo (collectively, “Solus Persons” and each a “Solus Person”) may be deemed to have beneficial ownership of the securities referenced in this footnote; however, each Solus Person expressly disclaims beneficial ownership of any securities referenced in this footnote, except to the extent of his or its pecuniary interest therein. The business address of the US Solus Entities is 25 Maple Street, 2nd Floor, Summit, NJ 07901. The business address of the non-US Solus Entities is 89 Nexus Way, Camana Bay, Grand Cayman KY1-9009. The business address of Mr. Pucillo is 110 Front Street, Suite 325, Jupiter, FL 33477.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(9)</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(i) 313,076 shares of Common Stock and 819,802 shares issuable upon the exercise of Jones Act Warrants held of record by Citigroup Financial Products Inc. and (ii) 306,243 shares of Common Stock and 1,535,839 shares issuable upon the exercise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Jones Act Warrants held of record by Citigroup Global Markets Inc. The business address of Citigroup Financial Products Inc. and Citigroup Global Markets Inc. is 388 Greenwich St, 6th Floor Trading, New York, NY 10013.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Included in the total number of shares shown as beneficially owned are 493,086 shares of Common Stock and 1,866,218 shares issuable upon the exercise of Jones Act Warrants. The business address of BofA Securities, Inc. is Bank of America Tower, One Bryant Park, New York, NY 10036.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x810125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sell the applicable securities offered by this prospectus from time to time in one or more transactions,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underwriters, brokers or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these methods;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distribution of the securities offered by this prospectus may also be effected through the issuance of derivative securities, including without limitation, warrants, subscriptions, exchangeable securities, forward delivery contracts and the writing of options.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manner in which we or the selling stockholders may sell some or all of the securities covered by this prospectus includes, without limitation, through: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a broker-dealer will attempt to sell the securities as agent, but may position or resell a portion of the block, as principal, in order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the broker-dealer for its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a broker-dealer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in-kind to a selling stockholder’s direct or indirect partners, members or equity 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privately negotiated transactions, which may include a “block trade”;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transactions through broker-dealers to sell a specified number of such securities at a stipulated price per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distribution in accordance with the rules of the applicable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combination of any such methods of distribution;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described above, a selling stockholder that is an entity may elect to make a pro rata in-kind distribution of the shares of Common Stock held by it to its direct or indirect members, partners or equity holders or purchase or redeem interests held in such entity by its direct or indirect members, partners or equity holders in exchange for Common Stock pursuant to the registration statement of which this prospectus is a part by delivering a prospectus, as amended or supplemented. To the extent that such members, partners or equity holders are not affiliates of ours, such members, partners or equity holders would thereby receive freely tradeable Common Stock pursuant to the distribution under this prospectus. To the extent a distributee is an affiliate of ours (or to the extent otherwise required by law), we may file a prospectus supplement to permit the distributees to use the prospectus to resell the securities acquired in the distribution. The selling stockholders may also sell Common Stock under Rule 144 or any other exemption from registration under the Securities Act, if available, rather than under this prospectus. There can be no assurance that the selling stockholders will sell any or all of the shares of Common Stock registered pursuant to the registration statement of which this prospectus forms a part.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selling stockholders may also transfer shares of our Common Stock in other circumstances, in which case the transferees, pledgees or other successors in interest will be the selling beneficial owners for purposes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or the selling stockholders may also enter into derivative or hedging transactions. For example, we or one or more of the selling stockholders may: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 broker-dealer or affiliate thereof in connection with which such broker-dealer or affiliate will engage in short sales of the Common Stock pursuant to this prospectus, in which case such broker-dealer or affiliate may use shares of Common Stock received from us or one or more of the selling stockholders to close out its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sell securities short and redeliver such shares to close out our or one or more of the selling stockholders’ short positions;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option or other types of transactions that require us or one or more of the selling stockholders to deliver Common Stock to a broker-dealer or an affiliate thereof, who will then resell or transfer the Common Stock under this prospectus;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loan or pledge the Common Stock to a broker-dealer or an affiliate thereof, who may sell the loaned shares or, in an event of default in the case of a pledge, sell the pledged shares pursuant to this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selling stockholder will act independently of us in making decisions with respect to the timing, manner and size of each sale of shares of Common Stock covered by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or the selling stockholders may enter into derivative or hedging transactions with third parties, or sell securities not covered by this prospectus to third parties in privately negotiated transactions. In connection with such a transaction, the third parties may sell the applicable securities covered by and pursuant to this prospectus and any applicable prospectus supplement. If so, the third party may use securities borrowed from us or one or more selling stockholders or others to settle such sales and may use securities received from us or one or more selling stockholders to close out any related short positions. We or the selling stockholders may also loan or pledge securities covered by this prospectus and any applicable prospectus supplement to third parties, who may sell the loaned securities or, in an event of default in the case of a pledge, sell the pledged securities pursuant to this prospectus and any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One or more of the selling stockholders may, from time to time, pledge or grant a security interest in shares of our Common Stock beneficially held by it (including through a prepaid variable forward contract) and, if such selling stockholder defaults in the performance of its secured obligations, the pledgees or secured parties may offer and sell such shares of Common Stock from time to time, under this prospectus, or under an amendment or supplement to this prospectus amending the list of the selling stockholders to include the pledgee, transferee or other successors-in-interest as the selling stockholder under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by law, a prospectus supplement with respect to each offering of securities will state the terms of the offering of the securities,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or names of any underwriters, agents or dealers and the amounts of securities underwritten or purchased by each of them,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or purchase price of the securities and the net proceeds to be received by us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delivery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underwriting discounts, commissions or agency fees and other items constituting underwriters’ or agents’ compensation;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offering expenses;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commissions, concessions or other compensation allowed or reallowed or paid to dealers;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exchange or markets on which the securities may be listed;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method of distribution of the securities.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offer and sale of the securities described in this prospectus by us, the selling stockholders, the underwriters or the third parties described above may be effected from time to time in one or more transactions, including privately negotiated transactions,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a fixed price or prices, which may be changed;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market prices prevailing at the time of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prices related to the prevailing market prices;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negotiated prices.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aggregate proceeds to the selling stockholders from the sale of shares of our Common Stock offered by them will be the purchase price of such shares of our Common Stock less discounts or commissions, if any. The selling stockholders each reserve the right to accept and, together with their agents from time to time, to reject, in whole or in part, any proposed purchase of shares of our Common Stock to be made directly or through agents.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of the proceeds from any offering by a selling stockholder. We will bear the costs associated with the registration and the sale of any shares of Common Stock under this prospectus by the selling stockholders, other than underwriting fees, discounts and commissions. </w:t>
      </w:r>
    </w:p>
    <w:p>
      <w:pPr>
        <w:pStyle w:val="TextBody"/>
        <w:bidi w:val="0"/>
        <w:spacing w:before="240" w:after="0"/>
        <w:jc w:val="left"/>
        <w:rPr>
          <w:rFonts w:ascii="Times New Roman" w:hAnsi="Times New Roman"/>
          <w:sz w:val="20"/>
        </w:rPr>
      </w:pPr>
      <w:r>
        <w:rPr>
          <w:rFonts w:ascii="Times New Roman" w:hAnsi="Times New Roman"/>
          <w:sz w:val="20"/>
        </w:rPr>
        <w:t xml:space="preserve">To the extent required, this prospectus may be amended or supplemented from time to time to describe a specific plan of distribution.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Underwriting Compensation </w:t>
      </w:r>
    </w:p>
    <w:p>
      <w:pPr>
        <w:pStyle w:val="TextBody"/>
        <w:bidi w:val="0"/>
        <w:spacing w:before="120" w:after="0"/>
        <w:jc w:val="left"/>
        <w:rPr>
          <w:rFonts w:ascii="Times New Roman" w:hAnsi="Times New Roman"/>
          <w:sz w:val="20"/>
        </w:rPr>
      </w:pPr>
      <w:r>
        <w:rPr>
          <w:rFonts w:ascii="Times New Roman" w:hAnsi="Times New Roman"/>
          <w:sz w:val="20"/>
        </w:rPr>
        <w:t xml:space="preserve">Any public offering price and any fees, discounts, commissions, concessions or other items constituting compensation allowed or reallowed or paid to underwriters, dealers or agents may be changed from time to time. The selling stockholders and any underwriters, dealers and agents and remarketing firms that participate in the distribution of the offered securities may be “underwriters” within the meaning of Section 2(11) of the Securities Act. Any discounts or commissions that such underwriters, dealers and agents and remarketing firms receive and any profits they receive on the resale of the offered securities may be treated as underwriting discounts and commissions under the Securities Act. We have advised the selling stockholders that the anti-manipulation rules of Regulation M under the Exchange Act may apply to sales of securities in the market and to the activities of the selling stockholders and their respective affiliates. We will identify any underwriters, agents or dealers and describe their fees, commissions or discounts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Underwriters and Agents </w:t>
      </w:r>
    </w:p>
    <w:p>
      <w:pPr>
        <w:pStyle w:val="TextBody"/>
        <w:bidi w:val="0"/>
        <w:spacing w:before="120" w:after="0"/>
        <w:jc w:val="left"/>
        <w:rPr>
          <w:rFonts w:ascii="Times New Roman" w:hAnsi="Times New Roman"/>
          <w:sz w:val="20"/>
        </w:rPr>
      </w:pPr>
      <w:r>
        <w:rPr>
          <w:rFonts w:ascii="Times New Roman" w:hAnsi="Times New Roman"/>
          <w:sz w:val="20"/>
        </w:rPr>
        <w:t xml:space="preserve">If underwriters are used in a sale, they will acquire the offered securities for their own account. The underwriters may resell the offered securities in one or more transactions, including negotiated transactions. These sales may be made at a fixed public offering price or prices, which may be changed, at market prices prevailing at the time of the sale, at prices related to such prevailing market price or at negotiated prices. We or the selling stockholders may offer the securities to the public either through an underwriting syndicate represented by one or more managing underwriters or through one or more underwriter(s). The underwriters in any particular offering will be identified in the applicable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Unless otherwise specified in connection with any particular offering of securities, the obligations of the underwriters to purchase the offered securities will be subject to certain conditions contained in an underwriting agreement that we and, if applicable, one or more of the selling stockholders, will enter into with the underwriters at the time of the sale to them. The underwriters will be obligated to purchase all of the securities of the series offered if any of the securities are purchased, unless otherwise specified in connection with any particular offering of securities. Any initial offering price and any discounts or concessions allowed, reallowed or paid to dealers may be changed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Securities may be sold directly by us or the selling stockholders or through agents designated by us or one or more of the selling stockholders from time to time. Any agent involved in the offer or sale of the securities in respect of which this prospectus and a prospectus supplement is delivered will be named, and any commissions payable by us or the selling stockholders to such agent will be set forth, in the prospectus supplement. Unless otherwise indicated in the prospectus supplement, any such agent will be acting on a best 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offerings made through underwriters or agents, we may enter into agreements with such underwriters or agents pursuant to which we receive our outstanding securities in consideration for the securities being offered to the public for cash. In connection with these arrangements, the underwriters or agents may also sell securities covered by this prospectus to hedge their positions in these outstanding securities, including in short sale transactions. If so, the underwriters or agents may use the securities received from us under these arrangements to close out any related open borrowings of securities. </w:t>
      </w:r>
    </w:p>
    <w:p>
      <w:pPr>
        <w:pStyle w:val="TextBody"/>
        <w:bidi w:val="0"/>
        <w:spacing w:before="240" w:after="0"/>
        <w:jc w:val="left"/>
        <w:rPr>
          <w:rFonts w:ascii="Times New Roman" w:hAnsi="Times New Roman"/>
          <w:sz w:val="20"/>
        </w:rPr>
      </w:pPr>
      <w:r>
        <w:rPr>
          <w:rFonts w:ascii="Times New Roman" w:hAnsi="Times New Roman"/>
          <w:sz w:val="20"/>
        </w:rPr>
        <w:t xml:space="preserve">Because the selling stockholders may be deemed to be “underwriters” within the meaning of Section 2(11) of the Securities Act, they may be subject to the prospectus delivery requirements of the Securities Act, including Rule 172 thereunder. We will make copies of this prospectus available to the selling stockholders and are informing the selling stockholders of the need to deliver a copy of this prospectus to each purchaser at or prior to the time of the sale (including by compliance with Rule 172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Dealers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sell the offered securities to dealers as principals. We or the selling stockholders may negotiate and pay dealers’ commissions, discounts or concessions for their services. The dealer may then resell such securities to the public either at varying prices to be determined by the dealer or at a fixed offering price agreed to with us or one or more of the selling stockholders at the time of resale. Dealers engaged by us or the selling stockholders may allow other dealers to participate in resales. </w:t>
      </w:r>
    </w:p>
    <w:p>
      <w:pPr>
        <w:pStyle w:val="TextBody"/>
        <w:bidi w:val="0"/>
        <w:spacing w:before="360" w:after="0"/>
        <w:jc w:val="left"/>
        <w:rPr>
          <w:rFonts w:ascii="Times New Roman" w:hAnsi="Times New Roman"/>
          <w:b/>
          <w:sz w:val="20"/>
        </w:rPr>
      </w:pPr>
      <w:r>
        <w:rPr>
          <w:rFonts w:ascii="Times New Roman" w:hAnsi="Times New Roman"/>
          <w:b/>
          <w:sz w:val="20"/>
        </w:rPr>
        <w:t xml:space="preserve">Direct Sales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choose to sell the offered securities directly to multiple purchasers or a single purchaser. In this case, no underwriters or agents would be involved. </w:t>
      </w:r>
    </w:p>
    <w:p>
      <w:pPr>
        <w:pStyle w:val="TextBody"/>
        <w:bidi w:val="0"/>
        <w:spacing w:before="360" w:after="0"/>
        <w:jc w:val="left"/>
        <w:rPr>
          <w:rFonts w:ascii="Times New Roman" w:hAnsi="Times New Roman"/>
          <w:b/>
          <w:sz w:val="20"/>
        </w:rPr>
      </w:pPr>
      <w:r>
        <w:rPr>
          <w:rFonts w:ascii="Times New Roman" w:hAnsi="Times New Roman"/>
          <w:b/>
          <w:sz w:val="20"/>
        </w:rPr>
        <w:t xml:space="preserve">At-the-Market Offerings </w:t>
      </w:r>
    </w:p>
    <w:p>
      <w:pPr>
        <w:pStyle w:val="TextBody"/>
        <w:bidi w:val="0"/>
        <w:spacing w:before="120" w:after="0"/>
        <w:jc w:val="left"/>
        <w:rPr>
          <w:rFonts w:ascii="Times New Roman" w:hAnsi="Times New Roman"/>
          <w:sz w:val="20"/>
        </w:rPr>
      </w:pPr>
      <w:r>
        <w:rPr>
          <w:rFonts w:ascii="Times New Roman" w:hAnsi="Times New Roman"/>
          <w:sz w:val="20"/>
        </w:rPr>
        <w:t xml:space="preserve">We may also sell the securities offered by any applicable prospectus supplement in “at the market offerings” within the meaning of Rule 415 of the Securities Act, to or through a market maker or into an existing trading market, on an exchange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Institutional Purchasers </w:t>
      </w:r>
    </w:p>
    <w:p>
      <w:pPr>
        <w:pStyle w:val="TextBody"/>
        <w:bidi w:val="0"/>
        <w:spacing w:before="120" w:after="0"/>
        <w:jc w:val="left"/>
        <w:rPr>
          <w:rFonts w:ascii="Times New Roman" w:hAnsi="Times New Roman"/>
          <w:sz w:val="20"/>
        </w:rPr>
      </w:pPr>
      <w:r>
        <w:rPr>
          <w:rFonts w:ascii="Times New Roman" w:hAnsi="Times New Roman"/>
          <w:sz w:val="20"/>
        </w:rPr>
        <w:t xml:space="preserve">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will provide the details of any such arrangement, including the offering price and commissions payable on the solicitations.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will enter into such delayed contracts only with institutional purchasers that we approve. These institutions may include commercial and savings banks, insurance companies, pension funds, investment companies and educational and charitable institutions. </w:t>
      </w:r>
    </w:p>
    <w:p>
      <w:pPr>
        <w:pStyle w:val="TextBody"/>
        <w:bidi w:val="0"/>
        <w:spacing w:before="360" w:after="0"/>
        <w:jc w:val="left"/>
        <w:rPr>
          <w:rFonts w:ascii="Times New Roman" w:hAnsi="Times New Roman"/>
          <w:b/>
          <w:sz w:val="20"/>
        </w:rPr>
      </w:pPr>
      <w:r>
        <w:rPr>
          <w:rFonts w:ascii="Times New Roman" w:hAnsi="Times New Roman"/>
          <w:b/>
          <w:sz w:val="20"/>
        </w:rPr>
        <w:t xml:space="preserve">Indemnification; 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We or the selling stockholders may agree to indemnify underwriters, dealers and agents against certain civil liabilities, including liabilities under the Securities Act and to make contribution to them in connection with those liabilities. Underwriters, dealers and agents, and their affiliates, may engage in transactions with, or perform services for us, and our affiliates, in the ordinary course of business, including commercial banking transactions and services. </w:t>
      </w:r>
    </w:p>
    <w:p>
      <w:pPr>
        <w:pStyle w:val="TextBody"/>
        <w:bidi w:val="0"/>
        <w:spacing w:before="360" w:after="0"/>
        <w:jc w:val="left"/>
        <w:rPr>
          <w:rFonts w:ascii="Times New Roman" w:hAnsi="Times New Roman"/>
          <w:b/>
          <w:sz w:val="20"/>
        </w:rPr>
      </w:pPr>
      <w:r>
        <w:rPr>
          <w:rFonts w:ascii="Times New Roman" w:hAnsi="Times New Roman"/>
          <w:b/>
          <w:sz w:val="20"/>
        </w:rPr>
        <w:t xml:space="preserve">Market Making, Stabilization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Each series of securities will be a new issue of securities and will have no established trading market other than the Common Stock which is listed on the NYSE.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Preferred Stock on any securities exchange or quotation system; any such listing with respect to any Preferred Stock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of Common Stock, Preferred Stock or securities that provide for the issuance of shares of our Common Stock upon conversion, exchange or exercise, as the case may be, the underwriters may purchase and sell shares of our Common Stock or Preferred Stock in the open market. These transactions may include short sales, syndicate covering transactions and stabilizing transactions. Short sales involve syndicate sales of Common Stock in excess of the number of shares to be purchased by the underwriters in the offering, which creates a syndicate short position. “Covered” short sales are sales of shares made in an amount up to the number of shares represented by the underwriters’ over-allotment option. In determining the source of shares to close out the covered syndicate short position, the underwriters will consider, among other things, the price of shares available for purchase in the open market as compared to the price at which they may purchase shares through the over-allotment option. Transactions to close out the covered syndicate short involve either purchases of the Common Stock in the open market after the distribution has been completed or the exercise of the over-allotment option. The underwriters may also make “naked” short sales of shares in excess of the over-allotment option. The underwriters must close out any naked short position by purchasing shares of Common Stock in the open market. A naked short position is more likely to be created if the underwriters are concerned that there may be downward pressure on the price of the shares in the open market after pricing that could adversely affect investors who purchase in the offering. Stabilizing transactions consist of bids for or purchases of shares in the open market while the offering is in progress for the purpose of pegging, fixing or maintaining the price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any offering, the underwriters may also engage in penalty bids. 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x810125_9"/>
      <w:bookmarkEnd w:id="11"/>
      <w:r>
        <w:rPr>
          <w:rFonts w:ascii="Times New Roman" w:hAnsi="Times New Roman"/>
          <w:b/>
          <w:sz w:val="20"/>
        </w:rPr>
        <w:t xml:space="preserve">DESCRIPTION OF CAPITAL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of the Company’s capital stock is not complete and may not contain all the information you should consider before investing in the Company’s capital stock. This description is summarized from, and qualified in its entirety by reference to, our Certificate of Incorporation (as amended, the “Charter”) and our Amended and Restated Bylaws (the “Bylaws”), each of which was adopted in connection with the Mergers, and which have been publicly filed with the SEC. See “Where You Can Find More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Capitalization </w:t>
      </w:r>
    </w:p>
    <w:p>
      <w:pPr>
        <w:pStyle w:val="TextBody"/>
        <w:bidi w:val="0"/>
        <w:spacing w:before="120" w:after="0"/>
        <w:jc w:val="left"/>
        <w:rPr>
          <w:rFonts w:ascii="Times New Roman" w:hAnsi="Times New Roman"/>
          <w:sz w:val="20"/>
        </w:rPr>
      </w:pPr>
      <w:r>
        <w:rPr>
          <w:rFonts w:ascii="Times New Roman" w:hAnsi="Times New Roman"/>
          <w:sz w:val="20"/>
        </w:rPr>
        <w:t xml:space="preserve">The Charter authorizes the issuance of 410,000,000 shares of capital stock, consisting of (i) 400,000,000 shares of Common Stock and (ii) 10,000,000 shares of preferred stock, par value $0.00001 per share (the “Preferred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14, 2026, there were 222,166,587 shares of Common Stock issued and outstanding.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Rights </w:t>
      </w:r>
    </w:p>
    <w:p>
      <w:pPr>
        <w:pStyle w:val="TextBody"/>
        <w:bidi w:val="0"/>
        <w:spacing w:before="120" w:after="0"/>
        <w:jc w:val="left"/>
        <w:rPr>
          <w:rFonts w:ascii="Times New Roman" w:hAnsi="Times New Roman"/>
          <w:sz w:val="20"/>
        </w:rPr>
      </w:pPr>
      <w:r>
        <w:rPr>
          <w:rFonts w:ascii="Times New Roman" w:hAnsi="Times New Roman"/>
          <w:sz w:val="20"/>
        </w:rPr>
        <w:t xml:space="preserve">Each stockholder of the Company is entitled to one vote for each share of capital stock entitled to vote on the subject matter under consideration held by such stockholder. The holders of shares of Common Stock do not have cumulative voting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Dividend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are entitled to receive dividends, if any, in the amounts and at the times declared by the board of directors of the Company (the “Board”).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Liquidation Rights </w:t>
      </w:r>
    </w:p>
    <w:p>
      <w:pPr>
        <w:pStyle w:val="TextBody"/>
        <w:bidi w:val="0"/>
        <w:spacing w:before="120" w:after="0"/>
        <w:jc w:val="left"/>
        <w:rPr>
          <w:rFonts w:ascii="Times New Roman" w:hAnsi="Times New Roman"/>
          <w:sz w:val="20"/>
        </w:rPr>
      </w:pPr>
      <w:r>
        <w:rPr>
          <w:rFonts w:ascii="Times New Roman" w:hAnsi="Times New Roman"/>
          <w:sz w:val="20"/>
        </w:rPr>
        <w:t xml:space="preserve">Upon the Company’s liquidation, dissolution or winding-up, the assets legally available for distribution to stockholders would be distributable ratably among the holders of Common Stock and any participating Preferred Stock outstanding at that time after payment of liquidation preferences, if any, on any outstanding shares of Preferred Stock and payment of claims of creditors.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Assessment and Redemption </w:t>
      </w:r>
    </w:p>
    <w:p>
      <w:pPr>
        <w:pStyle w:val="TextBody"/>
        <w:bidi w:val="0"/>
        <w:spacing w:before="120" w:after="0"/>
        <w:jc w:val="left"/>
        <w:rPr>
          <w:rFonts w:ascii="Times New Roman" w:hAnsi="Times New Roman"/>
          <w:sz w:val="20"/>
        </w:rPr>
      </w:pPr>
      <w:r>
        <w:rPr>
          <w:rFonts w:ascii="Times New Roman" w:hAnsi="Times New Roman"/>
          <w:sz w:val="20"/>
        </w:rPr>
        <w:t xml:space="preserve">All shares of Common Stock are validly issued, fully paid and nonassessable. There is no provision for any voluntary redemption of Common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Holders of Common Stock do not have any preemptive right to subscribe to an additional issue of Common Stock or to any security convertible into such stock.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Ownership by Non-U.S. Citizens </w:t>
      </w:r>
    </w:p>
    <w:p>
      <w:pPr>
        <w:pStyle w:val="TextBody"/>
        <w:bidi w:val="0"/>
        <w:spacing w:before="120" w:after="0"/>
        <w:jc w:val="left"/>
        <w:rPr>
          <w:rFonts w:ascii="Times New Roman" w:hAnsi="Times New Roman"/>
          <w:sz w:val="20"/>
        </w:rPr>
      </w:pPr>
      <w:r>
        <w:rPr>
          <w:rFonts w:ascii="Times New Roman" w:hAnsi="Times New Roman"/>
          <w:sz w:val="20"/>
        </w:rPr>
        <w:t xml:space="preserve">The Company is subject to the Jones Act (as defined below), which, subject to limited exceptions, restricts maritime transportation of merchandise between points in the United States (known as marine cabotage services or coastwise trade) to vessels built in the United States, registered under the U.S. flag, crewed by U.S. citizens or lawful permanent residents, and owned and operated by U.S. citizens within the meaning of the Jones Act.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Jones Act, at least 75% of the Company’s outstanding shares of each class or series of the capital stock must be owned and controlled by U.S. citizens. In order to ensure compliance with the Jones Act coastwise citizenship requirement that at least 75% of the Company’s outstanding Common Stock is owned by U.S. citizens, the Charter restricts ownership of the shares of the Company’s outstanding Common Stock by non-U.S. citizens in the aggregate to not more than 21%, with certain limited grandfathered circumstances allowing up to 24% of the outstanding shares of Common Stock to be owned by non-U.S. citizens on and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The Charter further prohibits the acquisition of shares by a non-U.S. citizen where (i) such acquisition would cause the aggregate number of shares held by all non-U.S. citizens to exceed 21% of the Company’s issued and outstanding Common Stock and (ii) such acquisition would cause the aggregate number of shares held by any individual non-U.S. citizen to exceed 4.9% of the Company’s issued and outstanding Common Stock. The Charter further provides the Board with authority to redeem any share of Common Stock that is owned by non-U.S. citizens that would result in ownership by non-U.S. citizens in the aggregate in excess of 21% of the Company’s issued and outstanding Common Stock, with certain limited grandfathered circumstances allowing up to 24% of the outstanding shares of the Company’s Common Stock to be owned by non-U.S. citizens on and after the Effective Date. In the event the Board authorizes such a redemption, the Company would instruct its transfer agent to issue one or more of the Company’s Jones Act Warrants, or in certain situations, cash or interest-bearing promissory notes, in respect of shares of Common Stock that caused ownership by non-U.S. citizens to exceed the applicable permitted limit, and such holder(s)’ interests in those shares will be terminated. </w:t>
      </w:r>
    </w:p>
    <w:p>
      <w:pPr>
        <w:pStyle w:val="TextBody"/>
        <w:bidi w:val="0"/>
        <w:spacing w:before="240" w:after="0"/>
        <w:jc w:val="left"/>
        <w:rPr>
          <w:rFonts w:ascii="Times New Roman" w:hAnsi="Times New Roman"/>
          <w:sz w:val="20"/>
        </w:rPr>
      </w:pPr>
      <w:r>
        <w:rPr>
          <w:rFonts w:ascii="Times New Roman" w:hAnsi="Times New Roman"/>
          <w:sz w:val="20"/>
        </w:rPr>
        <w:t xml:space="preserve">The Charter further provides that the Company may require beneficial owners of Common Stock to confirm their citizenship from time to time through written statement or affidavit and could, in the discretion of the Board, suspend the voting rights of such beneficial owner, pay into an escrow account dividends or other distributions (upon liquidation or otherwise) with respect to such shares held by such beneficial owner and restrict, prohibit or void the transfer of such shares and refuse to register such shares of Common Stock held by such beneficial owner until confirmation of its citizenship status is received.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the “Jones Act” means the U.S. citizenship and cabotage laws principally contained in 46 U.S.C. § 50501(a), (b) and (d) and 46 U.S.C. Chapters 121 and 551 and any successor statutes thereto, together with the rules and regulations promulgated thereunder by the USCG and the U.S. Department of Transportation’s Maritime Administration and their practices enforcing, administering and interpreting such laws, statutes, rules and regulations, in each case as amended or supplemented from time to time, relating to the ownership and operation of U.S.-flag vessels in the coastwise trade.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Common Stock has been placed into the Depository Trust &amp; Clearing Corporation’s SEG-100 Program, to allow the Company to monitor the ownership of the Company’s Common Stock by non-U.S. citizens in a manner consistent with the provisions of the Charter and the Jones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Listing </w:t>
      </w:r>
    </w:p>
    <w:p>
      <w:pPr>
        <w:pStyle w:val="TextBody"/>
        <w:bidi w:val="0"/>
        <w:spacing w:before="120" w:after="0"/>
        <w:jc w:val="left"/>
        <w:rPr>
          <w:rFonts w:ascii="Times New Roman" w:hAnsi="Times New Roman"/>
          <w:sz w:val="20"/>
        </w:rPr>
      </w:pPr>
      <w:r>
        <w:rPr>
          <w:rFonts w:ascii="Times New Roman" w:hAnsi="Times New Roman"/>
          <w:sz w:val="20"/>
        </w:rPr>
        <w:t xml:space="preserve">The Common Stock is listed on the NYSE under the symbol “HOS.”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Equiniti Trust Company, LLC acts as transfer agent and registrar for the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14, 2026, no shares of Preferred Stock were issued or outstanding. </w:t>
      </w:r>
    </w:p>
    <w:p>
      <w:pPr>
        <w:pStyle w:val="TextBody"/>
        <w:bidi w:val="0"/>
        <w:spacing w:before="240" w:after="0"/>
        <w:jc w:val="left"/>
        <w:rPr>
          <w:rFonts w:ascii="Times New Roman" w:hAnsi="Times New Roman"/>
          <w:sz w:val="20"/>
        </w:rPr>
      </w:pPr>
      <w:r>
        <w:rPr>
          <w:rFonts w:ascii="Times New Roman" w:hAnsi="Times New Roman"/>
          <w:sz w:val="20"/>
        </w:rPr>
        <w:t xml:space="preserve">Authorized and unissued shares of Preferred Stock may be issued from time to time in one or more additional series as the Board, by resolution or resolutions, may from time to time determine, each of said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be distinctively designated. The voting powers, preferences and relative, participating, optional and other special rights, and the qualifications, limitations or restrictions thereof, if any, of each such series of Preferred Stock may differ from those of any and all other series of Preferred Stock at any time outstanding, and, subject to certain exceptions set forth in the Charter, and applicable law, the Board may fix or alter, by resolution or resolutions, the designation, number, voting powers, preferences and relative, participating, optional and other special rights, and the qualifications, limitations and restrictions thereof, of each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offer shares of Preferred Stock under this prospectus, a prospectus supplement relating to the particular series of Preferred Stock offered will include the specific terms of those Preferred Stock, including, among other things,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stated value, and liquidation preference of the Preferred Stock and the number of shares of Preferred Stock to constitute the series;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shares of Preferred Stock to be offered;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public offering price at which the Preferred Stock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sinking fund provisions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voting rights, if any, of the Preferred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Preferred Stock will be redeemable and, if so, the price and the terms and conditions on which the Preferred Stock may be redeemed, including the time during which the Preferred Stock may be redeemed and any accumulated dividends thereof, if any, that the holders of the Preferred Stock will be entitled to receive upon the redemption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and conditions, if any, on which the Preferred Stock will be convertible into, or exchangeable for, any other class or series, including the price or prices or the rate or rates of conversion or exchange and the method, if any, of adjusting the same;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additional designations, preferences, rights, powers, duties and restrictions of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relating to any such Preferred Stock we offer will also include a discussion of certain material U.S. federal income tax consequences relating to ownership of the Preferred Stock (other than those consequences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particular terms of any series of Preferred Stock will also be described in a certificate of designation or amendment to the Charter, which will be filed as an exhibit to or incorporated by reference in this prospectus at or before the time of issuance of any such series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The transfer agent and registrar for any series of Preferred Stock will be designated in the applicable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Warrants </w:t>
      </w:r>
    </w:p>
    <w:p>
      <w:pPr>
        <w:pStyle w:val="TextBody"/>
        <w:bidi w:val="0"/>
        <w:spacing w:before="120" w:after="0"/>
        <w:jc w:val="left"/>
        <w:rPr>
          <w:rFonts w:ascii="Times New Roman" w:hAnsi="Times New Roman"/>
          <w:b/>
          <w:i/>
          <w:sz w:val="20"/>
        </w:rPr>
      </w:pPr>
      <w:r>
        <w:rPr>
          <w:rFonts w:ascii="Times New Roman" w:hAnsi="Times New Roman"/>
          <w:b/>
          <w:i/>
          <w:sz w:val="20"/>
        </w:rPr>
        <w:t xml:space="preserve">Jones Act Warrants </w:t>
      </w:r>
    </w:p>
    <w:p>
      <w:pPr>
        <w:pStyle w:val="TextBody"/>
        <w:bidi w:val="0"/>
        <w:spacing w:before="120" w:after="0"/>
        <w:jc w:val="left"/>
        <w:rPr>
          <w:rFonts w:ascii="Times New Roman" w:hAnsi="Times New Roman"/>
          <w:sz w:val="20"/>
        </w:rPr>
      </w:pPr>
      <w:r>
        <w:rPr>
          <w:rFonts w:ascii="Times New Roman" w:hAnsi="Times New Roman"/>
          <w:sz w:val="20"/>
        </w:rPr>
        <w:t xml:space="preserve">As of September 14, 2026, there were 10,089,644 Jones Act Warrants outstanding. The Jones Act Warrants do not have voting rights and were originally issued in lieu of common stock to certain non-U.S. citizens, as defined in the Jones Act, by Legacy Hornbeck in order to comply with applicable limitations on foreign ownership under the Jones Act and assumed by us in connection with the Mergers. </w:t>
      </w:r>
    </w:p>
    <w:p>
      <w:pPr>
        <w:pStyle w:val="TextBody"/>
        <w:bidi w:val="0"/>
        <w:spacing w:before="240" w:after="0"/>
        <w:jc w:val="left"/>
        <w:rPr>
          <w:rFonts w:ascii="Times New Roman" w:hAnsi="Times New Roman"/>
          <w:sz w:val="20"/>
        </w:rPr>
      </w:pPr>
      <w:r>
        <w:rPr>
          <w:rFonts w:ascii="Times New Roman" w:hAnsi="Times New Roman"/>
          <w:sz w:val="20"/>
        </w:rPr>
        <w:t xml:space="preserve">The Jones Act Warrants have a perpetual term and are exercisable until the date on which no Jones Act Warrants remain outstanding. Each Jones Act Warrant represents the right to purchase 10.27167 shares of Common Stock for an exercise price of $0.00001 per share, subject to the terms and conditions of the Jones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Warrant Agreement, including the limitations on foreign ownership as set forth in the Charter that are intended to assist the Company in complying with the Jones Act. </w:t>
      </w:r>
    </w:p>
    <w:p>
      <w:pPr>
        <w:pStyle w:val="TextBody"/>
        <w:bidi w:val="0"/>
        <w:spacing w:before="240" w:after="0"/>
        <w:jc w:val="left"/>
        <w:rPr>
          <w:rFonts w:ascii="Times New Roman" w:hAnsi="Times New Roman"/>
          <w:sz w:val="20"/>
        </w:rPr>
      </w:pPr>
      <w:r>
        <w:rPr>
          <w:rFonts w:ascii="Times New Roman" w:hAnsi="Times New Roman"/>
          <w:sz w:val="20"/>
        </w:rPr>
        <w:t xml:space="preserve">Equiniti Trust Company, LLC is the warrant agent for the Jones Act Warrants.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and Other Provisions Contained in the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Charter and Bylaws contain a number of provisions that could make the acquisition of the Company by means of a tender or exchange offer, a proxy contest or otherwise more difficult.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Classified Board; Removal of Directors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directors, other than those who may be elected by the holders of any series of Preferred Stock, are divided into three classes, as nearly equal in number as possible, designated Class I, Class II and Class III. The term of office of the initial Class II directors shall expire at the first annual meeting of stockholders following the Effective Date, the term of office of the initial Class I directors shall expire at the second annual meeting of stockholders after the Effective Date and the term of office of the initial Class III directors shall expire at the third annual meeting of the stockholders after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At each annual meeting of stockholders, directors elected to replace those of a class whose terms expire at such annual meeting shall be elected to hold office until the third succeeding annual meeting after their election and until their respective successors shall have been duly elected and qualified. </w:t>
      </w:r>
    </w:p>
    <w:p>
      <w:pPr>
        <w:pStyle w:val="TextBody"/>
        <w:bidi w:val="0"/>
        <w:spacing w:before="240" w:after="0"/>
        <w:jc w:val="left"/>
        <w:rPr>
          <w:rFonts w:ascii="Times New Roman" w:hAnsi="Times New Roman"/>
          <w:sz w:val="20"/>
        </w:rPr>
      </w:pPr>
      <w:r>
        <w:rPr>
          <w:rFonts w:ascii="Times New Roman" w:hAnsi="Times New Roman"/>
          <w:sz w:val="20"/>
        </w:rPr>
        <w:t xml:space="preserve">The Charter provides that, subject to the rights granted pursuant to the Securityholders Agreement (as defined in the Charter), any or all of the Company’s directors may be removed at any time with or without cause, but only by the affirmative vote of stockholders representing at least 68% of the voting power of all then-outstanding shares of the Company’s stock entitled to vote thereon, voting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Advance Notice of Stockholder Business Proposals and Nominations </w:t>
      </w:r>
    </w:p>
    <w:p>
      <w:pPr>
        <w:pStyle w:val="TextBody"/>
        <w:bidi w:val="0"/>
        <w:spacing w:before="120" w:after="0"/>
        <w:jc w:val="left"/>
        <w:rPr>
          <w:rFonts w:ascii="Times New Roman" w:hAnsi="Times New Roman"/>
          <w:sz w:val="20"/>
        </w:rPr>
      </w:pPr>
      <w:r>
        <w:rPr>
          <w:rFonts w:ascii="Times New Roman" w:hAnsi="Times New Roman"/>
          <w:sz w:val="20"/>
        </w:rPr>
        <w:t xml:space="preserve">The Bylaws provide an advance notice requirement with respect to stockholder proposals of business at annual meetings and stockholder nominations of candidates for election as directors at annual or special meetings of the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of Certain Provisions of the Charter and Bylaws </w:t>
      </w:r>
    </w:p>
    <w:p>
      <w:pPr>
        <w:pStyle w:val="TextBody"/>
        <w:bidi w:val="0"/>
        <w:spacing w:before="120" w:after="0"/>
        <w:jc w:val="left"/>
        <w:rPr>
          <w:rFonts w:ascii="Times New Roman" w:hAnsi="Times New Roman"/>
          <w:sz w:val="20"/>
        </w:rPr>
      </w:pPr>
      <w:r>
        <w:rPr>
          <w:rFonts w:ascii="Times New Roman" w:hAnsi="Times New Roman"/>
          <w:sz w:val="20"/>
        </w:rPr>
        <w:t xml:space="preserve">The Charter provides that the Board is expressly authorized to make, repeal, alter, amend and rescind, in whole or in part, the Bylaws without the assent or vote of the stockholders in any manner not inconsistent with the laws of the State of Delaware or the Charter. The Company’s stockholders may only alter, amend, repeal or rescind, in whole or in part, any provision of the Bylaws or adopt any provision inconsistent therewith with the affirmative vote of the holders of at least 66 2/3% in voting power of all the then-outstanding shares of stock entitled to vote thereon, voting together as a single class.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following provisions of the Charter, including any relevant definitions, may be amended, altered, repealed or rescinded, in whole or in part, or any provision inconsistent therewith may be adopted, only by the affirmative vote of the holders of at least 66 2/3% in voting power of all the then-outstanding shares of stock entitled to vote thereon, voting together as a single class: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VI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VII (Liability of Directors and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IX (Meetings of Stockholders);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X (Business Combinations);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XI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XIII (Submission to Jurisdiction);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XIV (Jones Act Compliance).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810125_10"/>
      <w:bookmarkEnd w:id="12"/>
      <w:r>
        <w:rPr>
          <w:rFonts w:ascii="Times New Roman" w:hAnsi="Times New Roman"/>
          <w:b/>
          <w:sz w:val="20"/>
        </w:rPr>
        <w:t xml:space="preserve">DESCRIPTION OF WARRANTS </w:t>
      </w:r>
    </w:p>
    <w:p>
      <w:pPr>
        <w:pStyle w:val="TextBody"/>
        <w:bidi w:val="0"/>
        <w:spacing w:before="240" w:after="0"/>
        <w:jc w:val="left"/>
        <w:rPr>
          <w:rFonts w:ascii="Times New Roman" w:hAnsi="Times New Roman"/>
          <w:b/>
          <w:sz w:val="20"/>
        </w:rPr>
      </w:pPr>
      <w:r>
        <w:rPr>
          <w:rFonts w:ascii="Times New Roman" w:hAnsi="Times New Roman"/>
          <w:b/>
          <w:sz w:val="20"/>
        </w:rPr>
        <w:t xml:space="preserve">Warrants We May Offer </w:t>
      </w:r>
    </w:p>
    <w:p>
      <w:pPr>
        <w:pStyle w:val="TextBody"/>
        <w:bidi w:val="0"/>
        <w:spacing w:before="120" w:after="0"/>
        <w:jc w:val="left"/>
        <w:rPr>
          <w:rFonts w:ascii="Times New Roman" w:hAnsi="Times New Roman"/>
          <w:sz w:val="20"/>
        </w:rPr>
      </w:pPr>
      <w:r>
        <w:rPr>
          <w:rFonts w:ascii="Times New Roman" w:hAnsi="Times New Roman"/>
          <w:sz w:val="20"/>
        </w:rPr>
        <w:t xml:space="preserve">We may issue warrants for the purchase of our Common Stock, Preferred Stock or any combination thereof (“Warrants”). Warrants may be issued independently or together with our securities offered by any prospectus supplement and may be attached to or separate from any such offered securities. Each series of Warrants will be issued under a separate warrant agreement to be entered into between us and a bank or trust company, as warrant agent, all as set forth in the prospectus supplement relating to the particular issue of Warrants. The warrant agent will act solely as our agent in connection with the Warrants and will not assume any obligation or relationship of agency or trust for or with any holders of Warrants or beneficial owners of Warrants. The following summary of certain provisions of the Warrants does not purport to be complete and is subject to, and is qualified in its entirety by reference to, all provisions of the warrant agreements. </w:t>
      </w:r>
    </w:p>
    <w:p>
      <w:pPr>
        <w:pStyle w:val="TextBody"/>
        <w:bidi w:val="0"/>
        <w:spacing w:before="240" w:after="0"/>
        <w:jc w:val="left"/>
        <w:rPr>
          <w:rFonts w:ascii="Times New Roman" w:hAnsi="Times New Roman"/>
          <w:sz w:val="20"/>
        </w:rPr>
      </w:pPr>
      <w:r>
        <w:rPr>
          <w:rFonts w:ascii="Times New Roman" w:hAnsi="Times New Roman"/>
          <w:sz w:val="20"/>
        </w:rPr>
        <w:t xml:space="preserve">You should refer to the prospectus supplement relating to a particular issue of Warrants for the terms of and information relating to the Warrants, including, where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securities purchasable upon exercise of the Warrants and the price at which such securities may be purchased upon exercise of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the Warrants commences and the date on which such right expires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United States federal income tax consequences applicable to the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amount of the Warrants outstanding as of the most recent practicable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Warrants.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Warrants will be offered and exercisable for United States dollars only. Warrants will be issued in registered form only. Each Warrant will entitle its holder to purchase such number of securities at such exercise price as is in each case set forth in, or calculable from, the prospectus supplement relating to the Warrants. The exercise price may be subject to adjustment upon the occurrence of events described in such prospectus supplement. After the close of business on the Expiration Date (or such later date to which we may extend such Expiration Date), unexercised Warrants will become void. The place or places where, and the manner in which, Warrants may be exercised will be specified in the prospectus supplement relating to such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the exercise of any Warrants, holders of the Warrants will not have any of the rights of holders of securities, including the right to receive payments of any dividends on the securities purchasable upon exercise of the Warrants, or to exercise any applicable right to vote.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810125_11"/>
      <w:bookmarkEnd w:id="13"/>
      <w:r>
        <w:rPr>
          <w:rFonts w:ascii="Times New Roman" w:hAnsi="Times New Roman"/>
          <w:b/>
          <w:sz w:val="20"/>
        </w:rPr>
        <w:t xml:space="preserve">DESCRIPTION OF UNITS </w:t>
      </w:r>
    </w:p>
    <w:p>
      <w:pPr>
        <w:pStyle w:val="TextBody"/>
        <w:bidi w:val="0"/>
        <w:spacing w:before="240" w:after="0"/>
        <w:jc w:val="left"/>
        <w:rPr>
          <w:rFonts w:ascii="Times New Roman" w:hAnsi="Times New Roman"/>
          <w:sz w:val="20"/>
        </w:rPr>
      </w:pPr>
      <w:r>
        <w:rPr>
          <w:rFonts w:ascii="Times New Roman" w:hAnsi="Times New Roman"/>
          <w:sz w:val="20"/>
        </w:rPr>
        <w:t xml:space="preserve">We may issue units of securities consisting of one or more of the following securities: Common Stock, Preferred Stock, Warrants or any combination thereof (“Units”). We may evidence each series of Units issued by unit certificates that we will issue under a separate agreement. We may enter into unit agreements with a unit agent. Each unit agent will be a bank or trust company that we select. You should read the particular terms of these documents, which will be described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If we offer any Units, certain terms of that series of Units will be described in the applicable prospectus supplement, including, without limitation, the following, as applicable: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the series of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identification and description of the separate constituent securities comprising the Units;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the Units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if any, on and after which the constituent securities comprising the Units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appropriate, a discussion of material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the Units and their constituent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810125_12"/>
      <w:bookmarkEnd w:id="14"/>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the securities offered hereby will be passed upon for us by Kirkland &amp; Ellis LLP, Houston, Texas. </w:t>
      </w:r>
    </w:p>
    <w:p>
      <w:pPr>
        <w:pStyle w:val="TextBody"/>
        <w:bidi w:val="0"/>
        <w:spacing w:before="480" w:after="0"/>
        <w:jc w:val="center"/>
        <w:rPr>
          <w:rFonts w:ascii="Times New Roman" w:hAnsi="Times New Roman"/>
          <w:b/>
          <w:sz w:val="20"/>
        </w:rPr>
      </w:pPr>
      <w:bookmarkStart w:id="15" w:name="tx810125_13"/>
      <w:bookmarkEnd w:id="15"/>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Hornbeck Offshore Services, Inc. (f/k/a Helix Energy Solutions Group, Inc.) as of December 31, 2025 and 2024, and for each of the years in the three-year period ended December 31,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Legacy Hornbeck (the predecessor by merger of Hercules Sub LLC) as of December 31, 2025 and 2024, and for each of the years in the three-year period ended December 31, 2025, included in the Company’s Current Report on Form 8-K filed with the SEC on September 1, 2026,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Item 14. Other Expenses of Issuance and Distribution. </w:t>
      </w:r>
    </w:p>
    <w:p>
      <w:pPr>
        <w:pStyle w:val="TextBody"/>
        <w:bidi w:val="0"/>
        <w:spacing w:before="120" w:after="0"/>
        <w:jc w:val="left"/>
        <w:rPr>
          <w:rFonts w:ascii="Times New Roman" w:hAnsi="Times New Roman"/>
          <w:sz w:val="20"/>
        </w:rPr>
      </w:pPr>
      <w:r>
        <w:rPr>
          <w:rFonts w:ascii="Times New Roman" w:hAnsi="Times New Roman"/>
          <w:sz w:val="20"/>
        </w:rPr>
        <w:t xml:space="preserve">Set forth below are the expenses expected to be incurred in connection with the issuance and distribution of the securities registered hereby and payable by us. With the exception of the SEC registration fee, the amounts set forth below are estimates.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830"/>
        <w:gridCol w:w="445"/>
        <w:gridCol w:w="141"/>
        <w:gridCol w:w="1460"/>
        <w:gridCol w:w="63"/>
      </w:tblGrid>
      <w:tr>
        <w:trPr/>
        <w:tc>
          <w:tcPr>
            <w:tcW w:w="4830" w:type="dxa"/>
            <w:tcBorders/>
            <w:vAlign w:val="center"/>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4830" w:type="dxa"/>
            <w:tcBorders/>
            <w:vAlign w:val="bottom"/>
          </w:tcPr>
          <w:p>
            <w:pPr>
              <w:pStyle w:val="TableContents"/>
              <w:bidi w:val="0"/>
              <w:spacing w:before="0" w:after="283"/>
              <w:jc w:val="left"/>
              <w:rPr/>
            </w:pPr>
            <w:r>
              <w:rPr/>
              <w:t> </w:t>
            </w:r>
          </w:p>
        </w:tc>
        <w:tc>
          <w:tcPr>
            <w:tcW w:w="445" w:type="dxa"/>
            <w:tcBorders/>
            <w:vAlign w:val="bottom"/>
          </w:tcPr>
          <w:p>
            <w:pPr>
              <w:pStyle w:val="TableContents"/>
              <w:bidi w:val="0"/>
              <w:spacing w:before="0" w:after="283"/>
              <w:jc w:val="left"/>
              <w:rPr/>
            </w:pPr>
            <w:r>
              <w:rPr/>
              <w:t>  </w:t>
            </w:r>
          </w:p>
        </w:tc>
        <w:tc>
          <w:tcPr>
            <w:tcW w:w="1601" w:type="dxa"/>
            <w:gridSpan w:val="2"/>
            <w:tcBorders/>
            <w:vAlign w:val="bottom"/>
          </w:tcPr>
          <w:p>
            <w:pPr>
              <w:pStyle w:val="TableContents"/>
              <w:bidi w:val="0"/>
              <w:spacing w:before="0" w:after="283"/>
              <w:jc w:val="center"/>
              <w:rPr>
                <w:b/>
              </w:rPr>
            </w:pPr>
            <w:r>
              <w:rPr>
                <w:b/>
              </w:rPr>
              <w:t>Amount</w:t>
            </w:r>
          </w:p>
        </w:tc>
        <w:tc>
          <w:tcPr>
            <w:tcW w:w="63" w:type="dxa"/>
            <w:tcBorders/>
            <w:vAlign w:val="bottom"/>
          </w:tcPr>
          <w:p>
            <w:pPr>
              <w:pStyle w:val="TableContents"/>
              <w:bidi w:val="0"/>
              <w:spacing w:before="0" w:after="283"/>
              <w:jc w:val="left"/>
              <w:rPr/>
            </w:pPr>
            <w:r>
              <w:rPr/>
              <w:t> </w:t>
            </w:r>
          </w:p>
        </w:tc>
      </w:tr>
      <w:tr>
        <w:trPr/>
        <w:tc>
          <w:tcPr>
            <w:tcW w:w="4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156,677.91*</w:t>
            </w:r>
          </w:p>
        </w:tc>
        <w:tc>
          <w:tcPr>
            <w:tcW w:w="63" w:type="dxa"/>
            <w:tcBorders/>
            <w:shd w:fill="CCEEFF" w:val="clear"/>
            <w:vAlign w:val="bottom"/>
          </w:tcPr>
          <w:p>
            <w:pPr>
              <w:pStyle w:val="TableContents"/>
              <w:bidi w:val="0"/>
              <w:spacing w:before="0" w:after="283"/>
              <w:jc w:val="left"/>
              <w:rPr/>
            </w:pPr>
            <w:r>
              <w:rPr/>
              <w:t> </w:t>
            </w:r>
          </w:p>
        </w:tc>
      </w:tr>
      <w:tr>
        <w:trPr/>
        <w:tc>
          <w:tcPr>
            <w:tcW w:w="4830" w:type="dxa"/>
            <w:tcBorders/>
          </w:tcPr>
          <w:p>
            <w:pPr>
              <w:pStyle w:val="TableContents"/>
              <w:bidi w:val="0"/>
              <w:spacing w:before="0" w:after="0"/>
              <w:jc w:val="left"/>
              <w:rPr>
                <w:rFonts w:ascii="Times New Roman" w:hAnsi="Times New Roman"/>
                <w:sz w:val="20"/>
              </w:rPr>
            </w:pPr>
            <w:r>
              <w:rPr>
                <w:rFonts w:ascii="Times New Roman" w:hAnsi="Times New Roman"/>
                <w:sz w:val="20"/>
              </w:rPr>
              <w:t>Printing and engraving expenses</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4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Fees and expenses of legal counsel</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4830" w:type="dxa"/>
            <w:tcBorders/>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4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Transfer agent and registrar fees</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460"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4830"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460"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483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46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48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45"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460"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4830" w:type="dxa"/>
            <w:tcBorders/>
            <w:vAlign w:val="bottom"/>
          </w:tcPr>
          <w:p>
            <w:pPr>
              <w:pStyle w:val="TableContents"/>
              <w:bidi w:val="0"/>
              <w:spacing w:before="0" w:after="283"/>
              <w:jc w:val="left"/>
              <w:rPr>
                <w:sz w:val="4"/>
                <w:szCs w:val="4"/>
              </w:rPr>
            </w:pPr>
            <w:r>
              <w:rPr>
                <w:sz w:val="4"/>
                <w:szCs w:val="4"/>
              </w:rPr>
            </w:r>
          </w:p>
        </w:tc>
        <w:tc>
          <w:tcPr>
            <w:tcW w:w="445"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460"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Reflects the SEC registration fee relating to the Common Stock offered by the selling stockholders, before the application of a fee offset in the amount of $14,760.00. The net SEC registration fee due relating to the Common Stock offered by the selling stockholders is $141,917.91. The SEC registration fee relating to securities offered by us are deferred in reliance on Rule 456(b) and 457(r) under the Securities Act.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Estimated expenses are not presently known.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15.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DGCL provides that a corporation may indemnify directors and officers as well as other employees and individuals against expenses, including attorneys’ fees, judgments, fines and amounts paid in settlement in connection with specified actions, suits and proceedings whether civil, criminal, administrative, or investigative, other than a derivative action by or in the right of the corporation, if they acted in good faith and in a manner they reasonably believed to be in or not opposed to the best interests of the corporation and, with respect to any criminal action or proceeding, had no reasonable cause to believe their conduct was unlawful. A similar standard is applicable in the case of derivative actions, except that indemnification extends only to expenses, including attorneys’ fees, incurred in connection with the defense or settlement of such action and the statute requires court approval before there can be any indemnification where the person seeking indemnification has been found liable to the corporation. The statute provides that it is not exclusive of other indemnification that may be granted by a corporation’s certificate of incorporation, bylaws, disinterested director vote, stockholder vote,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The Charter provides that no director or officer shall be liable to us or our stockholders for monetary damages for breach of fiduciary duty as a director or officer, as applicable, except to the extent such exemption from liability or limitation on liability is not permitted under the DGCL, as now in effect or as amended. Currently, Section 102(b)(7) of the DGCL requires that liability be imposed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 director’s or officer’s duty of loyalty to our company or our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which involved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 director or officer derived an improper personal benefit;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with respect to the officer, any derivative action.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Charter provides that, to the fullest extent authorized or permitted by the DGCL, as now in effect or as amended, we will indemnify any person who was or is a party or is threatened to be made a party to or is otherwise involved (including involvement, without limitation, as a witness) in any threatened, pending or actual action, suit or proceeding by reason of the fact that such person is or was our director, advisory director, board observer or officer, or by reason of the fact that our director, advisory director, board observer or officer is or was serving, at our request, as a director, advisory director, board observer, officer, employee or agent of another corporation or of a partnership, joint venture, trust or other enterprise, including service with respect to employee benefit plans. We will indemnify such persons against expenses, liabilities, and loss (including attorneys’ fees and related disbursements, judgments, fines, excise taxes or penalties under the Employee Retirement Income Security Act of 1974, penalties and amounts paid in settlement) actually and reasonably incurred in connection with such action; provided, however, that the person acted in good faith and in a manner the person reasonably believed to be in or not opposed to the best interests of the Company, and, with respect to any criminal action or proceeding,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We have obtained policies that insure our directors and officers and those of our subsidiaries against certain liabilities they may incur in their capacity as directors and officers. Under these policies, the insurer, on our behalf, may also pay amounts for which we have granted indemnification to the directors or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directors, officers or persons controlling the Company pursuant to the foregoing provisions, the Company has been informed that in the opinion of the SEC, such indemnification is against public policy as expressed in the Securities Act and is therefore unenforceable.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16. Exhibits and Financial Statement Schedules.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i/>
                <w:sz w:val="20"/>
              </w:rPr>
            </w:pPr>
            <w:r>
              <w:rPr>
                <w:rFonts w:ascii="Times New Roman" w:hAnsi="Times New Roman"/>
                <w:i/>
                <w:sz w:val="20"/>
              </w:rPr>
              <w:t xml:space="preserve">Exhibits.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94"/>
        <w:gridCol w:w="591"/>
        <w:gridCol w:w="8420"/>
      </w:tblGrid>
      <w:tr>
        <w:trPr/>
        <w:tc>
          <w:tcPr>
            <w:tcW w:w="1194" w:type="dxa"/>
            <w:tcBorders/>
            <w:vAlign w:val="center"/>
          </w:tcPr>
          <w:p>
            <w:pPr>
              <w:pStyle w:val="TableContents"/>
              <w:bidi w:val="0"/>
              <w:spacing w:before="0" w:after="283"/>
              <w:jc w:val="left"/>
              <w:rPr>
                <w:sz w:val="4"/>
                <w:szCs w:val="4"/>
              </w:rPr>
            </w:pPr>
            <w:r>
              <w:rPr>
                <w:sz w:val="4"/>
                <w:szCs w:val="4"/>
              </w:rPr>
            </w:r>
          </w:p>
        </w:tc>
        <w:tc>
          <w:tcPr>
            <w:tcW w:w="591" w:type="dxa"/>
            <w:tcBorders/>
            <w:vAlign w:val="bottom"/>
          </w:tcPr>
          <w:p>
            <w:pPr>
              <w:pStyle w:val="TableContents"/>
              <w:bidi w:val="0"/>
              <w:spacing w:before="0" w:after="283"/>
              <w:jc w:val="left"/>
              <w:rPr>
                <w:sz w:val="4"/>
                <w:szCs w:val="4"/>
              </w:rPr>
            </w:pPr>
            <w:r>
              <w:rPr>
                <w:sz w:val="4"/>
                <w:szCs w:val="4"/>
              </w:rPr>
            </w:r>
          </w:p>
        </w:tc>
        <w:tc>
          <w:tcPr>
            <w:tcW w:w="8420" w:type="dxa"/>
            <w:tcBorders/>
            <w:vAlign w:val="center"/>
          </w:tcPr>
          <w:p>
            <w:pPr>
              <w:pStyle w:val="TableContents"/>
              <w:bidi w:val="0"/>
              <w:spacing w:before="0" w:after="283"/>
              <w:jc w:val="left"/>
              <w:rPr>
                <w:sz w:val="4"/>
                <w:szCs w:val="4"/>
              </w:rPr>
            </w:pPr>
            <w:r>
              <w:rPr>
                <w:sz w:val="4"/>
                <w:szCs w:val="4"/>
              </w:rPr>
            </w:r>
          </w:p>
        </w:tc>
      </w:tr>
      <w:tr>
        <w:trPr/>
        <w:tc>
          <w:tcPr>
            <w:tcW w:w="1194"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591" w:type="dxa"/>
            <w:tcBorders/>
            <w:vAlign w:val="bottom"/>
          </w:tcPr>
          <w:p>
            <w:pPr>
              <w:pStyle w:val="TableContents"/>
              <w:bidi w:val="0"/>
              <w:spacing w:before="0" w:after="283"/>
              <w:jc w:val="left"/>
              <w:rPr/>
            </w:pPr>
            <w:r>
              <w:rPr/>
              <w:t>  </w:t>
            </w:r>
          </w:p>
        </w:tc>
        <w:tc>
          <w:tcPr>
            <w:tcW w:w="842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1.1*</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r>
              <w:rPr/>
              <w:t>Form of Underwriting Agreement.</w:t>
            </w:r>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2.1</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hyperlink r:id="rId23">
              <w:r>
                <w:rPr>
                  <w:rStyle w:val="InternetLink"/>
                </w:rPr>
                <w:t xml:space="preserve">Agreement and Plan of Merger, dated as of April  22, 2026, by and among Helix Energy Solutions Group, Inc., Hornbeck Offshore Services, Inc., Odyssey Sub, Inc. and Hercules Sub LLC (incorporated by reference to Exhibit 2.1 to the Company’s Current Report on Form 8-K filed with the SEC on April 24, 2026). </w:t>
              </w:r>
            </w:hyperlink>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4.1</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hyperlink r:id="rId24">
              <w:r>
                <w:rPr>
                  <w:rStyle w:val="InternetLink"/>
                </w:rPr>
                <w:t xml:space="preserve">Certificate of Incorporation of Hornbeck Offshore Services, Inc. (incorporated by reference to Exhibit 3.1 to the Company’s Current Report on Form 8-K filed with the SEC on September 1, 2026). </w:t>
              </w:r>
            </w:hyperlink>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4.2</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hyperlink r:id="rId25">
              <w:r>
                <w:rPr>
                  <w:rStyle w:val="InternetLink"/>
                </w:rPr>
                <w:t xml:space="preserve">Certificate of Amendment to Certificate of Incorporation of Hornbeck Offshore Services, Inc. (incorporated by reference to Exhibit 3.2 to the Company’s Current Report on Form 8-K filed with the SEC on September 1, 2026). </w:t>
              </w:r>
            </w:hyperlink>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4.3</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hyperlink r:id="rId26">
              <w:r>
                <w:rPr>
                  <w:rStyle w:val="InternetLink"/>
                </w:rPr>
                <w:t xml:space="preserve">Amended and Restated Bylaws of Hornbeck Offshore Services, Inc. (incorporated by reference to Exhibit 3.3 to the Company’s Current Report on Form 8-K filed with the SEC on September 1, 2026). </w:t>
              </w:r>
            </w:hyperlink>
          </w:p>
        </w:tc>
      </w:tr>
      <w:tr>
        <w:trPr>
          <w:trHeight w:val="120" w:hRule="atLeast"/>
        </w:trPr>
        <w:tc>
          <w:tcPr>
            <w:tcW w:w="1194" w:type="dxa"/>
            <w:tcBorders/>
            <w:vAlign w:val="center"/>
          </w:tcPr>
          <w:p>
            <w:pPr>
              <w:pStyle w:val="TableContents"/>
              <w:bidi w:val="0"/>
              <w:spacing w:before="0" w:after="283"/>
              <w:jc w:val="left"/>
              <w:rPr>
                <w:sz w:val="4"/>
                <w:szCs w:val="4"/>
              </w:rPr>
            </w:pPr>
            <w:r>
              <w:rPr>
                <w:sz w:val="4"/>
                <w:szCs w:val="4"/>
              </w:rPr>
            </w:r>
          </w:p>
        </w:tc>
        <w:tc>
          <w:tcPr>
            <w:tcW w:w="9011"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  </w:t>
            </w:r>
            <w:r>
              <w:rPr/>
              <w:t>4.4</w:t>
            </w:r>
          </w:p>
        </w:tc>
        <w:tc>
          <w:tcPr>
            <w:tcW w:w="591" w:type="dxa"/>
            <w:tcBorders/>
            <w:vAlign w:val="bottom"/>
          </w:tcPr>
          <w:p>
            <w:pPr>
              <w:pStyle w:val="TableContents"/>
              <w:bidi w:val="0"/>
              <w:spacing w:before="0" w:after="283"/>
              <w:jc w:val="left"/>
              <w:rPr/>
            </w:pPr>
            <w:r>
              <w:rPr/>
              <w:t>  </w:t>
            </w:r>
          </w:p>
        </w:tc>
        <w:tc>
          <w:tcPr>
            <w:tcW w:w="8420" w:type="dxa"/>
            <w:tcBorders/>
          </w:tcPr>
          <w:p>
            <w:pPr>
              <w:pStyle w:val="TableContents"/>
              <w:bidi w:val="0"/>
              <w:spacing w:before="0" w:after="283"/>
              <w:jc w:val="left"/>
              <w:rPr/>
            </w:pPr>
            <w:hyperlink r:id="rId27">
              <w:r>
                <w:rPr>
                  <w:rStyle w:val="InternetLink"/>
                </w:rPr>
                <w:t xml:space="preserve">Amended and Restated Jones Act Warrant Agreement, by and among Hercules Sub LLC (as successor by merger to Hornbeck Offshore Services, Inc.), Hornbeck Offshore Services, Inc. (f/k/a Helix Energy Solutions Group, Inc.) and Equiniti Trust Company, LLC, dated as of September 1, 2026 (incorporated by reference to Exhibit 4.1 to the Company’s Current Report on Form 8-K filed with the SEC on September 1, 2026).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212"/>
        <w:gridCol w:w="732"/>
        <w:gridCol w:w="8261"/>
      </w:tblGrid>
      <w:tr>
        <w:trPr/>
        <w:tc>
          <w:tcPr>
            <w:tcW w:w="1212" w:type="dxa"/>
            <w:tcBorders/>
            <w:vAlign w:val="center"/>
          </w:tcPr>
          <w:p>
            <w:pPr>
              <w:pStyle w:val="TableContents"/>
              <w:bidi w:val="0"/>
              <w:spacing w:before="0" w:after="283"/>
              <w:jc w:val="left"/>
              <w:rPr>
                <w:sz w:val="4"/>
                <w:szCs w:val="4"/>
              </w:rPr>
            </w:pPr>
            <w:r>
              <w:rPr>
                <w:sz w:val="4"/>
                <w:szCs w:val="4"/>
              </w:rPr>
            </w:r>
          </w:p>
        </w:tc>
        <w:tc>
          <w:tcPr>
            <w:tcW w:w="732" w:type="dxa"/>
            <w:tcBorders/>
            <w:vAlign w:val="bottom"/>
          </w:tcPr>
          <w:p>
            <w:pPr>
              <w:pStyle w:val="TableContents"/>
              <w:bidi w:val="0"/>
              <w:spacing w:before="0" w:after="283"/>
              <w:jc w:val="left"/>
              <w:rPr>
                <w:sz w:val="4"/>
                <w:szCs w:val="4"/>
              </w:rPr>
            </w:pPr>
            <w:r>
              <w:rPr>
                <w:sz w:val="4"/>
                <w:szCs w:val="4"/>
              </w:rPr>
            </w:r>
          </w:p>
        </w:tc>
        <w:tc>
          <w:tcPr>
            <w:tcW w:w="8261" w:type="dxa"/>
            <w:tcBorders/>
            <w:vAlign w:val="center"/>
          </w:tcPr>
          <w:p>
            <w:pPr>
              <w:pStyle w:val="TableContents"/>
              <w:bidi w:val="0"/>
              <w:spacing w:before="0" w:after="283"/>
              <w:jc w:val="left"/>
              <w:rPr>
                <w:sz w:val="4"/>
                <w:szCs w:val="4"/>
              </w:rPr>
            </w:pPr>
            <w:r>
              <w:rPr>
                <w:sz w:val="4"/>
                <w:szCs w:val="4"/>
              </w:rPr>
            </w:r>
          </w:p>
        </w:tc>
      </w:tr>
      <w:tr>
        <w:trPr/>
        <w:tc>
          <w:tcPr>
            <w:tcW w:w="1212" w:type="dxa"/>
            <w:tcBorders>
              <w:bottom w:val="single" w:sz="8" w:space="0" w:color="000000"/>
            </w:tcBorders>
            <w:tcMar>
              <w:bottom w:w="28" w:type="dxa"/>
            </w:tcMar>
            <w:vAlign w:val="bottom"/>
          </w:tcPr>
          <w:p>
            <w:pPr>
              <w:pStyle w:val="TableContents"/>
              <w:bidi w:val="0"/>
              <w:spacing w:before="0" w:after="283"/>
              <w:jc w:val="center"/>
              <w:rPr>
                <w:b/>
              </w:rPr>
            </w:pPr>
            <w:r>
              <w:rPr>
                <w:b/>
              </w:rPr>
              <w:t>Exhibit No.</w:t>
            </w:r>
          </w:p>
        </w:tc>
        <w:tc>
          <w:tcPr>
            <w:tcW w:w="732" w:type="dxa"/>
            <w:tcBorders/>
            <w:vAlign w:val="bottom"/>
          </w:tcPr>
          <w:p>
            <w:pPr>
              <w:pStyle w:val="TableContents"/>
              <w:bidi w:val="0"/>
              <w:spacing w:before="0" w:after="283"/>
              <w:jc w:val="left"/>
              <w:rPr/>
            </w:pPr>
            <w:r>
              <w:rPr/>
              <w:t>  </w:t>
            </w:r>
          </w:p>
        </w:tc>
        <w:tc>
          <w:tcPr>
            <w:tcW w:w="826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Exhibit</w:t>
            </w:r>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4.5</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r:id="rId28">
              <w:r>
                <w:rPr>
                  <w:rStyle w:val="InternetLink"/>
                </w:rPr>
                <w:t xml:space="preserve">Amended and Restated Jones Act Anti-Dilution Warrant Agreement, by and among Hercules Sub LLC (as successor by merger to Hornbeck Offshore Services, Inc.), Hornbeck Offshore Services, Inc. (f/k/a Helix Energy Solutions Group, Inc.) and Equiniti Trust Company, LLC, dated as of September 1, 2026 (incorporated by reference to Exhibit 4.2 to the Company’s Current Report on Form 8-K filed with the SEC on September 1, 2026).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4.6</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r:id="rId29">
              <w:r>
                <w:rPr>
                  <w:rStyle w:val="InternetLink"/>
                </w:rPr>
                <w:t xml:space="preserve">Securityholders Agreement, dated as of April  22, 2026, among Hornbeck Offshore Services (f/k/a Helix Energy Solutions Group, Inc.) and each of the securityholders party thereto (incorporated by reference to Exhibit 4.2 to the Company’s Current Report on Form 8-K filed with the SEC on April 24, 2026).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4.7*</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r>
              <w:rPr/>
              <w:t>Form of Certificate of Designations for Preferred Stock.</w:t>
            </w:r>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4.8*</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r>
              <w:rPr/>
              <w:t>Form of Warrant Agreement (including form of Warrant Certificate).</w:t>
            </w:r>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4.9*</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r>
              <w:rPr/>
              <w:t>Form of Unit Agreement (including form of Unit Certificate).</w:t>
            </w:r>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5.1**</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d810125dex51.htm">
              <w:r>
                <w:rPr>
                  <w:rStyle w:val="InternetLink"/>
                </w:rPr>
                <w:t xml:space="preserve">Opinion of Kirkland &amp; Ellis LLP.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10.1</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r:id="rId30">
              <w:r>
                <w:rPr>
                  <w:rStyle w:val="InternetLink"/>
                </w:rPr>
                <w:t>Registration Rights Agreement, dated as of April  22, 2026, among Hornbeck Offshore Services (f/k/a Helix Energy Solutions Group, Inc.) and each of the holders party thereto (incorporated by reference to Exhibit 4.1 to the Company’s Current Report on Form 8-K filed with the SEC on April 24, 2026).</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23.1**</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d810125dex231.htm">
              <w:r>
                <w:rPr>
                  <w:rStyle w:val="InternetLink"/>
                </w:rPr>
                <w:t xml:space="preserve">Consent of KPMG LLP.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23.2**</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d810125dex232.htm">
              <w:r>
                <w:rPr>
                  <w:rStyle w:val="InternetLink"/>
                </w:rPr>
                <w:t xml:space="preserve">Consent of Ernst &amp; Young LLP.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23.3**</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d810125dex51.htm">
              <w:r>
                <w:rPr>
                  <w:rStyle w:val="InternetLink"/>
                </w:rPr>
                <w:t xml:space="preserve">Consent of Kirkland &amp; Ellis LLP (included in their opinion filed as Exhibit 5.1).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 </w:t>
            </w:r>
            <w:r>
              <w:rPr/>
              <w:t>24.1**</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ii810125_sig">
              <w:r>
                <w:rPr>
                  <w:rStyle w:val="InternetLink"/>
                </w:rPr>
                <w:t xml:space="preserve">Powers of Attorney (included on signature page). </w:t>
              </w:r>
            </w:hyperlink>
          </w:p>
        </w:tc>
      </w:tr>
      <w:tr>
        <w:trPr>
          <w:trHeight w:val="120" w:hRule="atLeast"/>
        </w:trPr>
        <w:tc>
          <w:tcPr>
            <w:tcW w:w="1212" w:type="dxa"/>
            <w:tcBorders/>
            <w:vAlign w:val="center"/>
          </w:tcPr>
          <w:p>
            <w:pPr>
              <w:pStyle w:val="TableContents"/>
              <w:bidi w:val="0"/>
              <w:spacing w:before="0" w:after="283"/>
              <w:jc w:val="left"/>
              <w:rPr>
                <w:sz w:val="4"/>
                <w:szCs w:val="4"/>
              </w:rPr>
            </w:pPr>
            <w:r>
              <w:rPr>
                <w:sz w:val="4"/>
                <w:szCs w:val="4"/>
              </w:rPr>
            </w:r>
          </w:p>
        </w:tc>
        <w:tc>
          <w:tcPr>
            <w:tcW w:w="8993" w:type="dxa"/>
            <w:gridSpan w:val="2"/>
            <w:tcBorders/>
            <w:vAlign w:val="center"/>
          </w:tcPr>
          <w:p>
            <w:pPr>
              <w:pStyle w:val="TableContents"/>
              <w:bidi w:val="0"/>
              <w:spacing w:before="0" w:after="283"/>
              <w:jc w:val="left"/>
              <w:rPr>
                <w:sz w:val="4"/>
                <w:szCs w:val="4"/>
              </w:rPr>
            </w:pPr>
            <w:r>
              <w:rPr>
                <w:sz w:val="4"/>
                <w:szCs w:val="4"/>
              </w:rPr>
            </w:r>
          </w:p>
        </w:tc>
      </w:tr>
      <w:tr>
        <w:trPr/>
        <w:tc>
          <w:tcPr>
            <w:tcW w:w="1212" w:type="dxa"/>
            <w:tcBorders/>
          </w:tcPr>
          <w:p>
            <w:pPr>
              <w:pStyle w:val="TableContents"/>
              <w:bidi w:val="0"/>
              <w:spacing w:before="0" w:after="283"/>
              <w:jc w:val="left"/>
              <w:rPr/>
            </w:pPr>
            <w:r>
              <w:rPr/>
              <w:t>107**</w:t>
            </w:r>
          </w:p>
        </w:tc>
        <w:tc>
          <w:tcPr>
            <w:tcW w:w="732" w:type="dxa"/>
            <w:tcBorders/>
            <w:vAlign w:val="bottom"/>
          </w:tcPr>
          <w:p>
            <w:pPr>
              <w:pStyle w:val="TableContents"/>
              <w:bidi w:val="0"/>
              <w:spacing w:before="0" w:after="283"/>
              <w:jc w:val="left"/>
              <w:rPr/>
            </w:pPr>
            <w:r>
              <w:rPr/>
              <w:t>  </w:t>
            </w:r>
          </w:p>
        </w:tc>
        <w:tc>
          <w:tcPr>
            <w:tcW w:w="8261" w:type="dxa"/>
            <w:tcBorders/>
          </w:tcPr>
          <w:p>
            <w:pPr>
              <w:pStyle w:val="TableContents"/>
              <w:bidi w:val="0"/>
              <w:spacing w:before="0" w:after="283"/>
              <w:jc w:val="left"/>
              <w:rPr/>
            </w:pPr>
            <w:hyperlink w:anchor="d810125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be filed, if necessary, as an exhibit to a post-effective amendment to this registration statement or as an exhibit to a Current Report on Form 8-K and incorporated by reference herein.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tbl>
      <w:tblPr>
        <w:tblW w:w="5000" w:type="pct"/>
        <w:jc w:val="left"/>
        <w:tblInd w:w="0" w:type="dxa"/>
        <w:tblLayout w:type="fixed"/>
        <w:tblCellMar>
          <w:top w:w="0" w:type="dxa"/>
          <w:left w:w="0" w:type="dxa"/>
          <w:bottom w:w="0" w:type="dxa"/>
          <w:right w:w="0" w:type="dxa"/>
        </w:tblCellMar>
      </w:tblPr>
      <w:tblGrid>
        <w:gridCol w:w="404"/>
        <w:gridCol w:w="9801"/>
      </w:tblGrid>
      <w:tr>
        <w:trPr/>
        <w:tc>
          <w:tcPr>
            <w:tcW w:w="404" w:type="dxa"/>
            <w:tcBorders/>
          </w:tcPr>
          <w:p>
            <w:pPr>
              <w:pStyle w:val="TableContents"/>
              <w:bidi w:val="0"/>
              <w:spacing w:before="0" w:after="283"/>
              <w:jc w:val="left"/>
              <w:rPr/>
            </w:pPr>
            <w:r>
              <w:rPr/>
              <w:t></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of the schedules and exhibits to the agreement have been omitted pursuant to Item 601(a)(5) of Regulation S-K. A copy of any omitted schedule or exhibit will be furnished to the Securities and Exchange Commission upon request.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17. Undertakings. </w:t>
      </w:r>
    </w:p>
    <w:p>
      <w:pPr>
        <w:pStyle w:val="TextBody"/>
        <w:bidi w:val="0"/>
        <w:spacing w:before="120" w:after="0"/>
        <w:jc w:val="left"/>
        <w:rPr>
          <w:rFonts w:ascii="Times New Roman" w:hAnsi="Times New Roman"/>
          <w:sz w:val="20"/>
        </w:rPr>
      </w:pPr>
      <w:r>
        <w:rPr>
          <w:rFonts w:ascii="Times New Roman" w:hAnsi="Times New Roman"/>
          <w:sz w:val="20"/>
        </w:rPr>
        <w:t xml:space="preserve">The undersigned registrant hereby undertakes: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“Calculation of Registration Fee” table in the effective registration statement;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this registration statement or any material change to such information in this registration statement; </w:t>
            </w:r>
          </w:p>
        </w:tc>
      </w:tr>
    </w:tbl>
    <w:p>
      <w:pPr>
        <w:pStyle w:val="TextBody"/>
        <w:bidi w:val="0"/>
        <w:spacing w:before="24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(a)(i), (a)(ii) and (a)(iii) do not apply if the information required to be included in a post-effective amendment by those paragraphs is 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(d)</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r>
              <w:rPr>
                <w:rFonts w:ascii="Times New Roman" w:hAnsi="Times New Roman"/>
                <w:i/>
                <w:sz w:val="20"/>
              </w:rPr>
              <w:t xml:space="preserve">provided, however, </w:t>
            </w:r>
            <w:r>
              <w:rPr>
                <w:rFonts w:ascii="Times New Roman" w:hAnsi="Times New Roman"/>
                <w:sz w:val="20"/>
              </w:rPr>
              <w:t xml:space="preserve">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(e)</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such undersigned registrant pursuant to this registration statement, regardless of the underwriting method used to sell the securities to the purchaser, if the securities are offered or sold to such purchaser by means of any of the following communications, such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such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such undersigned registrant or used or referred to by such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(iii)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such undersigned registrant or its securities provided by or on behalf of such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1"/>
        <w:gridCol w:w="9288"/>
      </w:tblGrid>
      <w:tr>
        <w:trPr/>
        <w:tc>
          <w:tcPr>
            <w:tcW w:w="406"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such undersigned registrant to the purchaser.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ii810125_sig"/>
      <w:bookmarkEnd w:id="16"/>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the requirements for filing on Form S-3 and has duly caused this registration statement to be signed on its behalf by the undersigned, thereunto duly authorized, in the City of Covington, State of Louisiana, on September 15,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19"/>
        <w:gridCol w:w="60"/>
        <w:gridCol w:w="3403"/>
      </w:tblGrid>
      <w:tr>
        <w:trPr/>
        <w:tc>
          <w:tcPr>
            <w:tcW w:w="61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0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Hornbeck Offshore Services, Inc.</w:t>
            </w:r>
          </w:p>
        </w:tc>
      </w:tr>
      <w:tr>
        <w:trPr>
          <w:trHeight w:val="240" w:hRule="atLeast"/>
        </w:trPr>
        <w:tc>
          <w:tcPr>
            <w:tcW w:w="619" w:type="dxa"/>
            <w:tcBorders/>
            <w:vAlign w:val="center"/>
          </w:tcPr>
          <w:p>
            <w:pPr>
              <w:pStyle w:val="TableContents"/>
              <w:bidi w:val="0"/>
              <w:spacing w:before="0" w:after="283"/>
              <w:jc w:val="left"/>
              <w:rPr>
                <w:sz w:val="4"/>
                <w:szCs w:val="4"/>
              </w:rPr>
            </w:pPr>
            <w:r>
              <w:rPr>
                <w:sz w:val="4"/>
                <w:szCs w:val="4"/>
              </w:rPr>
            </w:r>
          </w:p>
        </w:tc>
        <w:tc>
          <w:tcPr>
            <w:tcW w:w="3463" w:type="dxa"/>
            <w:gridSpan w:val="2"/>
            <w:tcBorders/>
            <w:vAlign w:val="center"/>
          </w:tcPr>
          <w:p>
            <w:pPr>
              <w:pStyle w:val="TableContents"/>
              <w:bidi w:val="0"/>
              <w:spacing w:before="0" w:after="283"/>
              <w:jc w:val="left"/>
              <w:rPr>
                <w:sz w:val="4"/>
                <w:szCs w:val="4"/>
              </w:rPr>
            </w:pPr>
            <w:r>
              <w:rPr>
                <w:sz w:val="4"/>
                <w:szCs w:val="4"/>
              </w:rPr>
            </w:r>
          </w:p>
        </w:tc>
      </w:tr>
      <w:tr>
        <w:trPr/>
        <w:tc>
          <w:tcPr>
            <w:tcW w:w="61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403" w:type="dxa"/>
            <w:tcBorders>
              <w:bottom w:val="single" w:sz="2" w:space="0" w:color="000000"/>
            </w:tcBorders>
            <w:tcMar>
              <w:bottom w:w="28" w:type="dxa"/>
            </w:tcMar>
          </w:tcPr>
          <w:p>
            <w:pPr>
              <w:pStyle w:val="TableContents"/>
              <w:bidi w:val="0"/>
              <w:spacing w:before="0" w:after="283"/>
              <w:jc w:val="left"/>
              <w:rPr/>
            </w:pPr>
            <w:r>
              <w:rPr/>
              <w:t>/s/ Todd M. Hornbeck</w:t>
            </w:r>
          </w:p>
        </w:tc>
      </w:tr>
      <w:tr>
        <w:trPr/>
        <w:tc>
          <w:tcPr>
            <w:tcW w:w="6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Name:</w:t>
            </w:r>
          </w:p>
        </w:tc>
        <w:tc>
          <w:tcPr>
            <w:tcW w:w="60"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Todd M. Hornbeck</w:t>
            </w:r>
          </w:p>
        </w:tc>
      </w:tr>
      <w:tr>
        <w:trPr/>
        <w:tc>
          <w:tcPr>
            <w:tcW w:w="61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Title:</w:t>
            </w:r>
          </w:p>
        </w:tc>
        <w:tc>
          <w:tcPr>
            <w:tcW w:w="60" w:type="dxa"/>
            <w:tcBorders/>
            <w:vAlign w:val="bottom"/>
          </w:tcPr>
          <w:p>
            <w:pPr>
              <w:pStyle w:val="TableContents"/>
              <w:bidi w:val="0"/>
              <w:spacing w:before="0" w:after="283"/>
              <w:jc w:val="left"/>
              <w:rPr/>
            </w:pPr>
            <w:r>
              <w:rPr/>
              <w:t> </w:t>
            </w:r>
          </w:p>
        </w:tc>
        <w:tc>
          <w:tcPr>
            <w:tcW w:w="340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hereby constitutes and appoints Todd M. Hornbeck and R. Potter Adams as his or her true and lawful attorneys-in-fact and agents, with full power of substitution and resubstitution for him or her in any and all capacities, to sign any or all amendments or post-effective amendments to this Registration Statement, or any Registration Statement for the same offering that is to be effective upon filing pursuant to Rule 462(b) under the Securities Act, and to file the same, with exhibits hereto and other documents in connection therewith or in connection with the registration of the securities under the Securities Act, with the SEC, granting unto such attorneys-in-fact and agents full power and authority to do and perform each and every act and thing requisite and necessary in connection with such matters and hereby ratifying and confirming all that such attorneys-in-fact and agents or any of them or their substitutes may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this registration statement has been signed by the following persons in the capacities indicated below as of September 15,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686"/>
        <w:gridCol w:w="208"/>
        <w:gridCol w:w="5311"/>
      </w:tblGrid>
      <w:tr>
        <w:trPr/>
        <w:tc>
          <w:tcPr>
            <w:tcW w:w="4686" w:type="dxa"/>
            <w:tcBorders/>
            <w:vAlign w:val="center"/>
          </w:tcPr>
          <w:p>
            <w:pPr>
              <w:pStyle w:val="TableContents"/>
              <w:bidi w:val="0"/>
              <w:spacing w:before="0" w:after="283"/>
              <w:jc w:val="left"/>
              <w:rPr>
                <w:sz w:val="4"/>
                <w:szCs w:val="4"/>
              </w:rPr>
            </w:pPr>
            <w:r>
              <w:rPr>
                <w:sz w:val="4"/>
                <w:szCs w:val="4"/>
              </w:rPr>
            </w:r>
          </w:p>
        </w:tc>
        <w:tc>
          <w:tcPr>
            <w:tcW w:w="208" w:type="dxa"/>
            <w:tcBorders/>
            <w:vAlign w:val="bottom"/>
          </w:tcPr>
          <w:p>
            <w:pPr>
              <w:pStyle w:val="TableContents"/>
              <w:bidi w:val="0"/>
              <w:spacing w:before="0" w:after="283"/>
              <w:jc w:val="left"/>
              <w:rPr>
                <w:sz w:val="4"/>
                <w:szCs w:val="4"/>
              </w:rPr>
            </w:pPr>
            <w:r>
              <w:rPr>
                <w:sz w:val="4"/>
                <w:szCs w:val="4"/>
              </w:rPr>
            </w:r>
          </w:p>
        </w:tc>
        <w:tc>
          <w:tcPr>
            <w:tcW w:w="5311"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8" w:type="dxa"/>
            <w:tcBorders/>
            <w:vAlign w:val="bottom"/>
          </w:tcPr>
          <w:p>
            <w:pPr>
              <w:pStyle w:val="TableContents"/>
              <w:bidi w:val="0"/>
              <w:spacing w:before="0" w:after="283"/>
              <w:jc w:val="left"/>
              <w:rPr/>
            </w:pPr>
            <w:r>
              <w:rPr/>
              <w:t>  </w:t>
            </w:r>
          </w:p>
        </w:tc>
        <w:tc>
          <w:tcPr>
            <w:tcW w:w="531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Todd M. Hornbeck</w:t>
            </w:r>
          </w:p>
          <w:p>
            <w:pPr>
              <w:pStyle w:val="TableContents"/>
              <w:bidi w:val="0"/>
              <w:spacing w:before="0" w:after="20"/>
              <w:jc w:val="left"/>
              <w:rPr>
                <w:rFonts w:ascii="Times New Roman" w:hAnsi="Times New Roman"/>
                <w:sz w:val="20"/>
              </w:rPr>
            </w:pPr>
            <w:r>
              <w:rPr>
                <w:rFonts w:ascii="Times New Roman" w:hAnsi="Times New Roman"/>
                <w:sz w:val="20"/>
              </w:rPr>
              <w:t>Todd M. Hornbeck</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President, Chief Executive Officer and Director (Principal Executive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 Potter Adams</w:t>
            </w:r>
          </w:p>
          <w:p>
            <w:pPr>
              <w:pStyle w:val="TableContents"/>
              <w:bidi w:val="0"/>
              <w:spacing w:before="0" w:after="20"/>
              <w:jc w:val="left"/>
              <w:rPr>
                <w:rFonts w:ascii="Times New Roman" w:hAnsi="Times New Roman"/>
                <w:sz w:val="20"/>
              </w:rPr>
            </w:pPr>
            <w:r>
              <w:rPr>
                <w:rFonts w:ascii="Times New Roman" w:hAnsi="Times New Roman"/>
                <w:sz w:val="20"/>
              </w:rPr>
              <w:t>R. Potter Adams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Executive Vice President and Chief Financial Officer (Principal Financial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Brian M. Cook</w:t>
            </w:r>
          </w:p>
          <w:p>
            <w:pPr>
              <w:pStyle w:val="TableContents"/>
              <w:bidi w:val="0"/>
              <w:spacing w:before="0" w:after="20"/>
              <w:jc w:val="left"/>
              <w:rPr>
                <w:rFonts w:ascii="Times New Roman" w:hAnsi="Times New Roman"/>
                <w:sz w:val="20"/>
              </w:rPr>
            </w:pPr>
            <w:r>
              <w:rPr>
                <w:rFonts w:ascii="Times New Roman" w:hAnsi="Times New Roman"/>
                <w:sz w:val="20"/>
              </w:rPr>
              <w:t>Brian M. Cook</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Executive Vice President and Chief Accounting Officer (Principal Accounting Officer)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William L. Transier</w:t>
            </w:r>
          </w:p>
          <w:p>
            <w:pPr>
              <w:pStyle w:val="TableContents"/>
              <w:bidi w:val="0"/>
              <w:spacing w:before="0" w:after="20"/>
              <w:jc w:val="left"/>
              <w:rPr>
                <w:rFonts w:ascii="Times New Roman" w:hAnsi="Times New Roman"/>
                <w:sz w:val="20"/>
              </w:rPr>
            </w:pPr>
            <w:r>
              <w:rPr>
                <w:rFonts w:ascii="Times New Roman" w:hAnsi="Times New Roman"/>
                <w:sz w:val="20"/>
              </w:rPr>
              <w:t>William L. Transier</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Chairman of the Board and 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Aaron M. Rosen</w:t>
            </w:r>
          </w:p>
          <w:p>
            <w:pPr>
              <w:pStyle w:val="TableContents"/>
              <w:bidi w:val="0"/>
              <w:spacing w:before="0" w:after="20"/>
              <w:jc w:val="left"/>
              <w:rPr>
                <w:rFonts w:ascii="Times New Roman" w:hAnsi="Times New Roman"/>
                <w:sz w:val="20"/>
              </w:rPr>
            </w:pPr>
            <w:r>
              <w:rPr>
                <w:rFonts w:ascii="Times New Roman" w:hAnsi="Times New Roman"/>
                <w:sz w:val="20"/>
              </w:rPr>
              <w:t>Aaron M. Rosen</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Bobby Jindal</w:t>
            </w:r>
          </w:p>
          <w:p>
            <w:pPr>
              <w:pStyle w:val="TableContents"/>
              <w:bidi w:val="0"/>
              <w:spacing w:before="0" w:after="20"/>
              <w:jc w:val="left"/>
              <w:rPr>
                <w:rFonts w:ascii="Times New Roman" w:hAnsi="Times New Roman"/>
                <w:sz w:val="20"/>
              </w:rPr>
            </w:pPr>
            <w:r>
              <w:rPr>
                <w:rFonts w:ascii="Times New Roman" w:hAnsi="Times New Roman"/>
                <w:sz w:val="20"/>
              </w:rPr>
              <w:t>Bobby Jindal</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Kevin O. Meyers</w:t>
            </w:r>
          </w:p>
          <w:p>
            <w:pPr>
              <w:pStyle w:val="TableContents"/>
              <w:bidi w:val="0"/>
              <w:spacing w:before="0" w:after="20"/>
              <w:jc w:val="left"/>
              <w:rPr>
                <w:rFonts w:ascii="Times New Roman" w:hAnsi="Times New Roman"/>
                <w:sz w:val="20"/>
              </w:rPr>
            </w:pPr>
            <w:r>
              <w:rPr>
                <w:rFonts w:ascii="Times New Roman" w:hAnsi="Times New Roman"/>
                <w:sz w:val="20"/>
              </w:rPr>
              <w:t>Kevin O. Meyers</w:t>
            </w:r>
          </w:p>
        </w:tc>
        <w:tc>
          <w:tcPr>
            <w:tcW w:w="208" w:type="dxa"/>
            <w:tcBorders/>
            <w:vAlign w:val="bottom"/>
          </w:tcPr>
          <w:p>
            <w:pPr>
              <w:pStyle w:val="TableContents"/>
              <w:bidi w:val="0"/>
              <w:spacing w:before="0" w:after="283"/>
              <w:jc w:val="left"/>
              <w:rPr/>
            </w:pPr>
            <w:r>
              <w:rPr/>
              <w:t>  </w:t>
            </w:r>
          </w:p>
        </w:tc>
        <w:tc>
          <w:tcPr>
            <w:tcW w:w="5311"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686"/>
        <w:gridCol w:w="207"/>
        <w:gridCol w:w="5312"/>
      </w:tblGrid>
      <w:tr>
        <w:trPr/>
        <w:tc>
          <w:tcPr>
            <w:tcW w:w="4686"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5312" w:type="dxa"/>
            <w:tcBorders/>
            <w:vAlign w:val="center"/>
          </w:tcPr>
          <w:p>
            <w:pPr>
              <w:pStyle w:val="TableContents"/>
              <w:bidi w:val="0"/>
              <w:spacing w:before="0" w:after="283"/>
              <w:jc w:val="left"/>
              <w:rPr>
                <w:sz w:val="4"/>
                <w:szCs w:val="4"/>
              </w:rPr>
            </w:pPr>
            <w:r>
              <w:rPr>
                <w:sz w:val="4"/>
                <w:szCs w:val="4"/>
              </w:rPr>
            </w:r>
          </w:p>
        </w:tc>
      </w:tr>
      <w:tr>
        <w:trPr/>
        <w:tc>
          <w:tcPr>
            <w:tcW w:w="468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207" w:type="dxa"/>
            <w:tcBorders/>
            <w:vAlign w:val="bottom"/>
          </w:tcPr>
          <w:p>
            <w:pPr>
              <w:pStyle w:val="TableContents"/>
              <w:bidi w:val="0"/>
              <w:spacing w:before="0" w:after="283"/>
              <w:jc w:val="left"/>
              <w:rPr/>
            </w:pPr>
            <w:r>
              <w:rPr/>
              <w:t>  </w:t>
            </w:r>
          </w:p>
        </w:tc>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John V. Lovoi</w:t>
            </w:r>
          </w:p>
          <w:p>
            <w:pPr>
              <w:pStyle w:val="TableContents"/>
              <w:bidi w:val="0"/>
              <w:spacing w:before="0" w:after="20"/>
              <w:jc w:val="left"/>
              <w:rPr>
                <w:rFonts w:ascii="Times New Roman" w:hAnsi="Times New Roman"/>
                <w:sz w:val="20"/>
              </w:rPr>
            </w:pPr>
            <w:r>
              <w:rPr>
                <w:rFonts w:ascii="Times New Roman" w:hAnsi="Times New Roman"/>
                <w:sz w:val="20"/>
              </w:rPr>
              <w:t>John V. Lovoi</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r>
        <w:trPr>
          <w:trHeight w:val="240" w:hRule="atLeast"/>
        </w:trPr>
        <w:tc>
          <w:tcPr>
            <w:tcW w:w="4686" w:type="dxa"/>
            <w:tcBorders/>
            <w:vAlign w:val="center"/>
          </w:tcPr>
          <w:p>
            <w:pPr>
              <w:pStyle w:val="TableContents"/>
              <w:bidi w:val="0"/>
              <w:spacing w:before="0" w:after="283"/>
              <w:jc w:val="left"/>
              <w:rPr>
                <w:sz w:val="4"/>
                <w:szCs w:val="4"/>
              </w:rPr>
            </w:pPr>
            <w:r>
              <w:rPr>
                <w:sz w:val="4"/>
                <w:szCs w:val="4"/>
              </w:rPr>
            </w:r>
          </w:p>
        </w:tc>
        <w:tc>
          <w:tcPr>
            <w:tcW w:w="5519" w:type="dxa"/>
            <w:gridSpan w:val="2"/>
            <w:tcBorders/>
            <w:vAlign w:val="center"/>
          </w:tcPr>
          <w:p>
            <w:pPr>
              <w:pStyle w:val="TableContents"/>
              <w:bidi w:val="0"/>
              <w:spacing w:before="0" w:after="283"/>
              <w:jc w:val="left"/>
              <w:rPr>
                <w:sz w:val="4"/>
                <w:szCs w:val="4"/>
              </w:rPr>
            </w:pPr>
            <w:r>
              <w:rPr>
                <w:sz w:val="4"/>
                <w:szCs w:val="4"/>
              </w:rPr>
            </w:r>
          </w:p>
        </w:tc>
      </w:tr>
      <w:tr>
        <w:trPr/>
        <w:tc>
          <w:tcPr>
            <w:tcW w:w="4686"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Benjamin M. Fink</w:t>
            </w:r>
          </w:p>
          <w:p>
            <w:pPr>
              <w:pStyle w:val="TableContents"/>
              <w:bidi w:val="0"/>
              <w:spacing w:before="0" w:after="20"/>
              <w:jc w:val="left"/>
              <w:rPr>
                <w:rFonts w:ascii="Times New Roman" w:hAnsi="Times New Roman"/>
                <w:sz w:val="20"/>
              </w:rPr>
            </w:pPr>
            <w:r>
              <w:rPr>
                <w:rFonts w:ascii="Times New Roman" w:hAnsi="Times New Roman"/>
                <w:sz w:val="20"/>
              </w:rPr>
              <w:t>Benjamin M. Fink</w:t>
            </w:r>
          </w:p>
        </w:tc>
        <w:tc>
          <w:tcPr>
            <w:tcW w:w="207" w:type="dxa"/>
            <w:tcBorders/>
            <w:vAlign w:val="bottom"/>
          </w:tcPr>
          <w:p>
            <w:pPr>
              <w:pStyle w:val="TableContents"/>
              <w:bidi w:val="0"/>
              <w:spacing w:before="0" w:after="283"/>
              <w:jc w:val="left"/>
              <w:rPr/>
            </w:pPr>
            <w:r>
              <w:rPr/>
              <w:t>  </w:t>
            </w:r>
          </w:p>
        </w:tc>
        <w:tc>
          <w:tcPr>
            <w:tcW w:w="5312" w:type="dxa"/>
            <w:tcBorders/>
          </w:tcPr>
          <w:p>
            <w:pPr>
              <w:pStyle w:val="TableContents"/>
              <w:bidi w:val="0"/>
              <w:spacing w:before="0" w:after="283"/>
              <w:jc w:val="center"/>
              <w:rPr/>
            </w:pPr>
            <w:r>
              <w:rPr/>
              <w:t>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II-7 </w:t>
      </w:r>
    </w:p>
    <w:p>
      <w:pPr>
        <w:pStyle w:val="TextBody"/>
        <w:bidi w:val="0"/>
        <w:spacing w:before="0" w:after="0"/>
        <w:jc w:val="right"/>
        <w:rPr>
          <w:rFonts w:ascii="Times New Roman" w:hAnsi="Times New Roman"/>
          <w:b/>
          <w:sz w:val="20"/>
        </w:rPr>
      </w:pPr>
      <w:bookmarkStart w:id="17" w:name="d810125dex51.htm"/>
      <w:bookmarkStart w:id="18" w:name="ksd810125dex51"/>
      <w:bookmarkEnd w:id="17"/>
      <w:bookmarkEnd w:id="18"/>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362200" cy="190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2362200" cy="19050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3"/>
        <w:gridCol w:w="108"/>
        <w:gridCol w:w="3671"/>
        <w:gridCol w:w="123"/>
        <w:gridCol w:w="3260"/>
      </w:tblGrid>
      <w:tr>
        <w:trPr/>
        <w:tc>
          <w:tcPr>
            <w:tcW w:w="3043"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center"/>
              <w:rPr/>
            </w:pPr>
            <w:r>
              <w:rPr/>
              <w:t>609 Main Street</w:t>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center"/>
              <w:rPr/>
            </w:pPr>
            <w:r>
              <w:rPr/>
              <w:t>Houston, TX 77002</w:t>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center"/>
              <w:rPr/>
            </w:pPr>
            <w:r>
              <w:rPr/>
              <w:t>United States</w:t>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sz w:val="4"/>
                <w:szCs w:val="4"/>
              </w:rPr>
            </w:pPr>
            <w:r>
              <w:rPr>
                <w:sz w:val="4"/>
                <w:szCs w:val="4"/>
              </w:rPr>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Facsimile:</w:t>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0"/>
              <w:jc w:val="center"/>
              <w:rPr>
                <w:rFonts w:ascii="Times New Roman" w:hAnsi="Times New Roman"/>
                <w:sz w:val="20"/>
              </w:rPr>
            </w:pPr>
            <w:r>
              <w:rPr>
                <w:rFonts w:ascii="Times New Roman" w:hAnsi="Times New Roman"/>
                <w:sz w:val="20"/>
              </w:rPr>
              <w:t>+1 713 836 3600</w:t>
            </w:r>
          </w:p>
          <w:p>
            <w:pPr>
              <w:pStyle w:val="TableContents"/>
              <w:bidi w:val="0"/>
              <w:spacing w:before="0" w:after="20"/>
              <w:jc w:val="left"/>
              <w:rPr/>
            </w:pPr>
            <w:r>
              <w:rPr/>
              <w:t> </w:t>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center"/>
              <w:rPr/>
            </w:pPr>
            <w:r>
              <w:rPr/>
              <w:t>+1 713 836 3601</w:t>
            </w:r>
          </w:p>
        </w:tc>
      </w:tr>
      <w:tr>
        <w:trPr/>
        <w:tc>
          <w:tcPr>
            <w:tcW w:w="3043"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3671" w:type="dxa"/>
            <w:tcBorders/>
          </w:tcPr>
          <w:p>
            <w:pPr>
              <w:pStyle w:val="TableContents"/>
              <w:bidi w:val="0"/>
              <w:spacing w:before="0" w:after="283"/>
              <w:jc w:val="center"/>
              <w:rPr/>
            </w:pPr>
            <w:r>
              <w:rPr/>
              <w:t>www.kirkland.com</w:t>
            </w:r>
          </w:p>
        </w:tc>
        <w:tc>
          <w:tcPr>
            <w:tcW w:w="123" w:type="dxa"/>
            <w:tcBorders/>
            <w:vAlign w:val="bottom"/>
          </w:tcPr>
          <w:p>
            <w:pPr>
              <w:pStyle w:val="TableContents"/>
              <w:bidi w:val="0"/>
              <w:spacing w:before="0" w:after="283"/>
              <w:jc w:val="left"/>
              <w:rPr/>
            </w:pPr>
            <w:r>
              <w:rPr/>
              <w:t>  </w:t>
            </w:r>
          </w:p>
        </w:tc>
        <w:tc>
          <w:tcPr>
            <w:tcW w:w="3260"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sz w:val="20"/>
        </w:rPr>
      </w:pPr>
      <w:r>
        <w:rPr>
          <w:rFonts w:ascii="Times New Roman" w:hAnsi="Times New Roman"/>
          <w:sz w:val="20"/>
        </w:rPr>
        <w:t xml:space="preserve">September 15, 2026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103 Northpark Boulevard, Suite 300 </w:t>
      </w:r>
    </w:p>
    <w:p>
      <w:pPr>
        <w:pStyle w:val="TextBody"/>
        <w:bidi w:val="0"/>
        <w:spacing w:before="0" w:after="0"/>
        <w:jc w:val="left"/>
        <w:rPr>
          <w:rFonts w:ascii="Times New Roman" w:hAnsi="Times New Roman"/>
          <w:sz w:val="20"/>
        </w:rPr>
      </w:pPr>
      <w:r>
        <w:rPr>
          <w:rFonts w:ascii="Times New Roman" w:hAnsi="Times New Roman"/>
          <w:sz w:val="20"/>
        </w:rPr>
        <w:t xml:space="preserve">Covington, Louisiana 70433 </w:t>
      </w:r>
    </w:p>
    <w:p>
      <w:pPr>
        <w:pStyle w:val="TextBody"/>
        <w:bidi w:val="0"/>
        <w:spacing w:before="240" w:after="0"/>
        <w:jc w:val="left"/>
        <w:rPr>
          <w:rFonts w:ascii="Times New Roman" w:hAnsi="Times New Roman"/>
          <w:sz w:val="20"/>
        </w:rPr>
      </w:pPr>
      <w:r>
        <w:rPr>
          <w:rFonts w:ascii="Times New Roman" w:hAnsi="Times New Roman"/>
          <w:sz w:val="20"/>
        </w:rPr>
        <w:t xml:space="preserve">Re:  Registration Statement on Form S-3ASR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are issuing this opinion in our capacity as special legal counsel to Hornbeck Offshore Services, Inc., a Delaware corporation (the “</w:t>
      </w:r>
      <w:r>
        <w:rPr>
          <w:rFonts w:ascii="Times New Roman" w:hAnsi="Times New Roman"/>
          <w:sz w:val="20"/>
          <w:u w:val="single"/>
        </w:rPr>
        <w:t>Company</w:t>
      </w:r>
      <w:r>
        <w:rPr>
          <w:rFonts w:ascii="Times New Roman" w:hAnsi="Times New Roman"/>
          <w:sz w:val="20"/>
        </w:rPr>
        <w:t>”), in connection with the proposed registration by the Company under the Securities Act of 1933, as amended (the “</w:t>
      </w:r>
      <w:r>
        <w:rPr>
          <w:rFonts w:ascii="Times New Roman" w:hAnsi="Times New Roman"/>
          <w:sz w:val="20"/>
          <w:u w:val="single"/>
        </w:rPr>
        <w:t>Securities Act</w:t>
      </w:r>
      <w:r>
        <w:rPr>
          <w:rFonts w:ascii="Times New Roman" w:hAnsi="Times New Roman"/>
          <w:sz w:val="20"/>
        </w:rPr>
        <w:t>”), on a Registration Statement on Form S-3ASR (such Registration Statement, as amended or supplemented, is hereinafter referred to as the “</w:t>
      </w:r>
      <w:r>
        <w:rPr>
          <w:rFonts w:ascii="Times New Roman" w:hAnsi="Times New Roman"/>
          <w:sz w:val="20"/>
          <w:u w:val="single"/>
        </w:rPr>
        <w:t>Registration Statement</w:t>
      </w:r>
      <w:r>
        <w:rPr>
          <w:rFonts w:ascii="Times New Roman" w:hAnsi="Times New Roman"/>
          <w:sz w:val="20"/>
        </w:rPr>
        <w:t>”), filed with the Securities and Exchange Commission (the “</w:t>
      </w:r>
      <w:r>
        <w:rPr>
          <w:rFonts w:ascii="Times New Roman" w:hAnsi="Times New Roman"/>
          <w:sz w:val="20"/>
          <w:u w:val="single"/>
        </w:rPr>
        <w:t>Commission</w:t>
      </w:r>
      <w:r>
        <w:rPr>
          <w:rFonts w:ascii="Times New Roman" w:hAnsi="Times New Roman"/>
          <w:sz w:val="20"/>
        </w:rPr>
        <w:t>”) on or about September 15, 2026, for: (i) the offer and sale from time to time, pursuant to Rule 415 under the Securities Act, of an unspecified amount of the following securities: (A) common stock, par value $0.00001 per share, of the Company (the “</w:t>
      </w:r>
      <w:r>
        <w:rPr>
          <w:rFonts w:ascii="Times New Roman" w:hAnsi="Times New Roman"/>
          <w:sz w:val="20"/>
          <w:u w:val="single"/>
        </w:rPr>
        <w:t>Common Stock</w:t>
      </w:r>
      <w:r>
        <w:rPr>
          <w:rFonts w:ascii="Times New Roman" w:hAnsi="Times New Roman"/>
          <w:sz w:val="20"/>
        </w:rPr>
        <w:t>”), (B) preferred stock, par value $0.00001 per share, of the Company (the “</w:t>
      </w:r>
      <w:r>
        <w:rPr>
          <w:rFonts w:ascii="Times New Roman" w:hAnsi="Times New Roman"/>
          <w:sz w:val="20"/>
          <w:u w:val="single"/>
        </w:rPr>
        <w:t>Preferred Stock</w:t>
      </w:r>
      <w:r>
        <w:rPr>
          <w:rFonts w:ascii="Times New Roman" w:hAnsi="Times New Roman"/>
          <w:sz w:val="20"/>
        </w:rPr>
        <w:t>”), (C) warrants to purchase the Common Stock or Preferred Stock or any combination of those securities (the “</w:t>
      </w:r>
      <w:r>
        <w:rPr>
          <w:rFonts w:ascii="Times New Roman" w:hAnsi="Times New Roman"/>
          <w:sz w:val="20"/>
          <w:u w:val="single"/>
        </w:rPr>
        <w:t>Warrants</w:t>
      </w:r>
      <w:r>
        <w:rPr>
          <w:rFonts w:ascii="Times New Roman" w:hAnsi="Times New Roman"/>
          <w:sz w:val="20"/>
        </w:rPr>
        <w:t>”), and (D) units consisting of two or more securities of the Company (the “</w:t>
      </w:r>
      <w:r>
        <w:rPr>
          <w:rFonts w:ascii="Times New Roman" w:hAnsi="Times New Roman"/>
          <w:sz w:val="20"/>
          <w:u w:val="single"/>
        </w:rPr>
        <w:t>Units</w:t>
      </w:r>
      <w:r>
        <w:rPr>
          <w:rFonts w:ascii="Times New Roman" w:hAnsi="Times New Roman"/>
          <w:sz w:val="20"/>
        </w:rPr>
        <w:t>” and, collectively with the Common Stock, Preferred Stock and Warrants, the “</w:t>
      </w:r>
      <w:r>
        <w:rPr>
          <w:rFonts w:ascii="Times New Roman" w:hAnsi="Times New Roman"/>
          <w:sz w:val="20"/>
          <w:u w:val="single"/>
        </w:rPr>
        <w:t>Primary Securities</w:t>
      </w:r>
      <w:r>
        <w:rPr>
          <w:rFonts w:ascii="Times New Roman" w:hAnsi="Times New Roman"/>
          <w:sz w:val="20"/>
        </w:rPr>
        <w:t>”); and (ii) the offer and sale from time to time by the selling stockholders (as defined in the Registration Statement) of up to 154,998,859 shares of Common Stock, consisting, as of September 14, 2026, of (A) 55,487,170 outstanding shares of Common Stock held by the selling stockholders (the “</w:t>
      </w:r>
      <w:r>
        <w:rPr>
          <w:rFonts w:ascii="Times New Roman" w:hAnsi="Times New Roman"/>
          <w:sz w:val="20"/>
          <w:u w:val="single"/>
        </w:rPr>
        <w:t>Secondary Common Stock</w:t>
      </w:r>
      <w:r>
        <w:rPr>
          <w:rFonts w:ascii="Times New Roman" w:hAnsi="Times New Roman"/>
          <w:sz w:val="20"/>
        </w:rPr>
        <w:t>”), and (B) 99,511,689 shares of Common Stock issuable upon the exercise of outstanding warrants (“</w:t>
      </w:r>
      <w:r>
        <w:rPr>
          <w:rFonts w:ascii="Times New Roman" w:hAnsi="Times New Roman"/>
          <w:sz w:val="20"/>
          <w:u w:val="single"/>
        </w:rPr>
        <w:t>Jones Act Warrants</w:t>
      </w:r>
      <w:r>
        <w:rPr>
          <w:rFonts w:ascii="Times New Roman" w:hAnsi="Times New Roman"/>
          <w:sz w:val="20"/>
        </w:rPr>
        <w:t>”) held by the selling stockholders pursuant to that certain Amended and Restated Jones Act Warrant Agreement, dated as of September 1, 2026 (“</w:t>
      </w:r>
      <w:r>
        <w:rPr>
          <w:rFonts w:ascii="Times New Roman" w:hAnsi="Times New Roman"/>
          <w:sz w:val="20"/>
          <w:u w:val="single"/>
        </w:rPr>
        <w:t>Jones Act Warrant Agreement</w:t>
      </w:r>
      <w:r>
        <w:rPr>
          <w:rFonts w:ascii="Times New Roman" w:hAnsi="Times New Roman"/>
          <w:sz w:val="20"/>
        </w:rPr>
        <w:t>”), by and among the Company, Hercules Sub LLC and Equiniti Trust Company, LLC (the “</w:t>
      </w:r>
      <w:r>
        <w:rPr>
          <w:rFonts w:ascii="Times New Roman" w:hAnsi="Times New Roman"/>
          <w:sz w:val="20"/>
          <w:u w:val="single"/>
        </w:rPr>
        <w:t>Jones Act Warrant Agent</w:t>
      </w:r>
      <w:r>
        <w:rPr>
          <w:rFonts w:ascii="Times New Roman" w:hAnsi="Times New Roman"/>
          <w:sz w:val="20"/>
        </w:rPr>
        <w:t>”), at an exercise price of $0.00001 per share (the “</w:t>
      </w:r>
      <w:r>
        <w:rPr>
          <w:rFonts w:ascii="Times New Roman" w:hAnsi="Times New Roman"/>
          <w:sz w:val="20"/>
          <w:u w:val="single"/>
        </w:rPr>
        <w:t>Secondary Warrant Shares</w:t>
      </w:r>
      <w:r>
        <w:rPr>
          <w:rFonts w:ascii="Times New Roman" w:hAnsi="Times New Roman"/>
          <w:sz w:val="20"/>
        </w:rPr>
        <w:t>” and, together with the Secondary Common Stock, the “</w:t>
      </w:r>
      <w:r>
        <w:rPr>
          <w:rFonts w:ascii="Times New Roman" w:hAnsi="Times New Roman"/>
          <w:sz w:val="20"/>
          <w:u w:val="single"/>
        </w:rPr>
        <w:t>Secondary Securities</w:t>
      </w:r>
      <w:r>
        <w:rPr>
          <w:rFonts w:ascii="Times New Roman" w:hAnsi="Times New Roman"/>
          <w:sz w:val="20"/>
        </w:rPr>
        <w:t>”). The Primary Securities may be issued by the Company either together or separately in connection with an offering or offerings from time to time pursuant to the Registration Statement and will be offered on terms set forth in the Registration Statement and in the prospectus contained in the Registration Statement (the “</w:t>
      </w:r>
      <w:r>
        <w:rPr>
          <w:rFonts w:ascii="Times New Roman" w:hAnsi="Times New Roman"/>
          <w:sz w:val="20"/>
          <w:u w:val="single"/>
        </w:rPr>
        <w:t>Prospectus</w:t>
      </w:r>
      <w:r>
        <w:rPr>
          <w:rFonts w:ascii="Times New Roman" w:hAnsi="Times New Roman"/>
          <w:sz w:val="20"/>
        </w:rPr>
        <w:t>”) and in amounts, at prices and on other terms to be determined by the Company at the time of offering and to be set forth in an amendment or amendments to the Registration Statement and the Prospectus and in one or more supplements to the Prospectus (each, a “</w:t>
      </w:r>
      <w:r>
        <w:rPr>
          <w:rFonts w:ascii="Times New Roman" w:hAnsi="Times New Roman"/>
          <w:sz w:val="20"/>
          <w:u w:val="single"/>
        </w:rPr>
        <w:t>Prospectus Supplement</w:t>
      </w:r>
      <w:r>
        <w:rPr>
          <w:rFonts w:ascii="Times New Roman" w:hAnsi="Times New Roman"/>
          <w:sz w:val="20"/>
        </w:rPr>
        <w:t>”). The Primary Securities together with the Secondary Securities are referred to herein as the “</w:t>
      </w:r>
      <w:r>
        <w:rPr>
          <w:rFonts w:ascii="Times New Roman" w:hAnsi="Times New Roman"/>
          <w:sz w:val="20"/>
          <w:u w:val="single"/>
        </w:rPr>
        <w:t>Securities</w:t>
      </w:r>
      <w:r>
        <w:rPr>
          <w:rFonts w:ascii="Times New Roman" w:hAnsi="Times New Roman"/>
          <w:sz w:val="20"/>
        </w:rPr>
        <w:t xml:space="preserve">.”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838325"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You have advised us that: (i) the Warrants will be issued under one or more warrant agreements (each, a “</w:t>
      </w:r>
      <w:r>
        <w:rPr>
          <w:rFonts w:ascii="Times New Roman" w:hAnsi="Times New Roman"/>
          <w:sz w:val="20"/>
          <w:u w:val="single"/>
        </w:rPr>
        <w:t>Warrant Agreement</w:t>
      </w:r>
      <w:r>
        <w:rPr>
          <w:rFonts w:ascii="Times New Roman" w:hAnsi="Times New Roman"/>
          <w:sz w:val="20"/>
        </w:rPr>
        <w:t>”), each to be between the Company and a financial institution identified therein as warrant agent (each, a “</w:t>
      </w:r>
      <w:r>
        <w:rPr>
          <w:rFonts w:ascii="Times New Roman" w:hAnsi="Times New Roman"/>
          <w:sz w:val="20"/>
          <w:u w:val="single"/>
        </w:rPr>
        <w:t>Warrant Agent</w:t>
      </w:r>
      <w:r>
        <w:rPr>
          <w:rFonts w:ascii="Times New Roman" w:hAnsi="Times New Roman"/>
          <w:sz w:val="20"/>
        </w:rPr>
        <w:t>”), and (ii) the Units will be issued under one or more unit agreements (each, a “</w:t>
      </w:r>
      <w:r>
        <w:rPr>
          <w:rFonts w:ascii="Times New Roman" w:hAnsi="Times New Roman"/>
          <w:sz w:val="20"/>
          <w:u w:val="single"/>
        </w:rPr>
        <w:t>Unit Agreement</w:t>
      </w:r>
      <w:r>
        <w:rPr>
          <w:rFonts w:ascii="Times New Roman" w:hAnsi="Times New Roman"/>
          <w:sz w:val="20"/>
        </w:rPr>
        <w:t>”). Each Warrant Agreement and Unit Agreement shall be referred to herein as a “</w:t>
      </w:r>
      <w:r>
        <w:rPr>
          <w:rFonts w:ascii="Times New Roman" w:hAnsi="Times New Roman"/>
          <w:sz w:val="20"/>
          <w:u w:val="single"/>
        </w:rPr>
        <w:t>Governing Document</w:t>
      </w:r>
      <w:r>
        <w:rPr>
          <w:rFonts w:ascii="Times New Roman" w:hAnsi="Times New Roman"/>
          <w:sz w:val="20"/>
        </w:rPr>
        <w:t>.” The Warrant Agent and any other counterparty to a Governing Document shall be referred to herein as a “</w:t>
      </w:r>
      <w:r>
        <w:rPr>
          <w:rFonts w:ascii="Times New Roman" w:hAnsi="Times New Roman"/>
          <w:sz w:val="20"/>
          <w:u w:val="single"/>
        </w:rPr>
        <w:t>Governing Document Counterparty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registration of the Securities, we have examined originals, or copies certified or otherwise identified to our satisfaction, of such documents, corporate records and other instruments as we have deemed necessary for the purposes of this opinion, including: (i) the organizational documents of the Company, (ii) minutes and records of the corporate proceedings of the Company, (iii) the Jones Act Warrants, (iv) the Jones Act Warrant Agreement and (v) the Registration Statement and the exhibits thereto.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opinion, we have assumed the authenticity of all documents submitted to us as originals, the conformity to the originals of all documents submitted to us as copies and the authenticity of the originals of all documents submitted to us as copies. We have also assumed the legal capacity of all natural persons, the genuineness of the signatures of persons signing all documents in connection with which this opinion is rendered, the authority of such persons signing on behalf of the parties thereto other than the Company and the due authorization, execution and delivery of all documents by the parties thereto other than the Company. As to any facts material to the opinions expressed herein which we have not independently established or verified, we have relied upon statements and representations of officers and other representatives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We have also assumed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Registration Statement and any amendment thereto (including post-effective amendments) will be effective and will comply with all applicable laws at the time the Securities are offered or issued as contemplated by the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Prospectus Supplement or Prospectus Supplements will have been prepared and filed with the Commission describing the Securities offered thereby and will comply with all applicable laws;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838325"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Securities will be issued and sold in compliance with applicable federal and state securities laws and in the manner stated in the Registration Statement and any appropriate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will be issued and sold in the form and containing the terms set forth in the Registration Statement, any appropriate Prospectus Supplement and, if applicable, the relevant Governing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(v)</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offered, as well as the terms of each applicable Governing Document, as executed and delivered, will not violate any law applicable to the Company or result in a default under or breach of any agreement or instrument binding upon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Company will have obtained any legally required consents, approvals, authorizations and other orders of the Commission and any other regulatory authorities necessary to issue and sell the Securities being offered and to execute and deliver the applicable Governing Document;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(vii)</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offered as well as the terms of each applicable Governing Document, as executed and delivered, comply with all requirements and restrictions, if any, applicable to the Company, whether imposed by any court or governmental or regulatory body having jurisdiction over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4"/>
        <w:gridCol w:w="420"/>
        <w:gridCol w:w="8871"/>
      </w:tblGrid>
      <w:tr>
        <w:trPr/>
        <w:tc>
          <w:tcPr>
            <w:tcW w:w="914" w:type="dxa"/>
            <w:tcBorders/>
            <w:vAlign w:val="center"/>
          </w:tcPr>
          <w:p>
            <w:pPr>
              <w:pStyle w:val="TableContents"/>
              <w:bidi w:val="0"/>
              <w:spacing w:before="0" w:after="283"/>
              <w:jc w:val="left"/>
              <w:rPr/>
            </w:pPr>
            <w:r>
              <w:rPr/>
              <w:t> </w:t>
            </w:r>
          </w:p>
        </w:tc>
        <w:tc>
          <w:tcPr>
            <w:tcW w:w="420" w:type="dxa"/>
            <w:tcBorders/>
          </w:tcPr>
          <w:p>
            <w:pPr>
              <w:pStyle w:val="TableContents"/>
              <w:bidi w:val="0"/>
              <w:spacing w:before="0" w:after="283"/>
              <w:jc w:val="left"/>
              <w:rPr/>
            </w:pPr>
            <w:r>
              <w:rPr/>
              <w:t>(viii)</w:t>
            </w:r>
          </w:p>
        </w:tc>
        <w:tc>
          <w:tcPr>
            <w:tcW w:w="8871" w:type="dxa"/>
            <w:tcBorders/>
          </w:tcPr>
          <w:p>
            <w:pPr>
              <w:pStyle w:val="TableContents"/>
              <w:bidi w:val="0"/>
              <w:spacing w:before="0" w:after="0"/>
              <w:jc w:val="left"/>
              <w:rPr>
                <w:rFonts w:ascii="Times New Roman" w:hAnsi="Times New Roman"/>
                <w:sz w:val="20"/>
              </w:rPr>
            </w:pPr>
            <w:r>
              <w:rPr>
                <w:rFonts w:ascii="Times New Roman" w:hAnsi="Times New Roman"/>
                <w:sz w:val="20"/>
              </w:rPr>
              <w:t>a definitive distribution, purchase, underwriting, sales agent or similar agreement (each, a “</w:t>
            </w:r>
            <w:r>
              <w:rPr>
                <w:rFonts w:ascii="Times New Roman" w:hAnsi="Times New Roman"/>
                <w:sz w:val="20"/>
                <w:u w:val="single"/>
              </w:rPr>
              <w:t>Purchase Agreement</w:t>
            </w:r>
            <w:r>
              <w:rPr>
                <w:rFonts w:ascii="Times New Roman" w:hAnsi="Times New Roman"/>
                <w:sz w:val="20"/>
              </w:rPr>
              <w:t xml:space="preserve">”) with respect to any Primary Securities offered or issued will have been duly authorized and validly executed and delivered by the Company and the other parties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8"/>
        <w:gridCol w:w="8879"/>
      </w:tblGrid>
      <w:tr>
        <w:trPr/>
        <w:tc>
          <w:tcPr>
            <w:tcW w:w="918"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(ix)</w:t>
            </w:r>
          </w:p>
        </w:tc>
        <w:tc>
          <w:tcPr>
            <w:tcW w:w="887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Securities issuable upon conversion, exchange, redemption or exercise of any Security being offered or issued will be duly authorized, created, and, if appropriate, reserved for issuance upon such conversion, exchange, redemption or exercise;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(x)</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the time of the issuance of any Primary Securities or the Secondary Warrant Shares, (a) the Company will validly exist and be duly qualified and in good standing under the laws of its jurisdiction of incorporation, (b) the Company will have the necessary organizational power and authority to issue the Primary Securities or the Secondary Warrant Shares, as applicable, and (c) the Company will have made available for issuance such number of Primary Securities or the Secondary Warrant Shares, as applicable.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1838325"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Based upon and subject to the foregoing qualifications, assumptions and limitations and the further limitations set forth below,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When the shares of Common Stock to be offered and sold by the Company have been duly authorized by appropriate corporate action of the Company and issued, sold and delivered against payment therefor in accordance with such authorization, the applicable Purchase Agreement and applicable law and in the manner and for the consideration stated in the Registration Statement and in the applicable Prospectus Supplement, such shares of Common Stock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(2) When, as and if (a) any particular series of Preferred Stock has been authorized and duly established in accordance with applicable law, (b) the appropriate corporate action has been taken by the Company to authorize the form, terms, issuance and delivery of shares of such Preferred Stock (and the filing of any required certificate of designation, amendment or supplement to the organizational documents of the Company), and (c) the shares of such Preferred Stock have been issued, sold and delivered against payment therefor in accordance with such authorization, the applicable Purchase Agreement and applicable law and in the manner and for the consideration stated in the Registration Statement and the applicable Prospectus Supplement, such shares of Preferred Stock will be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(3) When, as and if (a) any Warrants have been duly authorized and duly established in accordance with applicable law, (b) appropriate corporate action has been taken by the Company to authorize the form, terms, execution and delivery of the Warrant Agreement and the Warrants, (c) the Warrant Agreement has been duly executed and delivered by the Company in accordance with such Company authorization, (d) Warrants with such terms have been duly executed, attested, issued and delivered by the Warrant Agent and/or duly authorized officers of the Company against payment in accordance with such Company authorization, the applicable Purchase Agreement, applicable Warrant Agreement and applicable law, and (e) the Securities issuable upon exercise of such Warrants have been duly authorized and reserved for issuance by all necessary corporate or organizational action, such Warrants will constitute binding obligations of the Company enforceable against the Company in accordance with their terms.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838325"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When, as and if (a) any Units have been duly authorized and duly established in accordance with applicable law, (b) the appropriate corporate action has been taken by the Company to authorize the form, terms, execution and delivery of the Units (including a form of certificate evidencing the Units) and the related Unit Agreement, (c) the Unit Agreement has been duly executed and delivered by the Company in accordance with such Company authorization, (d) the Units with such terms have been duly executed, attested, issued and delivered by any applicable Governing Document Counterparty and/or duly authorized officers of the Company against payment in accordance with such Company authorization, the applicable Purchase Agreement, applicable Unit Agreement and applicable law, and (e) the Securities issuable upon exercise of such Units and Unit Agreement have been duly authorized and reserved for issuance by all necessary corporate or organizational action, such Units and Unit Agreement will constitute valid and binding obligations of the Company, enforceable against the Company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(5) The shares of Secondary Common Stock are validly issued, fully paid and nonassessable. </w:t>
      </w:r>
    </w:p>
    <w:p>
      <w:pPr>
        <w:pStyle w:val="TextBody"/>
        <w:bidi w:val="0"/>
        <w:spacing w:before="120" w:after="0"/>
        <w:jc w:val="left"/>
        <w:rPr>
          <w:rFonts w:ascii="Times New Roman" w:hAnsi="Times New Roman"/>
          <w:sz w:val="20"/>
        </w:rPr>
      </w:pPr>
      <w:r>
        <w:rPr>
          <w:rFonts w:ascii="Times New Roman" w:hAnsi="Times New Roman"/>
          <w:sz w:val="20"/>
        </w:rPr>
        <w:t xml:space="preserve">(6) The Secondary Warrant Shares, when issued by the Company against payment therefor and delivered in accordance with the terms of the Jones Act Warrants, will be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Our opinions expressed above are subject to the qualifications that we express no opinion as to the applicability of, compliance with, or effect of (i) any bankruptcy, insolvency, reorganization, fraudulent transfer, fraudulent conveyance, moratorium or other similar law affecting the enforcement of creditors’ rights generally, (ii) general principles of equity (regardless of whether enforcement is considered in a proceeding in equity or at law), (iii) public policy considerations which may limit the rights of parties to obtain certain remedies and (iv) any laws except the laws of the State of New York and the General Corporation Law of the State of Delaware, including the applicable provisions of the Delaware constitution and reported judicial decisions interpreting these laws. </w:t>
      </w:r>
    </w:p>
    <w:p>
      <w:pPr>
        <w:pStyle w:val="TextBody"/>
        <w:bidi w:val="0"/>
        <w:spacing w:before="240" w:after="0"/>
        <w:jc w:val="left"/>
        <w:rPr>
          <w:rFonts w:ascii="Times New Roman" w:hAnsi="Times New Roman"/>
          <w:sz w:val="20"/>
        </w:rPr>
      </w:pPr>
      <w:r>
        <w:rPr>
          <w:rFonts w:ascii="Times New Roman" w:hAnsi="Times New Roman"/>
          <w:sz w:val="20"/>
        </w:rPr>
        <w:t xml:space="preserve">We express no opinion with respect to the enforceability of (i) consents to, or restrictions upon, judicial relief or jurisdiction or venue; (ii) waivers of rights or defenses with respect to stay, extension or usury laws; (iii) advance waivers of claims, defenses, rights granted by law, or notice, opportunity for hearing, evidentiary requirements, statutes of limitation, trial by jury or at law, or other procedural rights; (iv) waivers of broadly or vaguely stated rights; (v) provisions for exclusivity, election or accumulation of rights or remedies; (vi) provisions authorizing or validating conclusive or discretionary determinations; (vii) grants of setoff rights; (viii) provisions for the payment of attorneys’ fees where such payment is contrary to law or public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838325"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36"/>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policy; (ix) proxies, powers and trusts; (x) restrictions upon non-written modifications and waivers; (xi) provisions prohibiting, restricting, or requiring consent to assignment or transfer of any right or property; (xii) any provision to the extent it requires any party to indemnify any other person against loss in obtaining the currency due following a court judgment in another currency; and (xiii) provisions for liquidated damages, default interest, late charges, monetary penalties, make-whole premiums or other economic remedies to the extent such provisions are deemed to constitute a penalty. </w:t>
      </w:r>
    </w:p>
    <w:p>
      <w:pPr>
        <w:pStyle w:val="TextBody"/>
        <w:bidi w:val="0"/>
        <w:spacing w:before="240" w:after="0"/>
        <w:jc w:val="left"/>
        <w:rPr>
          <w:rFonts w:ascii="Times New Roman" w:hAnsi="Times New Roman"/>
          <w:sz w:val="20"/>
        </w:rPr>
      </w:pPr>
      <w:r>
        <w:rPr>
          <w:rFonts w:ascii="Times New Roman" w:hAnsi="Times New Roman"/>
          <w:sz w:val="20"/>
        </w:rPr>
        <w:t xml:space="preserve">To the extent that the obligations of the Company under any Governing Document or the Jones Act Warrant Agreement may be dependent on such matters, we assume for purposes of this opinion that the applicable Governing Document Counterparty or the Jones Act Warrant Agent, as applicable, is duly organized, validly existing and in good standing under the laws of its jurisdiction of organization; that the applicable Governing Document Counterparty or the Jones Act Warrant Agent, as applicable, is duly qualified to engage in the activities contemplated by applicable Governing Document or the Jones Act Warrant Agreement; that the applicable Governing Document or the Jones Act Warrant Agreement, as applicable, has been duly authorized, executed and delivered by the applicable Governing Document Counterparty or the Jones Act Warrant Agent and constitutes the legally valid and binding obligations of such Governing Document Counterparty or Jones Act Warrant Agent, enforceable against such Governing Document Counterparty or Jones Act Warrant Agent in accordance with its terms; that the applicable Governing Document Counterparty or Jones Act Warrant Agent is in compliance, generally and with respect to acting as Warrant Agent, Jones Act Warrant Agent or other counterparty, as the case may be, under the applicable Governing Document or the Jones Act Warrant Agreement, with all applicable laws and regulations; and that the applicable Governing Document Counterparty or the Jones Act Warrant Agent has the requisite organizational and legal power and authority to perform its obligations under the applicable Governing Document or Jones Act Warrant Agreement. </w:t>
      </w:r>
    </w:p>
    <w:p>
      <w:pPr>
        <w:pStyle w:val="TextBody"/>
        <w:bidi w:val="0"/>
        <w:spacing w:before="240" w:after="0"/>
        <w:jc w:val="left"/>
        <w:rPr>
          <w:rFonts w:ascii="Times New Roman" w:hAnsi="Times New Roman"/>
          <w:sz w:val="20"/>
        </w:rPr>
      </w:pPr>
      <w:r>
        <w:rPr>
          <w:rFonts w:ascii="Times New Roman" w:hAnsi="Times New Roman"/>
          <w:sz w:val="20"/>
        </w:rPr>
        <w:t xml:space="preserve">We do not find it necessary for the purposes of this opinion, and accordingly we do not purport to cover herein, the application of the securities or “Blue Sky” laws of the various states to the sale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limited to the specific issues addressed herein, and no opinion may be inferred or implied beyond that expressly stated herein. We assume no obligation to revise or supplement this opinion should the present laws of the State of New York or the General Corporation Law of the State of Delaware be changed by legislative action, judicial decision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This opinion is furnished to you in connection with the filing of the Registration Statement, and is not to be used, circulated, quoted or otherwise relied upon for any other purpose.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838325"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37"/>
                    <a:stretch>
                      <a:fillRect/>
                    </a:stretch>
                  </pic:blipFill>
                  <pic:spPr bwMode="auto">
                    <a:xfrm>
                      <a:off x="0" y="0"/>
                      <a:ext cx="1838325" cy="1524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Hornbeck Offshore Services, Inc. </w:t>
      </w:r>
    </w:p>
    <w:p>
      <w:pPr>
        <w:pStyle w:val="TextBody"/>
        <w:bidi w:val="0"/>
        <w:spacing w:before="0" w:after="0"/>
        <w:jc w:val="left"/>
        <w:rPr>
          <w:rFonts w:ascii="Times New Roman" w:hAnsi="Times New Roman"/>
          <w:sz w:val="20"/>
        </w:rPr>
      </w:pPr>
      <w:r>
        <w:rPr>
          <w:rFonts w:ascii="Times New Roman" w:hAnsi="Times New Roman"/>
          <w:sz w:val="20"/>
        </w:rPr>
        <w:t xml:space="preserve">September 15, 2026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hereby consent to the filing of this opinion with the Commission as Exhibit 5.1 to the Registration Statement. We also consent to the reference to our firm under the heading “Legal Matters” in the Registration Statement. In giving this consent, we do not thereby admit that we are in the category of persons whose consent is required under Section 7 of the Securities Act or the rules and regulations of the Commission.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Sincerely,</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Kirkland &amp; Ellis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KIRKLAND &amp; ELLIS LLP</w:t>
            </w:r>
          </w:p>
        </w:tc>
      </w:tr>
    </w:tbl>
    <w:p>
      <w:pPr>
        <w:pStyle w:val="TextBody"/>
        <w:bidi w:val="0"/>
        <w:spacing w:before="0" w:after="0"/>
        <w:jc w:val="right"/>
        <w:rPr>
          <w:rFonts w:ascii="Times New Roman" w:hAnsi="Times New Roman"/>
          <w:b/>
          <w:sz w:val="20"/>
        </w:rPr>
      </w:pPr>
      <w:bookmarkStart w:id="19" w:name="d810125dex231.htm"/>
      <w:bookmarkStart w:id="20" w:name="ksd810125dex231"/>
      <w:bookmarkEnd w:id="19"/>
      <w:bookmarkEnd w:id="20"/>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February 26, 2026, except for the effects of the discontinued operations as discussed in Note 4, as to which the date is August 11, 2026, with respect to the consolidated financial statements of Helix Energy Solutions Group, Inc. and subsidiaries, incorporated herein by reference, and to the reference to our firm under the heading “Experts” in the prospectus.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KPMG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Houston, Texas</w:t>
            </w:r>
          </w:p>
        </w:tc>
      </w:tr>
      <w:tr>
        <w:trPr/>
        <w:tc>
          <w:tcPr>
            <w:tcW w:w="4082" w:type="dxa"/>
            <w:tcBorders/>
          </w:tcPr>
          <w:p>
            <w:pPr>
              <w:pStyle w:val="TableContents"/>
              <w:bidi w:val="0"/>
              <w:spacing w:before="0" w:after="283"/>
              <w:jc w:val="left"/>
              <w:rPr/>
            </w:pPr>
            <w:r>
              <w:rPr/>
              <w:t>September 15, 2026</w:t>
            </w:r>
          </w:p>
        </w:tc>
      </w:tr>
    </w:tbl>
    <w:p>
      <w:pPr>
        <w:pStyle w:val="TextBody"/>
        <w:bidi w:val="0"/>
        <w:spacing w:before="0" w:after="0"/>
        <w:jc w:val="right"/>
        <w:rPr>
          <w:rFonts w:ascii="Times New Roman" w:hAnsi="Times New Roman"/>
          <w:b/>
          <w:sz w:val="20"/>
        </w:rPr>
      </w:pPr>
      <w:bookmarkStart w:id="21" w:name="d810125dex232.htm"/>
      <w:bookmarkStart w:id="22" w:name="ksd810125dex232"/>
      <w:bookmarkEnd w:id="21"/>
      <w:bookmarkEnd w:id="22"/>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of our firm under the caption “Experts” in the Registration Statement (Form S-3) and related Prospectus of Hornbeck Offshore Services, Inc. (formerly Helix Energy Solutions Group, Inc.) for the registration of common stock, preferred stock, warrants and units and to the incorporation by reference therein of our report dated March 24, 2026, with respect to the consolidated financial statements of Hornbeck Offshore Services, Inc. included in the Current Report (Form 8-K) of Hornbeck Offshore Services, Inc. (formerly Helix Energy Solutions Group, Inc.) filed with the Securities and Exchange Commission on September 1, 2026.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Ernst &amp; Young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New Orleans, Louisiana</w:t>
            </w:r>
          </w:p>
        </w:tc>
      </w:tr>
      <w:tr>
        <w:trPr/>
        <w:tc>
          <w:tcPr>
            <w:tcW w:w="4082" w:type="dxa"/>
            <w:tcBorders/>
          </w:tcPr>
          <w:p>
            <w:pPr>
              <w:pStyle w:val="TableContents"/>
              <w:bidi w:val="0"/>
              <w:spacing w:before="0" w:after="283"/>
              <w:jc w:val="left"/>
              <w:rPr/>
            </w:pPr>
            <w:r>
              <w:rPr/>
              <w:t>September 15, 2026</w:t>
            </w:r>
          </w:p>
        </w:tc>
      </w:tr>
    </w:tbl>
    <w:p>
      <w:pPr>
        <w:pStyle w:val="Normal"/>
        <w:bidi w:val="0"/>
        <w:spacing w:before="0" w:after="0"/>
        <w:jc w:val="left"/>
        <w:rPr>
          <w:sz w:val="4"/>
          <w:szCs w:val="4"/>
        </w:rPr>
      </w:pPr>
      <w:r>
        <w:rPr>
          <w:sz w:val="4"/>
          <w:szCs w:val="4"/>
        </w:rPr>
      </w:r>
      <w:bookmarkStart w:id="23" w:name="d810125dexfilingfees.htm"/>
      <w:bookmarkStart w:id="24" w:name="ksd810125dexfilingfees"/>
      <w:bookmarkStart w:id="25" w:name="d810125dexfilingfees.htm"/>
      <w:bookmarkStart w:id="26" w:name="ksd810125dexfilingfees"/>
      <w:bookmarkEnd w:id="25"/>
      <w:bookmarkEnd w:id="26"/>
      <w:r>
        <w:br w:type="page"/>
      </w:r>
    </w:p>
    <w:tbl>
      <w:tblPr>
        <w:tblW w:w="5045" w:type="dxa"/>
        <w:jc w:val="left"/>
        <w:tblInd w:w="0" w:type="dxa"/>
        <w:tblLayout w:type="fixed"/>
        <w:tblCellMar>
          <w:top w:w="28" w:type="dxa"/>
          <w:left w:w="28" w:type="dxa"/>
          <w:bottom w:w="28" w:type="dxa"/>
          <w:right w:w="28" w:type="dxa"/>
        </w:tblCellMar>
      </w:tblPr>
      <w:tblGrid>
        <w:gridCol w:w="4891"/>
        <w:gridCol w:w="154"/>
      </w:tblGrid>
      <w:tr>
        <w:trPr/>
        <w:tc>
          <w:tcPr>
            <w:tcW w:w="50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48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4891" w:type="dxa"/>
            <w:tcBorders/>
            <w:vAlign w:val="center"/>
          </w:tcPr>
          <w:p>
            <w:pPr>
              <w:pStyle w:val="TableContents"/>
              <w:bidi w:val="0"/>
              <w:spacing w:before="0" w:after="283"/>
              <w:jc w:val="left"/>
              <w:rPr>
                <w:b/>
              </w:rPr>
            </w:pPr>
            <w:r>
              <w:rPr>
                <w:b/>
              </w:rPr>
              <w:t xml:space="preserve">HORNBECK OFFSHORE SERVICES,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49"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4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Preferred Stock, $0.00001 par value per share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Other </w:t>
            </w:r>
          </w:p>
        </w:tc>
        <w:tc>
          <w:tcPr>
            <w:tcW w:w="991" w:type="dxa"/>
            <w:tcBorders/>
            <w:shd w:fill="E7E7E2" w:val="clear"/>
            <w:vAlign w:val="center"/>
          </w:tcPr>
          <w:p>
            <w:pPr>
              <w:pStyle w:val="TableContents"/>
              <w:bidi w:val="0"/>
              <w:spacing w:before="0" w:after="283"/>
              <w:jc w:val="left"/>
              <w:rPr/>
            </w:pPr>
            <w:r>
              <w:rPr/>
              <w:t xml:space="preserve">Units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5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37,818,566 </w:t>
            </w:r>
          </w:p>
        </w:tc>
        <w:tc>
          <w:tcPr>
            <w:tcW w:w="1156" w:type="dxa"/>
            <w:tcBorders/>
            <w:shd w:fill="E7E7E2" w:val="clear"/>
            <w:vAlign w:val="center"/>
          </w:tcPr>
          <w:p>
            <w:pPr>
              <w:pStyle w:val="TableContents"/>
              <w:bidi w:val="0"/>
              <w:spacing w:before="0" w:after="283"/>
              <w:jc w:val="right"/>
              <w:rPr/>
            </w:pPr>
            <w:r>
              <w:rPr/>
              <w:t xml:space="preserve">$ 8.98 </w:t>
            </w:r>
          </w:p>
        </w:tc>
        <w:tc>
          <w:tcPr>
            <w:tcW w:w="1966" w:type="dxa"/>
            <w:tcBorders/>
            <w:shd w:fill="E7E7E2" w:val="clear"/>
            <w:vAlign w:val="center"/>
          </w:tcPr>
          <w:p>
            <w:pPr>
              <w:pStyle w:val="TableContents"/>
              <w:bidi w:val="0"/>
              <w:spacing w:before="0" w:after="283"/>
              <w:jc w:val="right"/>
              <w:rPr/>
            </w:pPr>
            <w:r>
              <w:rPr/>
              <w:t xml:space="preserve">$ 339,610,722.68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$ 46,900.24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6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17,668,604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7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88,520,524 </w:t>
            </w:r>
          </w:p>
        </w:tc>
        <w:tc>
          <w:tcPr>
            <w:tcW w:w="1156" w:type="dxa"/>
            <w:tcBorders/>
            <w:shd w:fill="E7E7E2" w:val="clear"/>
            <w:vAlign w:val="center"/>
          </w:tcPr>
          <w:p>
            <w:pPr>
              <w:pStyle w:val="TableContents"/>
              <w:bidi w:val="0"/>
              <w:spacing w:before="0" w:after="283"/>
              <w:jc w:val="right"/>
              <w:rPr/>
            </w:pPr>
            <w:r>
              <w:rPr/>
              <w:t xml:space="preserve">$ 8.98 </w:t>
            </w:r>
          </w:p>
        </w:tc>
        <w:tc>
          <w:tcPr>
            <w:tcW w:w="1966" w:type="dxa"/>
            <w:tcBorders/>
            <w:shd w:fill="E7E7E2" w:val="clear"/>
            <w:vAlign w:val="center"/>
          </w:tcPr>
          <w:p>
            <w:pPr>
              <w:pStyle w:val="TableContents"/>
              <w:bidi w:val="0"/>
              <w:spacing w:before="0" w:after="283"/>
              <w:jc w:val="right"/>
              <w:rPr/>
            </w:pPr>
            <w:r>
              <w:rPr/>
              <w:t xml:space="preserve">$ 794,914,305.52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$ 109,777.67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8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$0.00001 par value per share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10,991,165 </w:t>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right"/>
              <w:rPr/>
            </w:pPr>
            <w:r>
              <w:rPr/>
              <w:t xml:space="preserve">$ 0.00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4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27" w:name="MaxAggtOfferingPrice"/>
            <w:bookmarkEnd w:id="27"/>
            <w:r>
              <w:rPr/>
              <w:t xml:space="preserve">$ 1,134,525,028.20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8" w:name="TotalFeeAmt"/>
            <w:bookmarkEnd w:id="28"/>
            <w:r>
              <w:rPr/>
              <w:t xml:space="preserve">$ 156,677.91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29" w:name="TotalPreviouslyPaid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0" w:name="TotalOffsetAmt"/>
            <w:bookmarkEnd w:id="30"/>
            <w:r>
              <w:rPr/>
              <w:t xml:space="preserve">$ 14,760.00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1" w:name="NetFeeAmt"/>
            <w:bookmarkEnd w:id="31"/>
            <w:r>
              <w:rPr/>
              <w:t xml:space="preserve">$ 141,917.91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6"/>
        <w:gridCol w:w="8709"/>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Separate consideration may or may not be received for securities that are issuable upon exercise, conversion or exchange of other securities. (2) The Registrant is relying on Rule 456(b) and Rule 457(r) under the Securities Act of 1933, as amended (the "Securities Act"), to defer payment of all registration fees. In connection with the securities offered hereby, the Registrant will pay "pay-as-you-go registration fees" in accordance with Rule 456(b). The Registrant will calculate the registration fee applicable to an offer of securities pursuant to this Registration Statement based on the fee payment rate in effect on the date of such fee payment. (3) An unspecified aggregate initial offering price or number of the securities of each identified class is being registered as may from time to time be offered at unspecified prices.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5" w:type="dxa"/>
            <w:gridSpan w:val="2"/>
            <w:tcBorders/>
            <w:vAlign w:val="center"/>
          </w:tcPr>
          <w:p>
            <w:pPr>
              <w:pStyle w:val="TableContents"/>
              <w:bidi w:val="0"/>
              <w:spacing w:before="0" w:after="283"/>
              <w:jc w:val="left"/>
              <w:rPr/>
            </w:pPr>
            <w:r>
              <w:rPr/>
              <w:t xml:space="preserve">See Offering Note 1.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5</w:t>
            </w:r>
            <w:r>
              <w:rPr/>
              <w:t xml:space="preserve"> </w:t>
            </w:r>
          </w:p>
        </w:tc>
        <w:tc>
          <w:tcPr>
            <w:tcW w:w="10005" w:type="dxa"/>
            <w:gridSpan w:val="2"/>
            <w:tcBorders/>
            <w:vAlign w:val="center"/>
          </w:tcPr>
          <w:p>
            <w:pPr>
              <w:pStyle w:val="TableContents"/>
              <w:bidi w:val="0"/>
              <w:spacing w:before="0" w:after="283"/>
              <w:jc w:val="left"/>
              <w:rPr/>
            </w:pPr>
            <w:r>
              <w:rPr/>
              <w:t xml:space="preserve">(1) Represents 37,818,566 shares of Common Stock that may be offered and sold from time to time by the selling stockholders. (2) The proposed maximum offering price per share will be delivered from time to time in connection with, and at the time of, a sale by the applicable selling stockholder. (3) Pursuant to Rule 416 under the Securities Act, this Registration Statement shall also cover any additional shares of Common Stock that shall become issuable by reason of any stock dividend, stock split, recapitalization, or other similar transaction effected without the receipt of consideration that results in an increase in the number of the outstanding shares of Common Stock. (4) Estimated solely for the purposes of computing the registration fee pursuant to Rule 457(c) under the Securities Act, based upon $8.98, the average of the high and low prices of Common Stock as quoted on the New York Stock Exchange on September 10, 2026 (a date within five business days prior to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6</w:t>
            </w:r>
            <w:r>
              <w:rPr/>
              <w:t xml:space="preserve"> </w:t>
            </w:r>
          </w:p>
        </w:tc>
        <w:tc>
          <w:tcPr>
            <w:tcW w:w="10005" w:type="dxa"/>
            <w:gridSpan w:val="2"/>
            <w:tcBorders/>
            <w:vAlign w:val="center"/>
          </w:tcPr>
          <w:p>
            <w:pPr>
              <w:pStyle w:val="TableContents"/>
              <w:bidi w:val="0"/>
              <w:spacing w:before="0" w:after="283"/>
              <w:jc w:val="left"/>
              <w:rPr/>
            </w:pPr>
            <w:r>
              <w:rPr/>
              <w:t xml:space="preserve">These shares of Common Stock were previously registered under a registration statement on Form S-4 (File No. 333-296508) filed by the Registrant with the SEC on June 4, 2026 (as amended by Pre-Effective Amendment Number 1 filed with the SEC on July 13, 2026 and Pre-Effective Amendment Number 2 filed with the SEC on July 30, 2026, the "Form S-4 Registration Statement"), which was declared effective on July 31, 2026. All filing fees payable in connection with the issuance of these shares were previously paid in connection with the filing of the Form S-4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7</w:t>
            </w:r>
            <w:r>
              <w:rPr/>
              <w:t xml:space="preserve"> </w:t>
            </w:r>
          </w:p>
        </w:tc>
        <w:tc>
          <w:tcPr>
            <w:tcW w:w="10005" w:type="dxa"/>
            <w:gridSpan w:val="2"/>
            <w:tcBorders/>
            <w:vAlign w:val="center"/>
          </w:tcPr>
          <w:p>
            <w:pPr>
              <w:pStyle w:val="TableContents"/>
              <w:bidi w:val="0"/>
              <w:spacing w:before="0" w:after="283"/>
              <w:jc w:val="left"/>
              <w:rPr/>
            </w:pPr>
            <w:r>
              <w:rPr/>
              <w:t xml:space="preserve">(1) Represents 88,520,524 shares of Common Stock issuable upon exercise of outstanding Jones Act Warrants (as defined in the Registration Statement) that may be offered and sold from time to time by the selling stockholders. (2) The proposed maximum offering price per share will be delivered from time to time in connection with, and at the time of, a sale by the applicable selling stockholder. (3) Pursuant to Rule 416 under the Securities Act, this Registration Statement shall also cover any additional shares of Common Stock that shall become issuable by reason of any stock dividend, stock split, recapitalization, or other similar transaction effected without the receipt of consideration that results in an increase in the number of the outstanding shares of Common Stock. (4) Estimated solely for the purposes of computing the registration fee pursuant to Rule 457(c) and 457(g) under the Securities Act, based upon the higher of (i) $0.00001, the price at which the Jones Act Warrants may be exercised, and (ii) $8.98, the average of the high and low prices of Common Stock as quoted on the New York Stock Exchange on September 10, 2026 (a date within five business days prior to the filing of this Registration Statement).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r>
        <w:trPr/>
        <w:tc>
          <w:tcPr>
            <w:tcW w:w="200" w:type="dxa"/>
            <w:tcBorders/>
            <w:vAlign w:val="center"/>
          </w:tcPr>
          <w:p>
            <w:pPr>
              <w:pStyle w:val="TableContents"/>
              <w:bidi w:val="0"/>
              <w:spacing w:lineRule="auto" w:line="288" w:before="0" w:after="0"/>
              <w:ind w:left="0" w:right="0" w:hanging="0"/>
              <w:jc w:val="left"/>
              <w:rPr/>
            </w:pPr>
            <w:r>
              <w:rPr>
                <w:sz w:val="15"/>
              </w:rPr>
              <w:t>8</w:t>
            </w:r>
            <w:r>
              <w:rPr/>
              <w:t xml:space="preserve"> </w:t>
            </w:r>
          </w:p>
        </w:tc>
        <w:tc>
          <w:tcPr>
            <w:tcW w:w="10005" w:type="dxa"/>
            <w:gridSpan w:val="2"/>
            <w:tcBorders/>
            <w:vAlign w:val="center"/>
          </w:tcPr>
          <w:p>
            <w:pPr>
              <w:pStyle w:val="TableContents"/>
              <w:bidi w:val="0"/>
              <w:spacing w:before="0" w:after="283"/>
              <w:jc w:val="left"/>
              <w:rPr/>
            </w:pPr>
            <w:r>
              <w:rPr/>
              <w:t xml:space="preserve">See Offering Note 6. </w:t>
            </w:r>
          </w:p>
        </w:tc>
      </w:tr>
      <w:tr>
        <w:trPr/>
        <w:tc>
          <w:tcPr>
            <w:tcW w:w="1496" w:type="dxa"/>
            <w:gridSpan w:val="2"/>
            <w:tcBorders/>
            <w:vAlign w:val="center"/>
          </w:tcPr>
          <w:p>
            <w:pPr>
              <w:pStyle w:val="HorizontalLine"/>
              <w:pBdr>
                <w:bottom w:val="double" w:sz="2" w:space="0" w:color="808080"/>
              </w:pBdr>
              <w:bidi w:val="0"/>
              <w:spacing w:before="0" w:after="283"/>
              <w:jc w:val="left"/>
              <w:rPr/>
            </w:pPr>
            <w:r>
              <w:rPr/>
            </w:r>
          </w:p>
        </w:tc>
        <w:tc>
          <w:tcPr>
            <w:tcW w:w="8709"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3307" w:type="dxa"/>
        <w:jc w:val="left"/>
        <w:tblInd w:w="0" w:type="dxa"/>
        <w:tblLayout w:type="fixed"/>
        <w:tblCellMar>
          <w:top w:w="28" w:type="dxa"/>
          <w:left w:w="28" w:type="dxa"/>
          <w:bottom w:w="28" w:type="dxa"/>
          <w:right w:w="28" w:type="dxa"/>
        </w:tblCellMar>
      </w:tblPr>
      <w:tblGrid>
        <w:gridCol w:w="871"/>
        <w:gridCol w:w="226"/>
        <w:gridCol w:w="1171"/>
        <w:gridCol w:w="691"/>
        <w:gridCol w:w="961"/>
        <w:gridCol w:w="706"/>
        <w:gridCol w:w="691"/>
        <w:gridCol w:w="1246"/>
        <w:gridCol w:w="1186"/>
        <w:gridCol w:w="1186"/>
        <w:gridCol w:w="1186"/>
        <w:gridCol w:w="1786"/>
        <w:gridCol w:w="124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1246"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7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24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3307"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26" w:type="dxa"/>
            <w:tcBorders/>
            <w:shd w:fill="E7E7E2" w:val="clear"/>
            <w:vAlign w:val="center"/>
          </w:tcPr>
          <w:p>
            <w:pPr>
              <w:pStyle w:val="TableContents"/>
              <w:bidi w:val="0"/>
              <w:spacing w:before="0" w:after="283"/>
              <w:jc w:val="left"/>
              <w:rPr/>
            </w:pPr>
            <w:r>
              <w:rPr/>
              <w:t xml:space="preserve">1 </w:t>
            </w:r>
          </w:p>
        </w:tc>
        <w:tc>
          <w:tcPr>
            <w:tcW w:w="1171" w:type="dxa"/>
            <w:tcBorders/>
            <w:shd w:fill="E7E7E2" w:val="clear"/>
            <w:vAlign w:val="center"/>
          </w:tcPr>
          <w:p>
            <w:pPr>
              <w:pStyle w:val="TableContents"/>
              <w:bidi w:val="0"/>
              <w:spacing w:before="0" w:after="283"/>
              <w:jc w:val="left"/>
              <w:rPr/>
            </w:pPr>
            <w:r>
              <w:rPr/>
              <w:t xml:space="preserve">Hercules Sub LLC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333-275939 </w:t>
            </w:r>
          </w:p>
        </w:tc>
        <w:tc>
          <w:tcPr>
            <w:tcW w:w="706" w:type="dxa"/>
            <w:tcBorders/>
            <w:shd w:fill="E7E7E2" w:val="clear"/>
            <w:vAlign w:val="center"/>
          </w:tcPr>
          <w:p>
            <w:pPr>
              <w:pStyle w:val="TableContents"/>
              <w:bidi w:val="0"/>
              <w:spacing w:before="0" w:after="283"/>
              <w:jc w:val="left"/>
              <w:rPr/>
            </w:pPr>
            <w:r>
              <w:rPr/>
              <w:t xml:space="preserve">12/07/2023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$ 14,760.00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$0.00001 per share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pPr>
            <w:r>
              <w:rPr/>
              <w:t xml:space="preserve">Hercules Sub LLC </w:t>
            </w:r>
          </w:p>
        </w:tc>
        <w:tc>
          <w:tcPr>
            <w:tcW w:w="691" w:type="dxa"/>
            <w:tcBorders/>
            <w:shd w:fill="E7E7E2" w:val="clear"/>
            <w:vAlign w:val="center"/>
          </w:tcPr>
          <w:p>
            <w:pPr>
              <w:pStyle w:val="TableContents"/>
              <w:bidi w:val="0"/>
              <w:spacing w:before="0" w:after="283"/>
              <w:jc w:val="left"/>
              <w:rPr/>
            </w:pPr>
            <w:r>
              <w:rPr/>
              <w:t xml:space="preserve">S-1 </w:t>
            </w:r>
          </w:p>
        </w:tc>
        <w:tc>
          <w:tcPr>
            <w:tcW w:w="961" w:type="dxa"/>
            <w:tcBorders/>
            <w:shd w:fill="E7E7E2" w:val="clear"/>
            <w:vAlign w:val="center"/>
          </w:tcPr>
          <w:p>
            <w:pPr>
              <w:pStyle w:val="TableContents"/>
              <w:bidi w:val="0"/>
              <w:spacing w:before="0" w:after="283"/>
              <w:jc w:val="left"/>
              <w:rPr/>
            </w:pPr>
            <w:r>
              <w:rPr/>
              <w:t xml:space="preserve">333-275939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12/07/2023 </w:t>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right"/>
              <w:rPr/>
            </w:pPr>
            <w:r>
              <w:rPr/>
              <w:t xml:space="preserve">$ 14,760.00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1"/>
        <w:gridCol w:w="1294"/>
        <w:gridCol w:w="8710"/>
      </w:tblGrid>
      <w:tr>
        <w:trPr/>
        <w:tc>
          <w:tcPr>
            <w:tcW w:w="201"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4" w:type="dxa"/>
            <w:gridSpan w:val="2"/>
            <w:tcBorders/>
            <w:vAlign w:val="center"/>
          </w:tcPr>
          <w:p>
            <w:pPr>
              <w:pStyle w:val="TableContents"/>
              <w:bidi w:val="0"/>
              <w:spacing w:before="0" w:after="283"/>
              <w:jc w:val="left"/>
              <w:rPr/>
            </w:pPr>
            <w:r>
              <w:rPr/>
              <w:t xml:space="preserve">Hornbeck Offshore Services, Inc. (N/K/A Hercules Sub LLC), a wholly owned subsidiary of the Registrant, paid a registration fee of $14,760.00 in connection with the registration of securities pursuant to a registration statement on Form S-1 (File No. 333-275939), which was initially filed with the SEC on December 7, 2023 and most recently amended on January 13, 2026 (the "Prior Registration Statement"). The Prior Registration Statement utilized an estimate of the proposed maximum aggregate offering price of the shares of common stock to be sold by the registrant solely for the purpose of calculating the amount of the registration fee pursuant to Rule 457(o) of the Securities Act. The Prior Registration Statement was not declared effective by the SEC, and no securities were issued or sold thereunder. The Prior Registration Statement was withdrawn by filing a Form RW on September 1, 2026. In accordance with Rule 457(p) under the Securities Act, the total amount of the registration fee due upon the initial filing of this Registration Statement is offset by $14,760.00. </w:t>
            </w:r>
          </w:p>
        </w:tc>
      </w:tr>
      <w:tr>
        <w:trPr/>
        <w:tc>
          <w:tcPr>
            <w:tcW w:w="1495" w:type="dxa"/>
            <w:gridSpan w:val="2"/>
            <w:tcBorders/>
            <w:vAlign w:val="center"/>
          </w:tcPr>
          <w:p>
            <w:pPr>
              <w:pStyle w:val="HorizontalLine"/>
              <w:pBdr>
                <w:bottom w:val="double" w:sz="2" w:space="0" w:color="808080"/>
              </w:pBdr>
              <w:bidi w:val="0"/>
              <w:spacing w:before="0" w:after="283"/>
              <w:jc w:val="left"/>
              <w:rPr/>
            </w:pPr>
            <w:r>
              <w:rPr/>
            </w:r>
          </w:p>
        </w:tc>
        <w:tc>
          <w:tcPr>
            <w:tcW w:w="8710" w:type="dxa"/>
            <w:tcBorders/>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866829/000086682926000008/hlx-20251231x10k.htm" TargetMode="External"/><Relationship Id="rId4" Type="http://schemas.openxmlformats.org/officeDocument/2006/relationships/hyperlink" Target="http://www.sec.gov/Archives/edgar/data/866829/000086682926000008/hlx-20251231x10k.htm" TargetMode="External"/><Relationship Id="rId5" Type="http://schemas.openxmlformats.org/officeDocument/2006/relationships/hyperlink" Target="http://www.sec.gov/Archives/edgar/data/866829/000114036126012501/ny20064133x1_def14a.htm" TargetMode="External"/><Relationship Id="rId6" Type="http://schemas.openxmlformats.org/officeDocument/2006/relationships/hyperlink" Target="http://www.sec.gov/Archives/edgar/data/866829/000119312526378590/d405983d8a12ba.htm" TargetMode="External"/><Relationship Id="rId7" Type="http://schemas.openxmlformats.org/officeDocument/2006/relationships/hyperlink" Target="http://www.sec.gov/Archives/edgar/data/../../../ix?doc=/Archives/edgar/data/866829/000086682926000013/hlx-20260331x10q.htm" TargetMode="External"/><Relationship Id="rId8" Type="http://schemas.openxmlformats.org/officeDocument/2006/relationships/hyperlink" Target="http://www.sec.gov/Archives/edgar/data/../../../ix?doc=/Archives/edgar/data/866829/000086682926000022/hlx-20260630x10q.htm" TargetMode="External"/><Relationship Id="rId9" Type="http://schemas.openxmlformats.org/officeDocument/2006/relationships/hyperlink" Target="http://www.sec.gov/Archives/edgar/data/866829/000086682926000002/hlx-20260213x8k.htm" TargetMode="External"/><Relationship Id="rId10" Type="http://schemas.openxmlformats.org/officeDocument/2006/relationships/hyperlink" Target="http://www.sec.gov/Archives/edgar/data/866829/000086682925000007/hlx-20250423x8k.htm" TargetMode="External"/><Relationship Id="rId11" Type="http://schemas.openxmlformats.org/officeDocument/2006/relationships/hyperlink" Target="http://www.sec.gov/Archives/edgar/data/866829/000086682926000015/hlx-20260504x8k.htm" TargetMode="External"/><Relationship Id="rId12" Type="http://schemas.openxmlformats.org/officeDocument/2006/relationships/hyperlink" Target="http://www.sec.gov/Archives/edgar/data/../../../ix?doc=/Archives/edgar/data/0000866829/000086682926000017/hlx-20260513x8k.htm" TargetMode="External"/><Relationship Id="rId13" Type="http://schemas.openxmlformats.org/officeDocument/2006/relationships/hyperlink" Target="http://www.sec.gov/Archives/edgar/data/866829/000114036126025002/ef20076117_8k.htm" TargetMode="External"/><Relationship Id="rId14" Type="http://schemas.openxmlformats.org/officeDocument/2006/relationships/hyperlink" Target="http://www.sec.gov/Archives/edgar/data/866829/000086682926000024/hlx-20260811x8k.htm" TargetMode="External"/><Relationship Id="rId15" Type="http://schemas.openxmlformats.org/officeDocument/2006/relationships/hyperlink" Target="http://www.sec.gov/Archives/edgar/data/../../../ix?doc=/Archives/edgar/data/866829/000114036126035065/ef20081337_8k.htm" TargetMode="External"/><Relationship Id="rId16" Type="http://schemas.openxmlformats.org/officeDocument/2006/relationships/hyperlink" Target="http://www.sec.gov/Archives/edgar/data/../../../ix?doc=/Archives/edgar/data/866829/000119312526378529/d102206d8k.htm" TargetMode="External"/><Relationship Id="rId17" Type="http://schemas.openxmlformats.org/officeDocument/2006/relationships/hyperlink" Target="http://www.sec.gov/Archives/edgar/data/866829/000119312526380348/d466077d8k.htm" TargetMode="External"/><Relationship Id="rId18" Type="http://schemas.openxmlformats.org/officeDocument/2006/relationships/hyperlink" Target="http://www.sec.gov/Archives/edgar/data/../../../ix?doc=/Archives/edgar/data/866829/000119312526383687/d117247d8k.htm" TargetMode="External"/><Relationship Id="rId19" Type="http://schemas.openxmlformats.org/officeDocument/2006/relationships/hyperlink" Target="http://www.sec.gov/Archives/edgar/data/../../../ix?doc=/Archives/edgar/data/866829/000119312526384311/d50831d8ka.htm" TargetMode="External"/><Relationship Id="rId20" Type="http://schemas.openxmlformats.org/officeDocument/2006/relationships/hyperlink" Target="http://www.sec.gov/Archives/edgar/data/866829/000114036126024014/ny20075253x1_s4.htm" TargetMode="External"/><Relationship Id="rId21" Type="http://schemas.openxmlformats.org/officeDocument/2006/relationships/hyperlink" Target="http://www.sec.gov/Archives/edgar/data/866829/000114036126028245/ny20075253x2_s4a.htm" TargetMode="External"/><Relationship Id="rId22" Type="http://schemas.openxmlformats.org/officeDocument/2006/relationships/hyperlink" Target="http://www.sec.gov/Archives/edgar/data/866829/000114036126030150/ny20075253x4_s4a.htm" TargetMode="External"/><Relationship Id="rId23" Type="http://schemas.openxmlformats.org/officeDocument/2006/relationships/hyperlink" Target="http://www.sec.gov/Archives/edgar/data/866829/000114036126016767/ef20071301_ex2-1.htm" TargetMode="External"/><Relationship Id="rId24" Type="http://schemas.openxmlformats.org/officeDocument/2006/relationships/hyperlink" Target="http://www.sec.gov/Archives/edgar/data/866829/000119312526378529/d102206dex31.htm" TargetMode="External"/><Relationship Id="rId25" Type="http://schemas.openxmlformats.org/officeDocument/2006/relationships/hyperlink" Target="http://www.sec.gov/Archives/edgar/data/866829/000119312526378529/d102206dex32.htm" TargetMode="External"/><Relationship Id="rId26" Type="http://schemas.openxmlformats.org/officeDocument/2006/relationships/hyperlink" Target="http://www.sec.gov/Archives/edgar/data/866829/000119312526378529/d102206dex33.htm" TargetMode="External"/><Relationship Id="rId27" Type="http://schemas.openxmlformats.org/officeDocument/2006/relationships/hyperlink" Target="http://www.sec.gov/Archives/edgar/data/866829/000119312526378529/d102206dex41.htm" TargetMode="External"/><Relationship Id="rId28" Type="http://schemas.openxmlformats.org/officeDocument/2006/relationships/hyperlink" Target="http://www.sec.gov/Archives/edgar/data/866829/000119312526378529/d102206dex42.htm" TargetMode="External"/><Relationship Id="rId29" Type="http://schemas.openxmlformats.org/officeDocument/2006/relationships/hyperlink" Target="http://www.sec.gov/Archives/edgar/data/866829/000114036126016767/ef20071301_ex4-2.htm" TargetMode="External"/><Relationship Id="rId30" Type="http://schemas.openxmlformats.org/officeDocument/2006/relationships/hyperlink" Target="http://www.sec.gov/Archives/edgar/data/866829/000114036126016767/ef20071301_ex4-1.htm" TargetMode="External"/><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3.jpeg"/><Relationship Id="rId34" Type="http://schemas.openxmlformats.org/officeDocument/2006/relationships/image" Target="media/image3.jpeg"/><Relationship Id="rId35" Type="http://schemas.openxmlformats.org/officeDocument/2006/relationships/image" Target="media/image3.jpeg"/><Relationship Id="rId36" Type="http://schemas.openxmlformats.org/officeDocument/2006/relationships/image" Target="media/image3.jpeg"/><Relationship Id="rId37" Type="http://schemas.openxmlformats.org/officeDocument/2006/relationships/image" Target="media/image3.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47</Pages>
  <Words>21112</Words>
  <Characters>112613</Characters>
  <CharactersWithSpaces>134204</CharactersWithSpaces>
  <Paragraphs>1695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